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5" w:rsidRPr="00EF59F0" w:rsidRDefault="00EF59F0">
      <w:pPr>
        <w:rPr>
          <w:rFonts w:ascii="Times New Roman" w:hAnsi="Times New Roman" w:cs="Times New Roman"/>
          <w:u w:val="single"/>
        </w:rPr>
      </w:pPr>
      <w:r w:rsidRPr="00EF59F0">
        <w:rPr>
          <w:rFonts w:ascii="Times New Roman" w:hAnsi="Times New Roman" w:cs="Times New Roman"/>
          <w:u w:val="single"/>
        </w:rPr>
        <w:t>Bijlage 1: overzicht van de loonkost Basis en secundair onderwijs</w:t>
      </w:r>
    </w:p>
    <w:p w:rsidR="00EF59F0" w:rsidRDefault="00EF59F0" w:rsidP="00EF59F0">
      <w:pPr>
        <w:rPr>
          <w:b/>
        </w:rPr>
      </w:pPr>
    </w:p>
    <w:p w:rsidR="00EF59F0" w:rsidRPr="00EF59F0" w:rsidRDefault="00EF59F0" w:rsidP="00EF59F0">
      <w:pPr>
        <w:rPr>
          <w:b/>
        </w:rPr>
      </w:pPr>
      <w:r w:rsidRPr="00EF59F0">
        <w:rPr>
          <w:b/>
        </w:rPr>
        <w:t xml:space="preserve">Basisonderwijs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20"/>
        <w:gridCol w:w="2600"/>
        <w:gridCol w:w="1115"/>
      </w:tblGrid>
      <w:tr w:rsidR="00EF59F0" w:rsidRPr="00EF59F0" w:rsidTr="00EF25C8">
        <w:trPr>
          <w:trHeight w:val="300"/>
        </w:trPr>
        <w:tc>
          <w:tcPr>
            <w:tcW w:w="242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  <w:r w:rsidRPr="00EF59F0">
              <w:rPr>
                <w:b/>
                <w:bCs/>
              </w:rPr>
              <w:t>schooljaar</w:t>
            </w:r>
          </w:p>
        </w:tc>
        <w:tc>
          <w:tcPr>
            <w:tcW w:w="260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  <w:r w:rsidRPr="00EF59F0">
              <w:rPr>
                <w:b/>
                <w:bCs/>
              </w:rPr>
              <w:t>hoofdstructuur</w:t>
            </w:r>
          </w:p>
        </w:tc>
        <w:tc>
          <w:tcPr>
            <w:tcW w:w="1115" w:type="dxa"/>
            <w:noWrap/>
            <w:hideMark/>
          </w:tcPr>
          <w:p w:rsidR="00EF59F0" w:rsidRPr="00EF59F0" w:rsidRDefault="00EF59F0" w:rsidP="00EF59F0">
            <w:pPr>
              <w:jc w:val="right"/>
              <w:rPr>
                <w:b/>
                <w:bCs/>
              </w:rPr>
            </w:pPr>
            <w:r w:rsidRPr="00EF59F0">
              <w:rPr>
                <w:b/>
                <w:bCs/>
              </w:rPr>
              <w:t xml:space="preserve">loonkost   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 w:val="restart"/>
            <w:noWrap/>
            <w:hideMark/>
          </w:tcPr>
          <w:p w:rsidR="00EF59F0" w:rsidRPr="00EF59F0" w:rsidRDefault="00EF59F0" w:rsidP="00EF59F0">
            <w:pPr>
              <w:rPr>
                <w:bCs/>
              </w:rPr>
            </w:pPr>
            <w:r w:rsidRPr="00EF59F0">
              <w:rPr>
                <w:bCs/>
              </w:rPr>
              <w:t>2008-2009</w:t>
            </w:r>
          </w:p>
        </w:tc>
        <w:tc>
          <w:tcPr>
            <w:tcW w:w="2600" w:type="dxa"/>
            <w:tcBorders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211 gewoon lager</w:t>
            </w:r>
          </w:p>
        </w:tc>
        <w:tc>
          <w:tcPr>
            <w:tcW w:w="1115" w:type="dxa"/>
            <w:tcBorders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250.132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221 buitengewoon lager</w:t>
            </w:r>
          </w:p>
        </w:tc>
        <w:tc>
          <w:tcPr>
            <w:tcW w:w="1115" w:type="dxa"/>
            <w:tcBorders>
              <w:top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152.939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  <w:r w:rsidRPr="00EF59F0">
              <w:rPr>
                <w:b/>
                <w:bCs/>
              </w:rPr>
              <w:t>Totaal 2008-2009</w:t>
            </w:r>
          </w:p>
        </w:tc>
        <w:tc>
          <w:tcPr>
            <w:tcW w:w="260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1115" w:type="dxa"/>
            <w:noWrap/>
            <w:hideMark/>
          </w:tcPr>
          <w:p w:rsidR="00EF59F0" w:rsidRPr="00EF59F0" w:rsidRDefault="00EF59F0" w:rsidP="00EF59F0">
            <w:pPr>
              <w:jc w:val="right"/>
              <w:rPr>
                <w:b/>
                <w:bCs/>
              </w:rPr>
            </w:pPr>
            <w:r w:rsidRPr="00EF59F0">
              <w:rPr>
                <w:b/>
                <w:bCs/>
              </w:rPr>
              <w:t>403.071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 w:val="restart"/>
            <w:noWrap/>
            <w:hideMark/>
          </w:tcPr>
          <w:p w:rsidR="00EF59F0" w:rsidRPr="00EF59F0" w:rsidRDefault="00EF59F0" w:rsidP="00EF59F0">
            <w:pPr>
              <w:rPr>
                <w:bCs/>
              </w:rPr>
            </w:pPr>
            <w:r w:rsidRPr="00EF59F0">
              <w:rPr>
                <w:bCs/>
              </w:rPr>
              <w:t>2009-2010</w:t>
            </w:r>
          </w:p>
        </w:tc>
        <w:tc>
          <w:tcPr>
            <w:tcW w:w="2600" w:type="dxa"/>
            <w:tcBorders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111 gewoon kleuter</w:t>
            </w:r>
          </w:p>
        </w:tc>
        <w:tc>
          <w:tcPr>
            <w:tcW w:w="1115" w:type="dxa"/>
            <w:tcBorders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56.309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121 buitengewoon kleuter</w:t>
            </w:r>
          </w:p>
        </w:tc>
        <w:tc>
          <w:tcPr>
            <w:tcW w:w="1115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8.343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211 gewoon lager</w:t>
            </w:r>
          </w:p>
        </w:tc>
        <w:tc>
          <w:tcPr>
            <w:tcW w:w="1115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360.462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221 buitengewoon lager</w:t>
            </w:r>
          </w:p>
        </w:tc>
        <w:tc>
          <w:tcPr>
            <w:tcW w:w="1115" w:type="dxa"/>
            <w:tcBorders>
              <w:top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144.456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  <w:r w:rsidRPr="00EF59F0">
              <w:rPr>
                <w:b/>
                <w:bCs/>
              </w:rPr>
              <w:t>Totaal 2009-2010</w:t>
            </w:r>
          </w:p>
        </w:tc>
        <w:tc>
          <w:tcPr>
            <w:tcW w:w="260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1115" w:type="dxa"/>
            <w:noWrap/>
            <w:hideMark/>
          </w:tcPr>
          <w:p w:rsidR="00EF59F0" w:rsidRPr="00EF59F0" w:rsidRDefault="00EF59F0" w:rsidP="00EF59F0">
            <w:pPr>
              <w:jc w:val="right"/>
              <w:rPr>
                <w:b/>
                <w:bCs/>
              </w:rPr>
            </w:pPr>
            <w:r w:rsidRPr="00EF59F0">
              <w:rPr>
                <w:b/>
                <w:bCs/>
              </w:rPr>
              <w:t>569.569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 w:val="restart"/>
            <w:noWrap/>
            <w:hideMark/>
          </w:tcPr>
          <w:p w:rsidR="00EF59F0" w:rsidRPr="00EF59F0" w:rsidRDefault="00EF59F0" w:rsidP="00EF59F0">
            <w:pPr>
              <w:rPr>
                <w:bCs/>
              </w:rPr>
            </w:pPr>
            <w:r w:rsidRPr="00EF59F0">
              <w:rPr>
                <w:bCs/>
              </w:rPr>
              <w:t>2010-2011</w:t>
            </w:r>
          </w:p>
        </w:tc>
        <w:tc>
          <w:tcPr>
            <w:tcW w:w="2600" w:type="dxa"/>
            <w:tcBorders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111 gewoon kleuter</w:t>
            </w:r>
          </w:p>
        </w:tc>
        <w:tc>
          <w:tcPr>
            <w:tcW w:w="1115" w:type="dxa"/>
            <w:tcBorders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83.437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211 gewoon lager</w:t>
            </w:r>
          </w:p>
        </w:tc>
        <w:tc>
          <w:tcPr>
            <w:tcW w:w="1115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307.500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221 buitengewoon lager</w:t>
            </w:r>
          </w:p>
        </w:tc>
        <w:tc>
          <w:tcPr>
            <w:tcW w:w="1115" w:type="dxa"/>
            <w:tcBorders>
              <w:top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166.396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  <w:r w:rsidRPr="00EF59F0">
              <w:rPr>
                <w:b/>
                <w:bCs/>
              </w:rPr>
              <w:t>Totaal 2010-2011</w:t>
            </w:r>
          </w:p>
        </w:tc>
        <w:tc>
          <w:tcPr>
            <w:tcW w:w="260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1115" w:type="dxa"/>
            <w:noWrap/>
            <w:hideMark/>
          </w:tcPr>
          <w:p w:rsidR="00EF59F0" w:rsidRPr="00EF59F0" w:rsidRDefault="00EF59F0" w:rsidP="00EF59F0">
            <w:pPr>
              <w:jc w:val="right"/>
              <w:rPr>
                <w:b/>
                <w:bCs/>
              </w:rPr>
            </w:pPr>
            <w:r w:rsidRPr="00EF59F0">
              <w:rPr>
                <w:b/>
                <w:bCs/>
              </w:rPr>
              <w:t>557.332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 w:val="restart"/>
            <w:noWrap/>
            <w:hideMark/>
          </w:tcPr>
          <w:p w:rsidR="00EF59F0" w:rsidRPr="00EF59F0" w:rsidRDefault="00EF59F0" w:rsidP="00EF59F0">
            <w:pPr>
              <w:rPr>
                <w:bCs/>
              </w:rPr>
            </w:pPr>
            <w:r w:rsidRPr="00EF59F0">
              <w:rPr>
                <w:bCs/>
              </w:rPr>
              <w:t>2011-2012</w:t>
            </w:r>
          </w:p>
        </w:tc>
        <w:tc>
          <w:tcPr>
            <w:tcW w:w="2600" w:type="dxa"/>
            <w:tcBorders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111 gewoon kleuter</w:t>
            </w:r>
          </w:p>
        </w:tc>
        <w:tc>
          <w:tcPr>
            <w:tcW w:w="1115" w:type="dxa"/>
            <w:tcBorders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26.279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121 buitengewoon kleuter</w:t>
            </w:r>
          </w:p>
        </w:tc>
        <w:tc>
          <w:tcPr>
            <w:tcW w:w="1115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8.311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211 gewoon lager</w:t>
            </w:r>
          </w:p>
        </w:tc>
        <w:tc>
          <w:tcPr>
            <w:tcW w:w="1115" w:type="dxa"/>
            <w:tcBorders>
              <w:top w:val="dashed" w:sz="4" w:space="0" w:color="auto"/>
              <w:bottom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329.484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vMerge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dashed" w:sz="4" w:space="0" w:color="auto"/>
            </w:tcBorders>
            <w:noWrap/>
            <w:hideMark/>
          </w:tcPr>
          <w:p w:rsidR="00EF59F0" w:rsidRPr="00EF59F0" w:rsidRDefault="00EF59F0" w:rsidP="00EF59F0">
            <w:r w:rsidRPr="00EF59F0">
              <w:t>221 buitengewoon lager</w:t>
            </w:r>
          </w:p>
        </w:tc>
        <w:tc>
          <w:tcPr>
            <w:tcW w:w="1115" w:type="dxa"/>
            <w:tcBorders>
              <w:top w:val="dashed" w:sz="4" w:space="0" w:color="auto"/>
            </w:tcBorders>
            <w:noWrap/>
            <w:hideMark/>
          </w:tcPr>
          <w:p w:rsidR="00EF59F0" w:rsidRPr="00EF59F0" w:rsidRDefault="00EF59F0" w:rsidP="00EF59F0">
            <w:pPr>
              <w:jc w:val="right"/>
            </w:pPr>
            <w:r w:rsidRPr="00EF59F0">
              <w:t>196.877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  <w:r w:rsidRPr="00EF59F0">
              <w:rPr>
                <w:b/>
                <w:bCs/>
              </w:rPr>
              <w:t>Totaal 2011-2012</w:t>
            </w:r>
          </w:p>
        </w:tc>
        <w:tc>
          <w:tcPr>
            <w:tcW w:w="260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</w:rPr>
            </w:pPr>
          </w:p>
        </w:tc>
        <w:tc>
          <w:tcPr>
            <w:tcW w:w="1115" w:type="dxa"/>
            <w:noWrap/>
            <w:hideMark/>
          </w:tcPr>
          <w:p w:rsidR="00EF59F0" w:rsidRPr="00EF59F0" w:rsidRDefault="00EF59F0" w:rsidP="00EF59F0">
            <w:pPr>
              <w:jc w:val="right"/>
              <w:rPr>
                <w:b/>
                <w:bCs/>
              </w:rPr>
            </w:pPr>
            <w:r w:rsidRPr="00EF59F0">
              <w:rPr>
                <w:b/>
                <w:bCs/>
              </w:rPr>
              <w:t>560.952</w:t>
            </w:r>
          </w:p>
        </w:tc>
      </w:tr>
      <w:tr w:rsidR="00EF59F0" w:rsidRPr="00EF59F0" w:rsidTr="00EF25C8">
        <w:trPr>
          <w:trHeight w:val="300"/>
        </w:trPr>
        <w:tc>
          <w:tcPr>
            <w:tcW w:w="242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  <w:i/>
              </w:rPr>
            </w:pPr>
            <w:r w:rsidRPr="00EF59F0">
              <w:rPr>
                <w:b/>
                <w:bCs/>
                <w:i/>
              </w:rPr>
              <w:t>Totaal 2008-2009</w:t>
            </w:r>
          </w:p>
        </w:tc>
        <w:tc>
          <w:tcPr>
            <w:tcW w:w="2600" w:type="dxa"/>
            <w:noWrap/>
            <w:hideMark/>
          </w:tcPr>
          <w:p w:rsidR="00EF59F0" w:rsidRPr="00EF59F0" w:rsidRDefault="00EF59F0" w:rsidP="00EF59F0">
            <w:pPr>
              <w:rPr>
                <w:b/>
                <w:bCs/>
                <w:i/>
              </w:rPr>
            </w:pPr>
          </w:p>
        </w:tc>
        <w:tc>
          <w:tcPr>
            <w:tcW w:w="1115" w:type="dxa"/>
            <w:noWrap/>
            <w:hideMark/>
          </w:tcPr>
          <w:p w:rsidR="00EF59F0" w:rsidRPr="00EF59F0" w:rsidRDefault="00EF59F0" w:rsidP="00EF59F0">
            <w:pPr>
              <w:jc w:val="right"/>
              <w:rPr>
                <w:b/>
                <w:bCs/>
                <w:i/>
              </w:rPr>
            </w:pPr>
            <w:r w:rsidRPr="00EF59F0">
              <w:rPr>
                <w:b/>
                <w:bCs/>
                <w:i/>
              </w:rPr>
              <w:t>2.090.924</w:t>
            </w:r>
          </w:p>
        </w:tc>
      </w:tr>
    </w:tbl>
    <w:p w:rsidR="00EF59F0" w:rsidRDefault="00EF59F0">
      <w:pPr>
        <w:rPr>
          <w:rFonts w:ascii="Times New Roman" w:hAnsi="Times New Roman" w:cs="Times New Roman"/>
        </w:rPr>
      </w:pPr>
    </w:p>
    <w:p w:rsidR="00EF59F0" w:rsidRDefault="00EF59F0">
      <w:pPr>
        <w:rPr>
          <w:rFonts w:ascii="Times New Roman" w:hAnsi="Times New Roman" w:cs="Times New Roman"/>
        </w:rPr>
      </w:pPr>
    </w:p>
    <w:p w:rsidR="00EF59F0" w:rsidRDefault="00EF59F0">
      <w:pPr>
        <w:rPr>
          <w:rFonts w:ascii="Times New Roman" w:hAnsi="Times New Roman" w:cs="Times New Roman"/>
        </w:rPr>
      </w:pPr>
    </w:p>
    <w:p w:rsidR="00EF59F0" w:rsidRDefault="00EF59F0">
      <w:pPr>
        <w:rPr>
          <w:rFonts w:ascii="Times New Roman" w:hAnsi="Times New Roman" w:cs="Times New Roman"/>
          <w:b/>
        </w:rPr>
      </w:pPr>
      <w:r w:rsidRPr="00EF59F0">
        <w:rPr>
          <w:rFonts w:ascii="Times New Roman" w:hAnsi="Times New Roman" w:cs="Times New Roman"/>
          <w:b/>
        </w:rPr>
        <w:lastRenderedPageBreak/>
        <w:t>Secundair onderwijs</w:t>
      </w:r>
    </w:p>
    <w:p w:rsidR="00EF59F0" w:rsidRPr="00EF59F0" w:rsidRDefault="00EF59F0">
      <w:pPr>
        <w:rPr>
          <w:rFonts w:ascii="Times New Roman" w:hAnsi="Times New Roman" w:cs="Times New Roman"/>
          <w:b/>
        </w:rPr>
      </w:pPr>
    </w:p>
    <w:p w:rsidR="00EF59F0" w:rsidRDefault="00EF59F0">
      <w:r w:rsidRPr="00EF59F0">
        <w:rPr>
          <w:noProof/>
          <w:lang w:eastAsia="nl-BE"/>
        </w:rPr>
        <w:drawing>
          <wp:inline distT="0" distB="0" distL="0" distR="0" wp14:anchorId="671327C4" wp14:editId="64E986CF">
            <wp:extent cx="8886825" cy="30194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0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F0" w:rsidRDefault="00EF59F0">
      <w:bookmarkStart w:id="0" w:name="_GoBack"/>
      <w:bookmarkEnd w:id="0"/>
    </w:p>
    <w:p w:rsidR="00EF59F0" w:rsidRDefault="00EF59F0"/>
    <w:p w:rsidR="00EF59F0" w:rsidRDefault="00EF59F0"/>
    <w:p w:rsidR="00EF59F0" w:rsidRDefault="00EF59F0"/>
    <w:p w:rsidR="00EF59F0" w:rsidRDefault="00EF59F0"/>
    <w:p w:rsidR="00EF59F0" w:rsidRDefault="00EF59F0"/>
    <w:sectPr w:rsidR="00EF59F0" w:rsidSect="00EF5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0"/>
    <w:rsid w:val="00034BC1"/>
    <w:rsid w:val="00043495"/>
    <w:rsid w:val="00465ADB"/>
    <w:rsid w:val="005E7109"/>
    <w:rsid w:val="00DA3374"/>
    <w:rsid w:val="00E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9F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F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9F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F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Vlaams Parlement</cp:lastModifiedBy>
  <cp:revision>2</cp:revision>
  <cp:lastPrinted>2012-05-18T06:19:00Z</cp:lastPrinted>
  <dcterms:created xsi:type="dcterms:W3CDTF">2012-06-04T10:00:00Z</dcterms:created>
  <dcterms:modified xsi:type="dcterms:W3CDTF">2012-06-04T10:00:00Z</dcterms:modified>
</cp:coreProperties>
</file>