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4" w:rsidRDefault="00C91F34" w:rsidP="00C91F34">
      <w:pPr>
        <w:rPr>
          <w:b/>
          <w:smallCaps/>
          <w:sz w:val="22"/>
        </w:rPr>
      </w:pPr>
      <w:r>
        <w:rPr>
          <w:b/>
          <w:smallCaps/>
          <w:sz w:val="22"/>
        </w:rPr>
        <w:t>ingrid lieten</w:t>
      </w:r>
    </w:p>
    <w:p w:rsidR="00C91F34" w:rsidRDefault="00C91F34" w:rsidP="00C91F34">
      <w:pPr>
        <w:pStyle w:val="StandaardSV"/>
        <w:rPr>
          <w:smallCaps/>
        </w:rPr>
      </w:pPr>
      <w:r>
        <w:rPr>
          <w:smallCaps/>
        </w:rPr>
        <w:t>viceminister-president van de vlaamse regering, vlaams minister van innovatie, overheidsinvesteringen, media en armoedebestrijding</w:t>
      </w:r>
    </w:p>
    <w:p w:rsidR="00C91F34" w:rsidRDefault="00C91F34" w:rsidP="00C91F34">
      <w:pPr>
        <w:pBdr>
          <w:bottom w:val="single" w:sz="4" w:space="1" w:color="auto"/>
        </w:pBdr>
        <w:rPr>
          <w:sz w:val="22"/>
        </w:rPr>
      </w:pPr>
    </w:p>
    <w:p w:rsidR="00C91F34" w:rsidRDefault="00C91F34" w:rsidP="00C91F34">
      <w:pPr>
        <w:rPr>
          <w:sz w:val="22"/>
        </w:rPr>
      </w:pPr>
    </w:p>
    <w:p w:rsidR="00C91F34" w:rsidRPr="00103D45" w:rsidRDefault="00C91F34" w:rsidP="00C91F34">
      <w:pPr>
        <w:rPr>
          <w:b/>
          <w:smallCaps/>
          <w:sz w:val="22"/>
          <w:szCs w:val="22"/>
        </w:rPr>
      </w:pPr>
      <w:r w:rsidRPr="00103D45">
        <w:rPr>
          <w:b/>
          <w:smallCaps/>
          <w:sz w:val="22"/>
          <w:szCs w:val="22"/>
        </w:rPr>
        <w:t>antwoord</w:t>
      </w:r>
    </w:p>
    <w:p w:rsidR="00C91F34" w:rsidRPr="00103D45" w:rsidRDefault="00C91F34" w:rsidP="00C91F34">
      <w:pPr>
        <w:rPr>
          <w:sz w:val="22"/>
          <w:szCs w:val="22"/>
        </w:rPr>
      </w:pPr>
      <w:r w:rsidRPr="00103D45">
        <w:rPr>
          <w:sz w:val="22"/>
          <w:szCs w:val="22"/>
        </w:rPr>
        <w:t xml:space="preserve">op vraag nr. </w:t>
      </w:r>
      <w:r>
        <w:rPr>
          <w:sz w:val="22"/>
          <w:szCs w:val="22"/>
        </w:rPr>
        <w:t>276</w:t>
      </w:r>
      <w:r w:rsidRPr="00103D45">
        <w:rPr>
          <w:sz w:val="22"/>
          <w:szCs w:val="22"/>
        </w:rPr>
        <w:t xml:space="preserve"> van </w:t>
      </w:r>
      <w:r>
        <w:rPr>
          <w:sz w:val="22"/>
        </w:rPr>
        <w:t>27 april 2012</w:t>
      </w:r>
    </w:p>
    <w:p w:rsidR="00C91F34" w:rsidRDefault="00C91F34" w:rsidP="00C91F34">
      <w:pPr>
        <w:rPr>
          <w:sz w:val="22"/>
        </w:rPr>
      </w:pPr>
      <w:r w:rsidRPr="00103D45">
        <w:rPr>
          <w:sz w:val="22"/>
          <w:szCs w:val="22"/>
        </w:rPr>
        <w:t xml:space="preserve">van </w:t>
      </w:r>
      <w:r>
        <w:rPr>
          <w:b/>
          <w:smallCaps/>
        </w:rPr>
        <w:t>robrecht bothuyne</w:t>
      </w:r>
    </w:p>
    <w:p w:rsidR="00C91F34" w:rsidRDefault="00C91F34" w:rsidP="00C91F34">
      <w:pPr>
        <w:pBdr>
          <w:bottom w:val="single" w:sz="4" w:space="1" w:color="auto"/>
        </w:pBdr>
        <w:jc w:val="both"/>
        <w:rPr>
          <w:sz w:val="22"/>
        </w:rPr>
      </w:pPr>
    </w:p>
    <w:p w:rsidR="00C91F34" w:rsidRPr="00FD3D60" w:rsidRDefault="00C91F34" w:rsidP="00C91F34">
      <w:pPr>
        <w:jc w:val="both"/>
        <w:rPr>
          <w:sz w:val="22"/>
          <w:szCs w:val="22"/>
        </w:rPr>
      </w:pPr>
    </w:p>
    <w:p w:rsidR="00C91F34" w:rsidRDefault="00C91F34" w:rsidP="0033547C">
      <w:pPr>
        <w:pStyle w:val="StandaardSV"/>
      </w:pPr>
    </w:p>
    <w:p w:rsidR="0033547C" w:rsidRDefault="004C61A3" w:rsidP="00C91F34">
      <w:pPr>
        <w:pStyle w:val="StandaardSV"/>
        <w:numPr>
          <w:ilvl w:val="0"/>
          <w:numId w:val="28"/>
        </w:numPr>
        <w:rPr>
          <w:b/>
        </w:rPr>
      </w:pPr>
      <w:r>
        <w:rPr>
          <w:b/>
        </w:rPr>
        <w:t>D</w:t>
      </w:r>
      <w:r w:rsidR="0033547C" w:rsidRPr="0033547C">
        <w:rPr>
          <w:b/>
        </w:rPr>
        <w:t xml:space="preserve">e concrete realisaties van de vijf innovatiecentra </w:t>
      </w:r>
      <w:r w:rsidR="00AE3470">
        <w:rPr>
          <w:b/>
        </w:rPr>
        <w:t>in de periode 2007-2010 en de vooruitzichten voor 2011-2012</w:t>
      </w:r>
    </w:p>
    <w:p w:rsidR="0033547C" w:rsidRDefault="0033547C" w:rsidP="0033547C">
      <w:pPr>
        <w:pStyle w:val="StandaardSV"/>
        <w:rPr>
          <w:b/>
        </w:rPr>
      </w:pPr>
    </w:p>
    <w:p w:rsidR="00CD3E87" w:rsidRPr="008C5242" w:rsidRDefault="00CD3E87" w:rsidP="00CD3E87">
      <w:pPr>
        <w:pStyle w:val="StandaardSV"/>
      </w:pPr>
      <w:r w:rsidRPr="008C5242">
        <w:t xml:space="preserve">De </w:t>
      </w:r>
      <w:r w:rsidR="004C61A3">
        <w:t xml:space="preserve">volgende </w:t>
      </w:r>
      <w:r w:rsidRPr="008C5242">
        <w:t xml:space="preserve">tabel geeft de resultaten die de Innovatiecentra in de periode 2007-2010 geboekt hebben. In de twee laatste kolommen vindt u het totaal over alle provincies en de oorspronkelijk voorziene streefwaarden voor elk van de </w:t>
      </w:r>
      <w:r w:rsidR="00972E7F">
        <w:t>kpi’s</w:t>
      </w:r>
      <w:r w:rsidRPr="008C5242">
        <w:t>.</w:t>
      </w:r>
    </w:p>
    <w:p w:rsidR="00CD3E87" w:rsidRPr="008C5242" w:rsidRDefault="00CD3E87" w:rsidP="00CD3E87">
      <w:pPr>
        <w:pStyle w:val="StandaardSV"/>
      </w:pPr>
      <w:r w:rsidRPr="008C5242">
        <w:t xml:space="preserve">We lichten er een aantal </w:t>
      </w:r>
      <w:r w:rsidR="008654E2">
        <w:t>uit</w:t>
      </w:r>
      <w:r w:rsidR="00C91F34">
        <w:t>. D</w:t>
      </w:r>
      <w:r w:rsidRPr="008C5242">
        <w:t xml:space="preserve">e Innovatiecentra hebben in de afgelopen periode 2007-2010 bijna 10.000 bedrijfsbezoeken afgelegd en hebben ongeveer 8.500 nieuwe klanten bereikt. Ze hebben meer dan 1.700 bedrijven begeleid naar kenniscentra en/of andere partners: in ongeveer 70% van de gevallen resulteert hieruit een effectieve samenwerking. Ze waren betrokken in het uitwerken van een kleine 1.200 innovatietrajecten met bedrijven en hebben bijna 1.800 innovatieadviezen verstrekt: ruim 70% daarvan worden effectief ook opgevolgd door het bedrijf. </w:t>
      </w:r>
    </w:p>
    <w:p w:rsidR="00CD3E87" w:rsidRPr="008C5242" w:rsidRDefault="00CD3E87" w:rsidP="00CD3E87">
      <w:pPr>
        <w:pStyle w:val="StandaardSV"/>
      </w:pPr>
      <w:r w:rsidRPr="008C5242">
        <w:t>Als front-</w:t>
      </w:r>
      <w:r w:rsidR="004C61A3">
        <w:t>o</w:t>
      </w:r>
      <w:r w:rsidRPr="008C5242">
        <w:t xml:space="preserve">ffice van het IWT hebben ze 521 IWT-dossiers begeleid, meestal voor nieuwe IWT-klanten: dat is ongeveer 35% van alle dossiers die </w:t>
      </w:r>
      <w:r w:rsidR="00C91F34">
        <w:t>tijdens deze periode binnen</w:t>
      </w:r>
      <w:r w:rsidRPr="008C5242">
        <w:t xml:space="preserve"> het </w:t>
      </w:r>
      <w:r w:rsidR="00C91F34">
        <w:t>kmo</w:t>
      </w:r>
      <w:r w:rsidRPr="008C5242">
        <w:t xml:space="preserve">-programma van het IWT </w:t>
      </w:r>
      <w:r w:rsidR="00C91F34">
        <w:t>w</w:t>
      </w:r>
      <w:r w:rsidRPr="008C5242">
        <w:t>erden ingediend.</w:t>
      </w:r>
    </w:p>
    <w:p w:rsidR="00CD3E87" w:rsidRDefault="00CD3E87" w:rsidP="00CD3E87">
      <w:pPr>
        <w:pStyle w:val="StandaardSV"/>
      </w:pPr>
    </w:p>
    <w:tbl>
      <w:tblPr>
        <w:tblW w:w="948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44"/>
        <w:gridCol w:w="709"/>
        <w:gridCol w:w="739"/>
        <w:gridCol w:w="850"/>
        <w:gridCol w:w="709"/>
        <w:gridCol w:w="992"/>
        <w:gridCol w:w="992"/>
        <w:gridCol w:w="947"/>
      </w:tblGrid>
      <w:tr w:rsidR="00CD3E87" w:rsidRPr="004C61A3" w:rsidTr="00EC745F">
        <w:trPr>
          <w:trHeight w:val="300"/>
          <w:tblHeader/>
        </w:trPr>
        <w:tc>
          <w:tcPr>
            <w:tcW w:w="3544" w:type="dxa"/>
            <w:shd w:val="clear" w:color="auto" w:fill="auto"/>
            <w:noWrap/>
            <w:vAlign w:val="bottom"/>
            <w:hideMark/>
          </w:tcPr>
          <w:p w:rsidR="00CD3E87" w:rsidRPr="004C61A3" w:rsidRDefault="00CD3E87" w:rsidP="00CD3E87">
            <w:pPr>
              <w:rPr>
                <w:color w:val="000000"/>
                <w:sz w:val="20"/>
                <w:lang w:val="nl-BE" w:eastAsia="nl-BE"/>
              </w:rPr>
            </w:pPr>
          </w:p>
        </w:tc>
        <w:tc>
          <w:tcPr>
            <w:tcW w:w="709"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W-VL</w:t>
            </w:r>
          </w:p>
        </w:tc>
        <w:tc>
          <w:tcPr>
            <w:tcW w:w="739"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O-VL</w:t>
            </w:r>
          </w:p>
        </w:tc>
        <w:tc>
          <w:tcPr>
            <w:tcW w:w="850"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ANTW</w:t>
            </w:r>
          </w:p>
        </w:tc>
        <w:tc>
          <w:tcPr>
            <w:tcW w:w="709"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LIMB</w:t>
            </w:r>
          </w:p>
        </w:tc>
        <w:tc>
          <w:tcPr>
            <w:tcW w:w="992"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VL-BRAB</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TOTAAL</w:t>
            </w:r>
          </w:p>
        </w:tc>
        <w:tc>
          <w:tcPr>
            <w:tcW w:w="947" w:type="dxa"/>
            <w:shd w:val="clear" w:color="auto" w:fill="auto"/>
            <w:noWrap/>
            <w:vAlign w:val="bottom"/>
            <w:hideMark/>
          </w:tcPr>
          <w:p w:rsidR="00CD3E87" w:rsidRPr="004C61A3" w:rsidRDefault="00CD3E87" w:rsidP="00CD3E87">
            <w:pPr>
              <w:rPr>
                <w:b/>
                <w:color w:val="000000"/>
                <w:sz w:val="20"/>
                <w:lang w:val="nl-BE" w:eastAsia="nl-BE"/>
              </w:rPr>
            </w:pPr>
            <w:r w:rsidRPr="004C61A3">
              <w:rPr>
                <w:b/>
                <w:color w:val="000000"/>
                <w:sz w:val="20"/>
                <w:lang w:val="nl-BE" w:eastAsia="nl-BE"/>
              </w:rPr>
              <w:t>Streef waarden</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Algemene promotieacties en informatieverspreiding</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235</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125</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125</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218</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120</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823</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622</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innovatieondersteunende publicaties/presentaties</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244</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166</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182</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173</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103</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868</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408</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georganiseerde seminaries/workshops</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168</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97</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93</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139</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102</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599</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472</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bedrijfsbezoeken</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1887</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1523</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2607</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2136</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1679</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9832</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6938</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punctuele interventies/diensten</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591</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551</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1270</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996</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1362</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4770</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2425</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begeleide doorverwijzingen of partner matchings</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506</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281</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216</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349</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378</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1730</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1290</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technologieprofielen ingebracht in IRC of E.E.N.</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30</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16</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23</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19</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46</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134</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88</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innovatieadviezen met rapport</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331</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204</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338</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337</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565</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1775</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1140</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uitgevoerde innovatieaudits</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43</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62</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49</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36</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97</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287</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497</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uitgewerkte innovatieplannen/trajecten</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191</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321</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274</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235</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147</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1168</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950</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IWT-innovatiestudies waarvan de indiening begeleid werd</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35</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73</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52</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47</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45</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252</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234</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ingediende IWT/EU-innovatieprojecten waarvan de indiening begeleid werd</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56</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42</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61</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63</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47</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269</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163</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innovatieplannen waarvan de uitvoering begeleid werd</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45</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51</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94</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68</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75</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333</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403</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nieuwe klanten</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1719</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1640</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2149</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1211</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1872</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8591</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4550</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t>Aantal samenwerkingen met andere intermediairen</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293</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102</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104</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263</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133</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895</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498</w:t>
            </w:r>
          </w:p>
        </w:tc>
      </w:tr>
      <w:tr w:rsidR="00CD3E87" w:rsidRPr="004C61A3" w:rsidTr="004C61A3">
        <w:trPr>
          <w:trHeight w:val="300"/>
        </w:trPr>
        <w:tc>
          <w:tcPr>
            <w:tcW w:w="3544" w:type="dxa"/>
            <w:shd w:val="clear" w:color="auto" w:fill="auto"/>
            <w:noWrap/>
            <w:vAlign w:val="bottom"/>
            <w:hideMark/>
          </w:tcPr>
          <w:p w:rsidR="00CD3E87" w:rsidRPr="004C61A3" w:rsidRDefault="00CD3E87" w:rsidP="00CD3E87">
            <w:pPr>
              <w:rPr>
                <w:color w:val="000000"/>
                <w:sz w:val="20"/>
                <w:lang w:val="nl-BE" w:eastAsia="nl-BE"/>
              </w:rPr>
            </w:pPr>
            <w:r w:rsidRPr="004C61A3">
              <w:rPr>
                <w:color w:val="000000"/>
                <w:sz w:val="20"/>
                <w:lang w:val="nl-BE" w:eastAsia="nl-BE"/>
              </w:rPr>
              <w:lastRenderedPageBreak/>
              <w:t>Aantal netwerkondersteunende activiteiten</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166</w:t>
            </w:r>
          </w:p>
        </w:tc>
        <w:tc>
          <w:tcPr>
            <w:tcW w:w="73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79</w:t>
            </w:r>
          </w:p>
        </w:tc>
        <w:tc>
          <w:tcPr>
            <w:tcW w:w="850"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84</w:t>
            </w:r>
          </w:p>
        </w:tc>
        <w:tc>
          <w:tcPr>
            <w:tcW w:w="709"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100</w:t>
            </w:r>
          </w:p>
        </w:tc>
        <w:tc>
          <w:tcPr>
            <w:tcW w:w="992" w:type="dxa"/>
            <w:shd w:val="clear" w:color="auto" w:fill="auto"/>
            <w:noWrap/>
            <w:vAlign w:val="bottom"/>
            <w:hideMark/>
          </w:tcPr>
          <w:p w:rsidR="00CD3E87" w:rsidRPr="004C61A3" w:rsidRDefault="00CD3E87" w:rsidP="00CD3E87">
            <w:pPr>
              <w:jc w:val="right"/>
              <w:rPr>
                <w:color w:val="000000"/>
                <w:sz w:val="20"/>
                <w:lang w:val="nl-BE" w:eastAsia="nl-BE"/>
              </w:rPr>
            </w:pPr>
            <w:r w:rsidRPr="004C61A3">
              <w:rPr>
                <w:color w:val="000000"/>
                <w:sz w:val="20"/>
                <w:lang w:val="nl-BE" w:eastAsia="nl-BE"/>
              </w:rPr>
              <w:t>47</w:t>
            </w:r>
          </w:p>
        </w:tc>
        <w:tc>
          <w:tcPr>
            <w:tcW w:w="992"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476</w:t>
            </w:r>
          </w:p>
        </w:tc>
        <w:tc>
          <w:tcPr>
            <w:tcW w:w="947" w:type="dxa"/>
            <w:shd w:val="clear" w:color="auto" w:fill="auto"/>
            <w:noWrap/>
            <w:vAlign w:val="bottom"/>
            <w:hideMark/>
          </w:tcPr>
          <w:p w:rsidR="00CD3E87" w:rsidRPr="004C61A3" w:rsidRDefault="00CD3E87" w:rsidP="00CD3E87">
            <w:pPr>
              <w:jc w:val="right"/>
              <w:rPr>
                <w:b/>
                <w:color w:val="000000"/>
                <w:sz w:val="20"/>
                <w:lang w:val="nl-BE" w:eastAsia="nl-BE"/>
              </w:rPr>
            </w:pPr>
            <w:r w:rsidRPr="004C61A3">
              <w:rPr>
                <w:b/>
                <w:color w:val="000000"/>
                <w:sz w:val="20"/>
                <w:lang w:val="nl-BE" w:eastAsia="nl-BE"/>
              </w:rPr>
              <w:t>308</w:t>
            </w:r>
          </w:p>
        </w:tc>
      </w:tr>
    </w:tbl>
    <w:p w:rsidR="00A02238" w:rsidRPr="004C61A3" w:rsidRDefault="00A02238" w:rsidP="00CD3E87">
      <w:pPr>
        <w:pStyle w:val="StandaardSV"/>
        <w:rPr>
          <w:sz w:val="20"/>
        </w:rPr>
      </w:pPr>
    </w:p>
    <w:p w:rsidR="00972E7F" w:rsidRPr="00AE3470" w:rsidRDefault="00A329CB" w:rsidP="00972E7F">
      <w:pPr>
        <w:pStyle w:val="StandaardSV"/>
        <w:rPr>
          <w:color w:val="000000"/>
          <w:szCs w:val="22"/>
        </w:rPr>
      </w:pPr>
      <w:r w:rsidRPr="00AE3470">
        <w:rPr>
          <w:color w:val="000000"/>
          <w:szCs w:val="22"/>
        </w:rPr>
        <w:t>Op advies van de externe deskundigen die de projectvoorstellen voor de huidige periode 2011-2014 geëvalueerd hebben</w:t>
      </w:r>
      <w:r w:rsidR="00C91F34">
        <w:rPr>
          <w:color w:val="000000"/>
          <w:szCs w:val="22"/>
        </w:rPr>
        <w:t>,</w:t>
      </w:r>
      <w:r w:rsidRPr="00AE3470">
        <w:rPr>
          <w:color w:val="000000"/>
          <w:szCs w:val="22"/>
        </w:rPr>
        <w:t xml:space="preserve"> werd het aantal indicatoren gereduceerd naar 7 outputindicatoren (in plaats van de 18 indicatoren die in de periode 2007-2010 gebruikt werden). Onderstaande tabel geeft de targets </w:t>
      </w:r>
      <w:r w:rsidR="00972E7F" w:rsidRPr="00AE3470">
        <w:rPr>
          <w:color w:val="000000"/>
          <w:szCs w:val="22"/>
        </w:rPr>
        <w:t xml:space="preserve">voor </w:t>
      </w:r>
      <w:r w:rsidR="00AF4EEA" w:rsidRPr="00AE3470">
        <w:rPr>
          <w:color w:val="000000"/>
          <w:szCs w:val="22"/>
        </w:rPr>
        <w:t xml:space="preserve">2011-2012. </w:t>
      </w:r>
      <w:r w:rsidR="00972E7F" w:rsidRPr="00AE3470">
        <w:rPr>
          <w:color w:val="000000"/>
          <w:szCs w:val="22"/>
        </w:rPr>
        <w:t>De voortgangsverslagen die bij het IWT voor het jaar 2011 werden ingediend</w:t>
      </w:r>
      <w:r w:rsidR="00C91F34">
        <w:rPr>
          <w:color w:val="000000"/>
          <w:szCs w:val="22"/>
        </w:rPr>
        <w:t>,</w:t>
      </w:r>
      <w:r w:rsidR="00972E7F" w:rsidRPr="00AE3470">
        <w:rPr>
          <w:color w:val="000000"/>
          <w:szCs w:val="22"/>
        </w:rPr>
        <w:t xml:space="preserve"> laten vermoeden dat deze targets zeker zullen gehaald worden.</w:t>
      </w:r>
    </w:p>
    <w:p w:rsidR="00C91F34" w:rsidRDefault="00C91F34" w:rsidP="00972E7F">
      <w:pPr>
        <w:pStyle w:val="StandaardSV"/>
        <w:rPr>
          <w:color w:val="000000"/>
          <w:szCs w:val="22"/>
        </w:rPr>
      </w:pPr>
    </w:p>
    <w:p w:rsidR="00A329CB" w:rsidRPr="00AE3470" w:rsidRDefault="00A329CB" w:rsidP="00972E7F">
      <w:pPr>
        <w:pStyle w:val="StandaardSV"/>
        <w:rPr>
          <w:color w:val="000000"/>
          <w:szCs w:val="22"/>
        </w:rPr>
      </w:pPr>
      <w:r w:rsidRPr="00AE3470">
        <w:rPr>
          <w:color w:val="000000"/>
          <w:szCs w:val="22"/>
        </w:rPr>
        <w:t>De targets voor de tweede biënnale worden pas na de tussentijdse evaluatie (najaar 2012) vastgelegd.</w:t>
      </w:r>
    </w:p>
    <w:p w:rsidR="00A329CB" w:rsidRPr="004C61A3" w:rsidRDefault="00A329CB" w:rsidP="00A329CB">
      <w:pPr>
        <w:pStyle w:val="StandaardSV"/>
        <w:ind w:left="360"/>
        <w:rPr>
          <w:color w:val="000000"/>
          <w:sz w:val="20"/>
        </w:rPr>
      </w:pPr>
      <w:r w:rsidRPr="004C61A3">
        <w:rPr>
          <w:color w:val="000000"/>
          <w:sz w:val="20"/>
        </w:rPr>
        <w:t xml:space="preserve"> </w:t>
      </w:r>
    </w:p>
    <w:tbl>
      <w:tblPr>
        <w:tblW w:w="9513"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43"/>
        <w:gridCol w:w="1134"/>
        <w:gridCol w:w="1134"/>
        <w:gridCol w:w="1134"/>
        <w:gridCol w:w="1134"/>
        <w:gridCol w:w="1134"/>
      </w:tblGrid>
      <w:tr w:rsidR="00A329CB" w:rsidRPr="004C61A3" w:rsidTr="00A329CB">
        <w:trPr>
          <w:trHeight w:val="1275"/>
        </w:trPr>
        <w:tc>
          <w:tcPr>
            <w:tcW w:w="3843" w:type="dxa"/>
            <w:shd w:val="clear" w:color="auto" w:fill="auto"/>
            <w:noWrap/>
            <w:vAlign w:val="bottom"/>
            <w:hideMark/>
          </w:tcPr>
          <w:p w:rsidR="00A329CB" w:rsidRPr="004C61A3" w:rsidRDefault="00A329CB" w:rsidP="00A329CB">
            <w:pPr>
              <w:rPr>
                <w:color w:val="000000"/>
                <w:sz w:val="20"/>
                <w:lang w:val="nl-BE" w:eastAsia="nl-BE"/>
              </w:rPr>
            </w:pPr>
            <w:r w:rsidRPr="004C61A3">
              <w:rPr>
                <w:color w:val="000000"/>
                <w:sz w:val="20"/>
                <w:lang w:val="nl-BE" w:eastAsia="nl-BE"/>
              </w:rPr>
              <w:t> </w:t>
            </w:r>
          </w:p>
        </w:tc>
        <w:tc>
          <w:tcPr>
            <w:tcW w:w="1134" w:type="dxa"/>
            <w:shd w:val="clear" w:color="auto" w:fill="auto"/>
            <w:noWrap/>
            <w:vAlign w:val="bottom"/>
            <w:hideMark/>
          </w:tcPr>
          <w:p w:rsidR="00A329CB" w:rsidRPr="004C61A3" w:rsidRDefault="00A329CB" w:rsidP="00A329CB">
            <w:pPr>
              <w:jc w:val="center"/>
              <w:rPr>
                <w:color w:val="000000"/>
                <w:sz w:val="20"/>
                <w:lang w:val="nl-BE" w:eastAsia="nl-BE"/>
              </w:rPr>
            </w:pPr>
            <w:r w:rsidRPr="004C61A3">
              <w:rPr>
                <w:color w:val="000000"/>
                <w:sz w:val="20"/>
                <w:lang w:val="nl-BE" w:eastAsia="nl-BE"/>
              </w:rPr>
              <w:t>Streefcijfer 2011 - 2012 W-VL</w:t>
            </w:r>
          </w:p>
        </w:tc>
        <w:tc>
          <w:tcPr>
            <w:tcW w:w="1134" w:type="dxa"/>
            <w:shd w:val="clear" w:color="auto" w:fill="auto"/>
            <w:noWrap/>
            <w:vAlign w:val="bottom"/>
            <w:hideMark/>
          </w:tcPr>
          <w:p w:rsidR="00A329CB" w:rsidRPr="004C61A3" w:rsidRDefault="00A329CB" w:rsidP="00A329CB">
            <w:pPr>
              <w:jc w:val="center"/>
              <w:rPr>
                <w:color w:val="000000"/>
                <w:sz w:val="20"/>
                <w:lang w:val="nl-BE" w:eastAsia="nl-BE"/>
              </w:rPr>
            </w:pPr>
            <w:r w:rsidRPr="004C61A3">
              <w:rPr>
                <w:color w:val="000000"/>
                <w:sz w:val="20"/>
                <w:lang w:val="nl-BE" w:eastAsia="nl-BE"/>
              </w:rPr>
              <w:t>Streefcijfer 2011 - 2012 O-VL</w:t>
            </w:r>
          </w:p>
        </w:tc>
        <w:tc>
          <w:tcPr>
            <w:tcW w:w="1134" w:type="dxa"/>
            <w:shd w:val="clear" w:color="auto" w:fill="auto"/>
            <w:noWrap/>
            <w:vAlign w:val="bottom"/>
            <w:hideMark/>
          </w:tcPr>
          <w:p w:rsidR="00A329CB" w:rsidRPr="004C61A3" w:rsidRDefault="00A329CB" w:rsidP="00A329CB">
            <w:pPr>
              <w:jc w:val="center"/>
              <w:rPr>
                <w:color w:val="000000"/>
                <w:sz w:val="20"/>
                <w:lang w:val="nl-BE" w:eastAsia="nl-BE"/>
              </w:rPr>
            </w:pPr>
            <w:r w:rsidRPr="004C61A3">
              <w:rPr>
                <w:color w:val="000000"/>
                <w:sz w:val="20"/>
                <w:lang w:val="nl-BE" w:eastAsia="nl-BE"/>
              </w:rPr>
              <w:t>Streefcijfer 2011 - 2012 ANTW</w:t>
            </w:r>
          </w:p>
        </w:tc>
        <w:tc>
          <w:tcPr>
            <w:tcW w:w="1134" w:type="dxa"/>
            <w:shd w:val="clear" w:color="auto" w:fill="auto"/>
            <w:noWrap/>
            <w:vAlign w:val="bottom"/>
            <w:hideMark/>
          </w:tcPr>
          <w:p w:rsidR="00A329CB" w:rsidRPr="004C61A3" w:rsidRDefault="00A329CB" w:rsidP="00A329CB">
            <w:pPr>
              <w:jc w:val="center"/>
              <w:rPr>
                <w:color w:val="000000"/>
                <w:sz w:val="20"/>
                <w:lang w:val="nl-BE" w:eastAsia="nl-BE"/>
              </w:rPr>
            </w:pPr>
            <w:r w:rsidRPr="004C61A3">
              <w:rPr>
                <w:color w:val="000000"/>
                <w:sz w:val="20"/>
                <w:lang w:val="nl-BE" w:eastAsia="nl-BE"/>
              </w:rPr>
              <w:t>Streefcijfer 2011 - 2012 LIM</w:t>
            </w:r>
          </w:p>
        </w:tc>
        <w:tc>
          <w:tcPr>
            <w:tcW w:w="1134" w:type="dxa"/>
            <w:shd w:val="clear" w:color="auto" w:fill="auto"/>
            <w:noWrap/>
            <w:vAlign w:val="bottom"/>
            <w:hideMark/>
          </w:tcPr>
          <w:p w:rsidR="00A329CB" w:rsidRPr="004C61A3" w:rsidRDefault="00A329CB" w:rsidP="00A329CB">
            <w:pPr>
              <w:jc w:val="center"/>
              <w:rPr>
                <w:color w:val="000000"/>
                <w:sz w:val="20"/>
                <w:lang w:val="nl-BE" w:eastAsia="nl-BE"/>
              </w:rPr>
            </w:pPr>
            <w:r w:rsidRPr="004C61A3">
              <w:rPr>
                <w:color w:val="000000"/>
                <w:sz w:val="20"/>
                <w:lang w:val="nl-BE" w:eastAsia="nl-BE"/>
              </w:rPr>
              <w:t>Streefcijfer 2011 - 2012 VL-BRAB</w:t>
            </w:r>
          </w:p>
        </w:tc>
      </w:tr>
      <w:tr w:rsidR="00A329CB" w:rsidRPr="004C61A3" w:rsidTr="00A329CB">
        <w:trPr>
          <w:trHeight w:val="420"/>
        </w:trPr>
        <w:tc>
          <w:tcPr>
            <w:tcW w:w="3843" w:type="dxa"/>
            <w:shd w:val="clear" w:color="auto" w:fill="auto"/>
            <w:noWrap/>
            <w:vAlign w:val="bottom"/>
            <w:hideMark/>
          </w:tcPr>
          <w:p w:rsidR="00A329CB" w:rsidRPr="004C61A3" w:rsidRDefault="00A329CB" w:rsidP="00A329CB">
            <w:pPr>
              <w:rPr>
                <w:iCs/>
                <w:color w:val="000000"/>
                <w:sz w:val="20"/>
                <w:lang w:val="nl-BE" w:eastAsia="nl-BE"/>
              </w:rPr>
            </w:pPr>
            <w:r w:rsidRPr="004C61A3">
              <w:rPr>
                <w:iCs/>
                <w:color w:val="000000"/>
                <w:sz w:val="20"/>
                <w:lang w:val="nl-BE" w:eastAsia="nl-BE"/>
              </w:rPr>
              <w:t>aantal IWT-innovatiestudies, IWT-innovatieprojecten of EU-innovatieprojecten dat begeleid werd (voorbereiding, uitvoering, nazorg)</w:t>
            </w:r>
          </w:p>
          <w:p w:rsidR="00A329CB" w:rsidRPr="004C61A3" w:rsidRDefault="00A329CB" w:rsidP="00A329CB">
            <w:pPr>
              <w:rPr>
                <w:iCs/>
                <w:color w:val="000000"/>
                <w:sz w:val="20"/>
                <w:lang w:val="nl-BE" w:eastAsia="nl-BE"/>
              </w:rPr>
            </w:pP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48</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50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66</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44</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48</w:t>
            </w:r>
          </w:p>
        </w:tc>
      </w:tr>
      <w:tr w:rsidR="00A329CB" w:rsidRPr="004C61A3" w:rsidTr="00A329CB">
        <w:trPr>
          <w:trHeight w:val="420"/>
        </w:trPr>
        <w:tc>
          <w:tcPr>
            <w:tcW w:w="3843" w:type="dxa"/>
            <w:shd w:val="clear" w:color="auto" w:fill="auto"/>
            <w:noWrap/>
            <w:vAlign w:val="bottom"/>
            <w:hideMark/>
          </w:tcPr>
          <w:p w:rsidR="00A329CB" w:rsidRPr="004C61A3" w:rsidRDefault="00A329CB" w:rsidP="00A329CB">
            <w:pPr>
              <w:rPr>
                <w:iCs/>
                <w:color w:val="000000"/>
                <w:sz w:val="20"/>
                <w:lang w:val="nl-BE" w:eastAsia="nl-BE"/>
              </w:rPr>
            </w:pPr>
            <w:r w:rsidRPr="004C61A3">
              <w:rPr>
                <w:iCs/>
                <w:color w:val="000000"/>
                <w:sz w:val="20"/>
                <w:lang w:val="nl-BE" w:eastAsia="nl-BE"/>
              </w:rPr>
              <w:t>aantal begeleide doorverwijzingen of partnerships met resultaat voor het bedrijf</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136</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130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141</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128</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136</w:t>
            </w:r>
          </w:p>
        </w:tc>
      </w:tr>
      <w:tr w:rsidR="00A329CB" w:rsidRPr="004C61A3" w:rsidTr="00A329CB">
        <w:trPr>
          <w:trHeight w:val="420"/>
        </w:trPr>
        <w:tc>
          <w:tcPr>
            <w:tcW w:w="3843" w:type="dxa"/>
            <w:shd w:val="clear" w:color="auto" w:fill="auto"/>
            <w:noWrap/>
            <w:vAlign w:val="bottom"/>
            <w:hideMark/>
          </w:tcPr>
          <w:p w:rsidR="00A329CB" w:rsidRPr="004C61A3" w:rsidRDefault="00A329CB" w:rsidP="00A329CB">
            <w:pPr>
              <w:rPr>
                <w:iCs/>
                <w:color w:val="000000"/>
                <w:sz w:val="20"/>
                <w:lang w:val="nl-BE" w:eastAsia="nl-BE"/>
              </w:rPr>
            </w:pPr>
            <w:r w:rsidRPr="004C61A3">
              <w:rPr>
                <w:iCs/>
                <w:color w:val="000000"/>
                <w:sz w:val="20"/>
                <w:lang w:val="nl-BE" w:eastAsia="nl-BE"/>
              </w:rPr>
              <w:t xml:space="preserve">aantal nieuwe klanten vanuit </w:t>
            </w:r>
            <w:r w:rsidR="00AF4EEA" w:rsidRPr="004C61A3">
              <w:rPr>
                <w:iCs/>
                <w:color w:val="000000"/>
                <w:sz w:val="20"/>
                <w:lang w:val="nl-BE" w:eastAsia="nl-BE"/>
              </w:rPr>
              <w:t>proactieve</w:t>
            </w:r>
            <w:r w:rsidRPr="004C61A3">
              <w:rPr>
                <w:iCs/>
                <w:color w:val="000000"/>
                <w:sz w:val="20"/>
                <w:lang w:val="nl-BE" w:eastAsia="nl-BE"/>
              </w:rPr>
              <w:t xml:space="preserve"> acties</w:t>
            </w:r>
          </w:p>
          <w:p w:rsidR="00A329CB" w:rsidRPr="004C61A3" w:rsidRDefault="00A329CB" w:rsidP="00A329CB">
            <w:pPr>
              <w:rPr>
                <w:iCs/>
                <w:color w:val="000000"/>
                <w:sz w:val="20"/>
                <w:lang w:val="nl-BE" w:eastAsia="nl-BE"/>
              </w:rPr>
            </w:pP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160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170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188</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160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160</w:t>
            </w:r>
          </w:p>
        </w:tc>
      </w:tr>
      <w:tr w:rsidR="00A329CB" w:rsidRPr="004C61A3" w:rsidTr="00A329CB">
        <w:trPr>
          <w:trHeight w:val="420"/>
        </w:trPr>
        <w:tc>
          <w:tcPr>
            <w:tcW w:w="3843" w:type="dxa"/>
            <w:shd w:val="clear" w:color="auto" w:fill="auto"/>
            <w:noWrap/>
            <w:vAlign w:val="bottom"/>
            <w:hideMark/>
          </w:tcPr>
          <w:p w:rsidR="00A329CB" w:rsidRPr="004C61A3" w:rsidRDefault="00A329CB" w:rsidP="00A329CB">
            <w:pPr>
              <w:rPr>
                <w:iCs/>
                <w:color w:val="000000"/>
                <w:sz w:val="20"/>
                <w:lang w:val="nl-BE" w:eastAsia="nl-BE"/>
              </w:rPr>
            </w:pPr>
            <w:r w:rsidRPr="004C61A3">
              <w:rPr>
                <w:iCs/>
                <w:color w:val="000000"/>
                <w:sz w:val="20"/>
                <w:lang w:val="nl-BE" w:eastAsia="nl-BE"/>
              </w:rPr>
              <w:t>aantal bedrijven dat aangezet werd om stappen internationaal te zetten in innovatie, o.a. via gebruik van EEN</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24</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20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19</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30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16</w:t>
            </w:r>
          </w:p>
        </w:tc>
      </w:tr>
      <w:tr w:rsidR="00A329CB" w:rsidRPr="004C61A3" w:rsidTr="00A329CB">
        <w:trPr>
          <w:trHeight w:val="420"/>
        </w:trPr>
        <w:tc>
          <w:tcPr>
            <w:tcW w:w="3843" w:type="dxa"/>
            <w:shd w:val="clear" w:color="auto" w:fill="auto"/>
            <w:noWrap/>
            <w:vAlign w:val="bottom"/>
            <w:hideMark/>
          </w:tcPr>
          <w:p w:rsidR="00A329CB" w:rsidRPr="004C61A3" w:rsidRDefault="00A329CB" w:rsidP="00A329CB">
            <w:pPr>
              <w:rPr>
                <w:iCs/>
                <w:color w:val="000000"/>
                <w:sz w:val="20"/>
                <w:lang w:val="nl-BE" w:eastAsia="nl-BE"/>
              </w:rPr>
            </w:pPr>
            <w:r w:rsidRPr="004C61A3">
              <w:rPr>
                <w:iCs/>
                <w:color w:val="000000"/>
                <w:sz w:val="20"/>
                <w:lang w:val="nl-BE" w:eastAsia="nl-BE"/>
              </w:rPr>
              <w:t>aantal innovatieadviezen</w:t>
            </w:r>
          </w:p>
          <w:p w:rsidR="00A329CB" w:rsidRPr="004C61A3" w:rsidRDefault="00A329CB" w:rsidP="00A329CB">
            <w:pPr>
              <w:rPr>
                <w:iCs/>
                <w:color w:val="000000"/>
                <w:sz w:val="20"/>
                <w:lang w:val="nl-BE" w:eastAsia="nl-BE"/>
              </w:rPr>
            </w:pP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160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160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179</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160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160</w:t>
            </w:r>
          </w:p>
        </w:tc>
      </w:tr>
      <w:tr w:rsidR="00A329CB" w:rsidRPr="004C61A3" w:rsidTr="00A329CB">
        <w:trPr>
          <w:trHeight w:val="420"/>
        </w:trPr>
        <w:tc>
          <w:tcPr>
            <w:tcW w:w="3843" w:type="dxa"/>
            <w:shd w:val="clear" w:color="auto" w:fill="auto"/>
            <w:noWrap/>
            <w:vAlign w:val="bottom"/>
            <w:hideMark/>
          </w:tcPr>
          <w:p w:rsidR="00A329CB" w:rsidRPr="004C61A3" w:rsidRDefault="00A329CB" w:rsidP="00A329CB">
            <w:pPr>
              <w:rPr>
                <w:iCs/>
                <w:color w:val="000000"/>
                <w:sz w:val="20"/>
                <w:lang w:val="nl-BE" w:eastAsia="nl-BE"/>
              </w:rPr>
            </w:pPr>
            <w:r w:rsidRPr="004C61A3">
              <w:rPr>
                <w:iCs/>
                <w:color w:val="000000"/>
                <w:sz w:val="20"/>
                <w:lang w:val="nl-BE" w:eastAsia="nl-BE"/>
              </w:rPr>
              <w:t>aantal innovatieadviezen dat daadwerkelijk door de bedrijven geïmplementeerd werd</w:t>
            </w:r>
          </w:p>
          <w:p w:rsidR="00A329CB" w:rsidRPr="004C61A3" w:rsidRDefault="00A329CB" w:rsidP="00A329CB">
            <w:pPr>
              <w:rPr>
                <w:iCs/>
                <w:color w:val="000000"/>
                <w:sz w:val="20"/>
                <w:lang w:val="nl-BE" w:eastAsia="nl-BE"/>
              </w:rPr>
            </w:pP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104</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105</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117</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104</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104</w:t>
            </w:r>
          </w:p>
        </w:tc>
      </w:tr>
      <w:tr w:rsidR="00A329CB" w:rsidRPr="004C61A3" w:rsidTr="00A329CB">
        <w:trPr>
          <w:trHeight w:val="435"/>
        </w:trPr>
        <w:tc>
          <w:tcPr>
            <w:tcW w:w="3843" w:type="dxa"/>
            <w:shd w:val="clear" w:color="auto" w:fill="auto"/>
            <w:noWrap/>
            <w:vAlign w:val="bottom"/>
            <w:hideMark/>
          </w:tcPr>
          <w:p w:rsidR="00A329CB" w:rsidRPr="004C61A3" w:rsidRDefault="00A329CB" w:rsidP="00A329CB">
            <w:pPr>
              <w:rPr>
                <w:iCs/>
                <w:color w:val="000000"/>
                <w:sz w:val="20"/>
                <w:lang w:val="nl-BE" w:eastAsia="nl-BE"/>
              </w:rPr>
            </w:pPr>
            <w:r w:rsidRPr="004C61A3">
              <w:rPr>
                <w:iCs/>
                <w:color w:val="000000"/>
                <w:sz w:val="20"/>
                <w:lang w:val="nl-BE" w:eastAsia="nl-BE"/>
              </w:rPr>
              <w:t>aantal bedrijven dat door tussenkomst van een innovatiecentrum een stap naar hogere innovatiematuriteit gezet heeft</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203</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200</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223</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195</w:t>
            </w:r>
          </w:p>
        </w:tc>
        <w:tc>
          <w:tcPr>
            <w:tcW w:w="1134" w:type="dxa"/>
            <w:shd w:val="clear" w:color="auto" w:fill="auto"/>
            <w:noWrap/>
            <w:vAlign w:val="bottom"/>
            <w:hideMark/>
          </w:tcPr>
          <w:p w:rsidR="00A329CB" w:rsidRPr="004C61A3" w:rsidRDefault="00A329CB" w:rsidP="00A329CB">
            <w:pPr>
              <w:jc w:val="center"/>
              <w:rPr>
                <w:sz w:val="20"/>
                <w:lang w:val="nl-BE" w:eastAsia="nl-BE"/>
              </w:rPr>
            </w:pPr>
            <w:r w:rsidRPr="004C61A3">
              <w:rPr>
                <w:sz w:val="20"/>
                <w:lang w:val="nl-BE" w:eastAsia="nl-BE"/>
              </w:rPr>
              <w:t>198</w:t>
            </w:r>
          </w:p>
        </w:tc>
      </w:tr>
    </w:tbl>
    <w:p w:rsidR="0017784D" w:rsidRDefault="0017784D" w:rsidP="00CD3E87">
      <w:pPr>
        <w:pStyle w:val="StandaardSV"/>
      </w:pPr>
    </w:p>
    <w:p w:rsidR="00972E7F" w:rsidRPr="00972E7F" w:rsidRDefault="00AE3470" w:rsidP="00C91F34">
      <w:pPr>
        <w:pStyle w:val="StandaardSV"/>
        <w:numPr>
          <w:ilvl w:val="0"/>
          <w:numId w:val="28"/>
        </w:numPr>
        <w:rPr>
          <w:b/>
        </w:rPr>
      </w:pPr>
      <w:r>
        <w:rPr>
          <w:b/>
        </w:rPr>
        <w:t xml:space="preserve">De </w:t>
      </w:r>
      <w:r w:rsidR="00972E7F" w:rsidRPr="00972E7F">
        <w:rPr>
          <w:b/>
        </w:rPr>
        <w:t xml:space="preserve">doelstellingen van de vijf innovatiecentra </w:t>
      </w:r>
    </w:p>
    <w:p w:rsidR="00472F64" w:rsidRDefault="00472F64" w:rsidP="00472F64">
      <w:pPr>
        <w:pStyle w:val="Rapport1"/>
        <w:ind w:left="0"/>
        <w:jc w:val="both"/>
      </w:pPr>
      <w:r>
        <w:rPr>
          <w:lang w:val="nl-NL" w:eastAsia="nl-NL"/>
        </w:rPr>
        <w:t xml:space="preserve">De Innovatiecentra zijn uitvoerder van de </w:t>
      </w:r>
      <w:r w:rsidRPr="00C91F34">
        <w:rPr>
          <w:lang w:val="nl-NL" w:eastAsia="nl-NL"/>
        </w:rPr>
        <w:t>p</w:t>
      </w:r>
      <w:r w:rsidRPr="00C91F34">
        <w:rPr>
          <w:lang w:val="nl-NL"/>
        </w:rPr>
        <w:t>rojecten</w:t>
      </w:r>
      <w:r>
        <w:t xml:space="preserve"> regionale innovatiestimulering. Deze projecten hebben als missie om vanuit een relaisfunctie binnen het Vlaams Innovatienetwerk</w:t>
      </w:r>
      <w:r w:rsidR="00A25C41">
        <w:t xml:space="preserve"> (VIN) </w:t>
      </w:r>
      <w:r>
        <w:t>bedrijven en ondernemers binnen een provincie aan te moedigen en te begeleiden om efficiënt en duurzaam te innoveren. De doelstelling is om het aantal bedrijven waarbij innovatie deel is van de groeistrategie te vergroten. Dit omvat:</w:t>
      </w:r>
    </w:p>
    <w:p w:rsidR="00472F64" w:rsidRDefault="00A25C41" w:rsidP="00472F64">
      <w:pPr>
        <w:pStyle w:val="Rapport1"/>
        <w:numPr>
          <w:ilvl w:val="0"/>
          <w:numId w:val="27"/>
        </w:numPr>
        <w:jc w:val="both"/>
      </w:pPr>
      <w:r>
        <w:t>h</w:t>
      </w:r>
      <w:r w:rsidR="00472F64">
        <w:t xml:space="preserve">et informeren van de doelgroep over de steunmaatregelen van de Vlaamse overheid (inzonderheid het IWT) en het begeleiden van bedrijven (inzonderheid kmo’s) uit de provincie bij het aanvragen van overheidssteun </w:t>
      </w:r>
      <w:r w:rsidR="00C91F34">
        <w:t>voor</w:t>
      </w:r>
      <w:r w:rsidR="00472F64">
        <w:t xml:space="preserve"> innov</w:t>
      </w:r>
      <w:r>
        <w:t>atie (inzonderheid bij het IWT)</w:t>
      </w:r>
      <w:r w:rsidR="00C91F34">
        <w:t>,</w:t>
      </w:r>
    </w:p>
    <w:p w:rsidR="00472F64" w:rsidRDefault="00A25C41" w:rsidP="00472F64">
      <w:pPr>
        <w:pStyle w:val="Rapport1"/>
        <w:numPr>
          <w:ilvl w:val="0"/>
          <w:numId w:val="27"/>
        </w:numPr>
        <w:jc w:val="both"/>
      </w:pPr>
      <w:r>
        <w:t>h</w:t>
      </w:r>
      <w:r w:rsidR="00472F64">
        <w:t>et aanzetten tot en begeleiden bij het komen tot duurzaam en integraal innoveren van bedrijven (inzon</w:t>
      </w:r>
      <w:r>
        <w:t>derheid kmo’s) uit de provincie</w:t>
      </w:r>
      <w:r w:rsidR="00C91F34">
        <w:t>,</w:t>
      </w:r>
    </w:p>
    <w:p w:rsidR="00972E7F" w:rsidRDefault="00A25C41" w:rsidP="00472F64">
      <w:pPr>
        <w:pStyle w:val="Rapport1"/>
        <w:numPr>
          <w:ilvl w:val="0"/>
          <w:numId w:val="27"/>
        </w:numPr>
        <w:jc w:val="both"/>
      </w:pPr>
      <w:r>
        <w:t>h</w:t>
      </w:r>
      <w:r w:rsidR="00472F64">
        <w:t>et begeleiden van bedrijven (inzonderheid kmo’s) naar de juiste kennispartners en het stimuleren van netwerking tussen bedrijven onderling en tus</w:t>
      </w:r>
      <w:r>
        <w:t>sen bedrijven en kennispartners</w:t>
      </w:r>
    </w:p>
    <w:p w:rsidR="00A25C41" w:rsidRDefault="00A25C41" w:rsidP="00A25C41">
      <w:pPr>
        <w:pStyle w:val="Rapport1"/>
        <w:ind w:left="0"/>
        <w:jc w:val="both"/>
      </w:pPr>
      <w:r>
        <w:lastRenderedPageBreak/>
        <w:t xml:space="preserve">om zo de groep duurzaam innoverende bedrijven te vergroten. </w:t>
      </w:r>
    </w:p>
    <w:p w:rsidR="00A25C41" w:rsidRPr="00CA5502" w:rsidRDefault="00A25C41" w:rsidP="00A25C41">
      <w:pPr>
        <w:pStyle w:val="Rapport1"/>
        <w:ind w:left="0"/>
        <w:jc w:val="both"/>
        <w:rPr>
          <w:szCs w:val="22"/>
        </w:rPr>
      </w:pPr>
      <w:r>
        <w:t xml:space="preserve">Het optreden als frontoffice voor het IWT is </w:t>
      </w:r>
      <w:r w:rsidR="00C91F34">
        <w:t>éé</w:t>
      </w:r>
      <w:r>
        <w:t xml:space="preserve">n van de belangrijkste functies binnen een project subregionale innovatiestimulering. </w:t>
      </w:r>
      <w:r w:rsidR="00AF4EEA">
        <w:t xml:space="preserve">Deze projecten </w:t>
      </w:r>
      <w:r>
        <w:t>moeten tevens een brugfunctie tussen bedrijven en kenniscentra vervullen en moeten als laagdrempelig loket een belangrijke rol in het VIN spelen. Ook samenwerking met de andere Vlaamse agentschappen die de bedrijven ondersteunen</w:t>
      </w:r>
      <w:r w:rsidR="00C91F34">
        <w:t>,</w:t>
      </w:r>
      <w:r>
        <w:t xml:space="preserve"> is van groot belang voor een integrale dienstverlening</w:t>
      </w:r>
      <w:r w:rsidR="00C91F34">
        <w:t>.</w:t>
      </w:r>
      <w:r>
        <w:t xml:space="preserve"> </w:t>
      </w:r>
      <w:r w:rsidR="00C91F34">
        <w:t>D</w:t>
      </w:r>
      <w:r>
        <w:t xml:space="preserve">aarom dienen de innovatiecentra te investeren in een optimale samenwerking met </w:t>
      </w:r>
      <w:r w:rsidR="00C91F34">
        <w:t xml:space="preserve">het </w:t>
      </w:r>
      <w:r>
        <w:t xml:space="preserve">Agentschap </w:t>
      </w:r>
      <w:r w:rsidR="00E0521C">
        <w:t>O</w:t>
      </w:r>
      <w:r>
        <w:t>ndernemen</w:t>
      </w:r>
      <w:r w:rsidR="00C91F34">
        <w:t xml:space="preserve">, </w:t>
      </w:r>
      <w:proofErr w:type="spellStart"/>
      <w:r w:rsidR="00C91F34">
        <w:t>F</w:t>
      </w:r>
      <w:r>
        <w:t>landers</w:t>
      </w:r>
      <w:proofErr w:type="spellEnd"/>
      <w:r>
        <w:t xml:space="preserve"> Investment &amp; Trade</w:t>
      </w:r>
      <w:r w:rsidR="00C91F34">
        <w:t xml:space="preserve"> (FIT)</w:t>
      </w:r>
      <w:r>
        <w:t xml:space="preserve">, PMV en LRM (Limburg). </w:t>
      </w:r>
      <w:r w:rsidRPr="00531A16">
        <w:rPr>
          <w:color w:val="000000"/>
          <w:szCs w:val="22"/>
        </w:rPr>
        <w:t xml:space="preserve">De doelstelling vanuit het beleid is dat alle adviseurs van deze </w:t>
      </w:r>
      <w:r w:rsidR="00E0521C">
        <w:rPr>
          <w:color w:val="000000"/>
          <w:szCs w:val="22"/>
        </w:rPr>
        <w:t>instellingen</w:t>
      </w:r>
      <w:r w:rsidRPr="00531A16">
        <w:rPr>
          <w:color w:val="000000"/>
          <w:szCs w:val="22"/>
        </w:rPr>
        <w:t xml:space="preserve"> als team optreden naar de bedrijven in hun provincie toe.</w:t>
      </w:r>
    </w:p>
    <w:p w:rsidR="00A25C41" w:rsidRDefault="00A25C41" w:rsidP="00A25C41">
      <w:pPr>
        <w:pStyle w:val="Rapport1"/>
        <w:ind w:left="0"/>
        <w:jc w:val="both"/>
      </w:pPr>
      <w:r>
        <w:t xml:space="preserve">De </w:t>
      </w:r>
      <w:r w:rsidR="00C91F34">
        <w:t>I</w:t>
      </w:r>
      <w:r>
        <w:t xml:space="preserve">nnovatiecentra opereren vanuit provinciale noden, maar </w:t>
      </w:r>
      <w:r w:rsidR="00AF4EEA">
        <w:t xml:space="preserve">de </w:t>
      </w:r>
      <w:r>
        <w:t xml:space="preserve">activiteiten in het project </w:t>
      </w:r>
      <w:r w:rsidR="00B37752">
        <w:t>gebeuren</w:t>
      </w:r>
      <w:r>
        <w:t xml:space="preserve"> in afstemming met andere innovatieactoren en </w:t>
      </w:r>
      <w:r w:rsidR="00B37752">
        <w:t>zijn</w:t>
      </w:r>
      <w:r>
        <w:t xml:space="preserve"> complementair met de activiteiten van deze andere actoren. Dit houdt in dat er verder geïnvesteerd wordt in een doorgedreven kennis van de bedrijven, hun technologieën, markten en partnerships en dat men vanuit de relaisfunctie met het VIN bedrijven naar de juiste kennispartners brengt en op de hoogte houdt van verdere evoluties bij de voor hen relevante kenniscentra en ook van het ontstaan van nieuwe projecten die voor hen relevant zijn (</w:t>
      </w:r>
      <w:r w:rsidR="00C91F34">
        <w:t>“</w:t>
      </w:r>
      <w:r>
        <w:t>navigatorrol</w:t>
      </w:r>
      <w:r w:rsidR="00C91F34">
        <w:t>”</w:t>
      </w:r>
      <w:r>
        <w:t>).</w:t>
      </w:r>
    </w:p>
    <w:p w:rsidR="00A25C41" w:rsidRDefault="00A25C41" w:rsidP="00A25C41">
      <w:pPr>
        <w:pStyle w:val="Rapport1"/>
        <w:ind w:left="0"/>
        <w:jc w:val="both"/>
      </w:pPr>
      <w:r>
        <w:t xml:space="preserve">Daarnaast is de geboden begeleiding er vooral op gericht om innovatie te initiëren en te verankeren in bedrijven en om innovatie te stimuleren. Dit laatste impliceert ook dat er een lange termijnrelatie met de bedrijven wordt uitgebouwd waarbij ook aandacht </w:t>
      </w:r>
      <w:r w:rsidR="00C91F34">
        <w:t>wordt besteed aan</w:t>
      </w:r>
      <w:r>
        <w:t xml:space="preserve"> de nazorg van innovatietrajecten (valorisatie) in samenwerking met de andere agentschappen van de overheid en de VIN-actoren. </w:t>
      </w:r>
    </w:p>
    <w:p w:rsidR="00A25C41" w:rsidRDefault="00B37752" w:rsidP="00A25C41">
      <w:pPr>
        <w:pStyle w:val="Rapport1"/>
        <w:ind w:left="0"/>
        <w:jc w:val="both"/>
      </w:pPr>
      <w:r>
        <w:t>D</w:t>
      </w:r>
      <w:r w:rsidR="00A25C41">
        <w:t xml:space="preserve">e </w:t>
      </w:r>
      <w:r>
        <w:t xml:space="preserve">ontplooide </w:t>
      </w:r>
      <w:r w:rsidR="00A25C41">
        <w:t xml:space="preserve">activiteiten </w:t>
      </w:r>
      <w:r>
        <w:t>houden</w:t>
      </w:r>
      <w:r w:rsidR="00A25C41">
        <w:t xml:space="preserve"> een evenwicht tussen een reactieve en een proactieve benadering alsook tussen de diepgang van de begeleidingen en de spreiding van de acties. </w:t>
      </w:r>
    </w:p>
    <w:p w:rsidR="00472F64" w:rsidRDefault="00472F64" w:rsidP="00472F64">
      <w:pPr>
        <w:pStyle w:val="StandaardSV"/>
        <w:rPr>
          <w:b/>
        </w:rPr>
      </w:pPr>
    </w:p>
    <w:p w:rsidR="00036CC5" w:rsidRDefault="00465F5C" w:rsidP="00C91F34">
      <w:pPr>
        <w:pStyle w:val="StandaardSV"/>
        <w:numPr>
          <w:ilvl w:val="0"/>
          <w:numId w:val="28"/>
        </w:numPr>
        <w:rPr>
          <w:b/>
        </w:rPr>
      </w:pPr>
      <w:r>
        <w:rPr>
          <w:b/>
        </w:rPr>
        <w:t>D</w:t>
      </w:r>
      <w:r w:rsidR="00036CC5" w:rsidRPr="00036CC5">
        <w:rPr>
          <w:b/>
        </w:rPr>
        <w:t xml:space="preserve">e personeelsevolutie per jaar sinds </w:t>
      </w:r>
      <w:r>
        <w:rPr>
          <w:b/>
        </w:rPr>
        <w:t>de oprichting</w:t>
      </w:r>
    </w:p>
    <w:p w:rsidR="00036CC5" w:rsidRDefault="00036CC5" w:rsidP="006F29F5">
      <w:pPr>
        <w:pStyle w:val="StandaardSV"/>
        <w:rPr>
          <w:b/>
        </w:rPr>
      </w:pPr>
    </w:p>
    <w:p w:rsidR="006E5FDC" w:rsidRPr="00914D5B" w:rsidRDefault="006E5FDC" w:rsidP="0064712F">
      <w:pPr>
        <w:pStyle w:val="StandaardSV"/>
      </w:pPr>
      <w:r w:rsidRPr="00914D5B">
        <w:t>Sinds de opstart tot eind 2010 was vanuit de projecten regionale innovatiestimulering voorzien in de volgende personeelsformaties:</w:t>
      </w:r>
    </w:p>
    <w:p w:rsidR="006E5FDC" w:rsidRPr="00914D5B" w:rsidRDefault="00C91F34" w:rsidP="00C91F34">
      <w:pPr>
        <w:pStyle w:val="Rapport1"/>
        <w:numPr>
          <w:ilvl w:val="0"/>
          <w:numId w:val="27"/>
        </w:numPr>
        <w:jc w:val="both"/>
      </w:pPr>
      <w:r>
        <w:t>v</w:t>
      </w:r>
      <w:r w:rsidR="006E5FDC" w:rsidRPr="00914D5B">
        <w:t>oor de provincies West-Vlaanderen, Oost-Vlaanderen en Antwerpen: 1 manager, 5 innovatieadviseurs en 1 administratieve medewerker</w:t>
      </w:r>
      <w:r>
        <w:t>;</w:t>
      </w:r>
    </w:p>
    <w:p w:rsidR="006E5FDC" w:rsidRPr="00914D5B" w:rsidRDefault="00C91F34" w:rsidP="00C91F34">
      <w:pPr>
        <w:pStyle w:val="Rapport1"/>
        <w:numPr>
          <w:ilvl w:val="0"/>
          <w:numId w:val="27"/>
        </w:numPr>
        <w:jc w:val="both"/>
      </w:pPr>
      <w:r>
        <w:t>v</w:t>
      </w:r>
      <w:r w:rsidR="006E5FDC" w:rsidRPr="00914D5B">
        <w:t>oor de provincies Vlaams-Brabant en Limburg: 1 manager, 4 innovatieadviseurs en 1 administratieve medewerker</w:t>
      </w:r>
      <w:r>
        <w:t>;</w:t>
      </w:r>
    </w:p>
    <w:p w:rsidR="006E5FDC" w:rsidRPr="00914D5B" w:rsidRDefault="00C91F34" w:rsidP="00C91F34">
      <w:pPr>
        <w:pStyle w:val="Rapport1"/>
        <w:numPr>
          <w:ilvl w:val="0"/>
          <w:numId w:val="27"/>
        </w:numPr>
        <w:jc w:val="both"/>
      </w:pPr>
      <w:r>
        <w:t>v</w:t>
      </w:r>
      <w:r w:rsidR="006E5FDC" w:rsidRPr="00914D5B">
        <w:t xml:space="preserve">anuit het Limburgplan werd er voor </w:t>
      </w:r>
      <w:r>
        <w:t xml:space="preserve">het </w:t>
      </w:r>
      <w:r w:rsidR="006E5FDC" w:rsidRPr="00914D5B">
        <w:t>Innovatiecentrum Limburg voorzien in middelen voor 2 extra innovatieadviseurs voor dezelfde periode.</w:t>
      </w:r>
    </w:p>
    <w:p w:rsidR="006E5FDC" w:rsidRPr="00914D5B" w:rsidRDefault="006E5FDC" w:rsidP="00EC745F">
      <w:pPr>
        <w:pStyle w:val="StandaardSV"/>
      </w:pPr>
    </w:p>
    <w:p w:rsidR="006E5FDC" w:rsidRPr="00914D5B" w:rsidRDefault="006E5FDC" w:rsidP="00F500A2">
      <w:pPr>
        <w:pStyle w:val="StandaardSV"/>
      </w:pPr>
      <w:r w:rsidRPr="00914D5B">
        <w:t>Tijdens de opstartperiode en ook naar het einde van de projectperiode toe waren de voorziene personeelsformaties echter niet volledig ingevuld. Onderstaande tabel geeft het gemiddelde aantal VTE’s dat effectief werd ingezet op projecten regionale innovatiestimulering en</w:t>
      </w:r>
      <w:r w:rsidR="00E0521C">
        <w:t xml:space="preserve"> deels gefinancierd</w:t>
      </w:r>
      <w:r w:rsidRPr="00914D5B">
        <w:t xml:space="preserve"> uit het Limburgplan. De Innovatiecentra in Oost-Vlaanderen, Antwerpen, Limburg en Vlaams-Brabant werden pas in de loop van 2007 of zelfs 2008 officieel opgestart maar ook in die provincies was er vanaf begin 2007 al een werking regionale innovatiestimulering voorzien (uitgevoerd door </w:t>
      </w:r>
      <w:r w:rsidR="00C91F34">
        <w:t xml:space="preserve">de </w:t>
      </w:r>
      <w:r w:rsidRPr="00914D5B">
        <w:t>GOM’s, V</w:t>
      </w:r>
      <w:r w:rsidR="00C91F34">
        <w:t>oka</w:t>
      </w:r>
      <w:r w:rsidRPr="00914D5B">
        <w:t xml:space="preserve"> en Innotek)</w:t>
      </w:r>
      <w:r w:rsidR="00C91F34">
        <w:t>.</w:t>
      </w:r>
      <w:r w:rsidRPr="00914D5B">
        <w:t xml:space="preserve"> </w:t>
      </w:r>
      <w:r w:rsidR="00C91F34">
        <w:t>O</w:t>
      </w:r>
      <w:r w:rsidRPr="00914D5B">
        <w:t>nderstaande tabel is inclusief de VTE’s die daarbij betrokken waren.</w:t>
      </w:r>
    </w:p>
    <w:p w:rsidR="006E5FDC" w:rsidRPr="00EC745F" w:rsidRDefault="006E5FDC" w:rsidP="00EC745F">
      <w:pPr>
        <w:pStyle w:val="StandaardSV"/>
      </w:pPr>
    </w:p>
    <w:tbl>
      <w:tblPr>
        <w:tblW w:w="75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40"/>
        <w:gridCol w:w="1640"/>
        <w:gridCol w:w="1607"/>
        <w:gridCol w:w="1129"/>
        <w:gridCol w:w="940"/>
        <w:gridCol w:w="1551"/>
      </w:tblGrid>
      <w:tr w:rsidR="006E5FDC" w:rsidRPr="00EC745F" w:rsidTr="00EC745F">
        <w:trPr>
          <w:trHeight w:val="300"/>
        </w:trPr>
        <w:tc>
          <w:tcPr>
            <w:tcW w:w="640" w:type="dxa"/>
          </w:tcPr>
          <w:p w:rsidR="006E5FDC" w:rsidRPr="00EC745F" w:rsidRDefault="006E5FDC" w:rsidP="00873D40">
            <w:pPr>
              <w:rPr>
                <w:color w:val="000000"/>
                <w:sz w:val="20"/>
                <w:lang w:val="nl-BE" w:eastAsia="nl-BE"/>
              </w:rPr>
            </w:pPr>
          </w:p>
        </w:tc>
        <w:tc>
          <w:tcPr>
            <w:tcW w:w="16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West-Vlaanderen</w:t>
            </w:r>
          </w:p>
        </w:tc>
        <w:tc>
          <w:tcPr>
            <w:tcW w:w="1607"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Oost-Vlaanderen</w:t>
            </w:r>
          </w:p>
        </w:tc>
        <w:tc>
          <w:tcPr>
            <w:tcW w:w="1129"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Antwerpen</w:t>
            </w:r>
          </w:p>
        </w:tc>
        <w:tc>
          <w:tcPr>
            <w:tcW w:w="9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Limburg</w:t>
            </w:r>
          </w:p>
        </w:tc>
        <w:tc>
          <w:tcPr>
            <w:tcW w:w="1551"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Vlaams-Brabant</w:t>
            </w:r>
          </w:p>
        </w:tc>
      </w:tr>
      <w:tr w:rsidR="006E5FDC" w:rsidRPr="00EC745F" w:rsidTr="00EC745F">
        <w:trPr>
          <w:trHeight w:val="300"/>
        </w:trPr>
        <w:tc>
          <w:tcPr>
            <w:tcW w:w="640" w:type="dxa"/>
          </w:tcPr>
          <w:p w:rsidR="006E5FDC" w:rsidRPr="00EC745F" w:rsidRDefault="006E5FDC" w:rsidP="00873D40">
            <w:pPr>
              <w:jc w:val="right"/>
              <w:rPr>
                <w:color w:val="000000"/>
                <w:sz w:val="20"/>
                <w:lang w:val="nl-BE" w:eastAsia="nl-BE"/>
              </w:rPr>
            </w:pPr>
            <w:r w:rsidRPr="00EC745F">
              <w:rPr>
                <w:color w:val="000000"/>
                <w:sz w:val="20"/>
                <w:lang w:val="nl-BE" w:eastAsia="nl-BE"/>
              </w:rPr>
              <w:t>2007</w:t>
            </w:r>
          </w:p>
        </w:tc>
        <w:tc>
          <w:tcPr>
            <w:tcW w:w="16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6</w:t>
            </w:r>
            <w:r w:rsidR="00EC745F">
              <w:rPr>
                <w:color w:val="000000"/>
                <w:sz w:val="20"/>
                <w:lang w:val="nl-BE" w:eastAsia="nl-BE"/>
              </w:rPr>
              <w:t>,</w:t>
            </w:r>
            <w:r w:rsidRPr="00EC745F">
              <w:rPr>
                <w:color w:val="000000"/>
                <w:sz w:val="20"/>
                <w:lang w:val="nl-BE" w:eastAsia="nl-BE"/>
              </w:rPr>
              <w:t>3</w:t>
            </w:r>
          </w:p>
        </w:tc>
        <w:tc>
          <w:tcPr>
            <w:tcW w:w="1607"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4</w:t>
            </w:r>
            <w:r w:rsidR="00EC745F">
              <w:rPr>
                <w:color w:val="000000"/>
                <w:sz w:val="20"/>
                <w:lang w:val="nl-BE" w:eastAsia="nl-BE"/>
              </w:rPr>
              <w:t>,</w:t>
            </w:r>
            <w:r w:rsidRPr="00EC745F">
              <w:rPr>
                <w:color w:val="000000"/>
                <w:sz w:val="20"/>
                <w:lang w:val="nl-BE" w:eastAsia="nl-BE"/>
              </w:rPr>
              <w:t>5</w:t>
            </w:r>
          </w:p>
        </w:tc>
        <w:tc>
          <w:tcPr>
            <w:tcW w:w="1129"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5</w:t>
            </w:r>
          </w:p>
        </w:tc>
        <w:tc>
          <w:tcPr>
            <w:tcW w:w="9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5</w:t>
            </w:r>
            <w:r w:rsidR="00EC745F">
              <w:rPr>
                <w:color w:val="000000"/>
                <w:sz w:val="20"/>
                <w:lang w:val="nl-BE" w:eastAsia="nl-BE"/>
              </w:rPr>
              <w:t>,</w:t>
            </w:r>
            <w:r w:rsidRPr="00EC745F">
              <w:rPr>
                <w:color w:val="000000"/>
                <w:sz w:val="20"/>
                <w:lang w:val="nl-BE" w:eastAsia="nl-BE"/>
              </w:rPr>
              <w:t>2</w:t>
            </w:r>
          </w:p>
        </w:tc>
        <w:tc>
          <w:tcPr>
            <w:tcW w:w="1551"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1</w:t>
            </w:r>
            <w:r w:rsidR="00EC745F">
              <w:rPr>
                <w:color w:val="000000"/>
                <w:sz w:val="20"/>
                <w:lang w:val="nl-BE" w:eastAsia="nl-BE"/>
              </w:rPr>
              <w:t>,</w:t>
            </w:r>
            <w:r w:rsidRPr="00EC745F">
              <w:rPr>
                <w:color w:val="000000"/>
                <w:sz w:val="20"/>
                <w:lang w:val="nl-BE" w:eastAsia="nl-BE"/>
              </w:rPr>
              <w:t>4</w:t>
            </w:r>
          </w:p>
        </w:tc>
      </w:tr>
      <w:tr w:rsidR="006E5FDC" w:rsidRPr="00EC745F" w:rsidTr="00EC745F">
        <w:trPr>
          <w:trHeight w:val="300"/>
        </w:trPr>
        <w:tc>
          <w:tcPr>
            <w:tcW w:w="640" w:type="dxa"/>
          </w:tcPr>
          <w:p w:rsidR="006E5FDC" w:rsidRPr="00EC745F" w:rsidRDefault="006E5FDC" w:rsidP="00873D40">
            <w:pPr>
              <w:jc w:val="right"/>
              <w:rPr>
                <w:color w:val="000000"/>
                <w:sz w:val="20"/>
                <w:lang w:val="nl-BE" w:eastAsia="nl-BE"/>
              </w:rPr>
            </w:pPr>
            <w:r w:rsidRPr="00EC745F">
              <w:rPr>
                <w:color w:val="000000"/>
                <w:sz w:val="20"/>
                <w:lang w:val="nl-BE" w:eastAsia="nl-BE"/>
              </w:rPr>
              <w:t>2008</w:t>
            </w:r>
          </w:p>
        </w:tc>
        <w:tc>
          <w:tcPr>
            <w:tcW w:w="16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7</w:t>
            </w:r>
          </w:p>
        </w:tc>
        <w:tc>
          <w:tcPr>
            <w:tcW w:w="1607"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6</w:t>
            </w:r>
            <w:r w:rsidR="00EC745F">
              <w:rPr>
                <w:color w:val="000000"/>
                <w:sz w:val="20"/>
                <w:lang w:val="nl-BE" w:eastAsia="nl-BE"/>
              </w:rPr>
              <w:t>,</w:t>
            </w:r>
            <w:r w:rsidRPr="00EC745F">
              <w:rPr>
                <w:color w:val="000000"/>
                <w:sz w:val="20"/>
                <w:lang w:val="nl-BE" w:eastAsia="nl-BE"/>
              </w:rPr>
              <w:t>8</w:t>
            </w:r>
          </w:p>
        </w:tc>
        <w:tc>
          <w:tcPr>
            <w:tcW w:w="1129"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4</w:t>
            </w:r>
          </w:p>
        </w:tc>
        <w:tc>
          <w:tcPr>
            <w:tcW w:w="9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7</w:t>
            </w:r>
            <w:r w:rsidR="00EC745F">
              <w:rPr>
                <w:color w:val="000000"/>
                <w:sz w:val="20"/>
                <w:lang w:val="nl-BE" w:eastAsia="nl-BE"/>
              </w:rPr>
              <w:t>,</w:t>
            </w:r>
            <w:r w:rsidRPr="00EC745F">
              <w:rPr>
                <w:color w:val="000000"/>
                <w:sz w:val="20"/>
                <w:lang w:val="nl-BE" w:eastAsia="nl-BE"/>
              </w:rPr>
              <w:t>5</w:t>
            </w:r>
          </w:p>
        </w:tc>
        <w:tc>
          <w:tcPr>
            <w:tcW w:w="1551"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6</w:t>
            </w:r>
          </w:p>
        </w:tc>
      </w:tr>
      <w:tr w:rsidR="006E5FDC" w:rsidRPr="00EC745F" w:rsidTr="00EC745F">
        <w:trPr>
          <w:trHeight w:val="300"/>
        </w:trPr>
        <w:tc>
          <w:tcPr>
            <w:tcW w:w="640" w:type="dxa"/>
          </w:tcPr>
          <w:p w:rsidR="006E5FDC" w:rsidRPr="00EC745F" w:rsidRDefault="006E5FDC" w:rsidP="00873D40">
            <w:pPr>
              <w:jc w:val="right"/>
              <w:rPr>
                <w:color w:val="000000"/>
                <w:sz w:val="20"/>
                <w:lang w:val="nl-BE" w:eastAsia="nl-BE"/>
              </w:rPr>
            </w:pPr>
            <w:r w:rsidRPr="00EC745F">
              <w:rPr>
                <w:color w:val="000000"/>
                <w:sz w:val="20"/>
                <w:lang w:val="nl-BE" w:eastAsia="nl-BE"/>
              </w:rPr>
              <w:t>2009</w:t>
            </w:r>
          </w:p>
        </w:tc>
        <w:tc>
          <w:tcPr>
            <w:tcW w:w="16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6</w:t>
            </w:r>
            <w:r w:rsidR="00EC745F">
              <w:rPr>
                <w:color w:val="000000"/>
                <w:sz w:val="20"/>
                <w:lang w:val="nl-BE" w:eastAsia="nl-BE"/>
              </w:rPr>
              <w:t>,</w:t>
            </w:r>
            <w:r w:rsidRPr="00EC745F">
              <w:rPr>
                <w:color w:val="000000"/>
                <w:sz w:val="20"/>
                <w:lang w:val="nl-BE" w:eastAsia="nl-BE"/>
              </w:rPr>
              <w:t>7</w:t>
            </w:r>
          </w:p>
        </w:tc>
        <w:tc>
          <w:tcPr>
            <w:tcW w:w="1607"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7</w:t>
            </w:r>
          </w:p>
        </w:tc>
        <w:tc>
          <w:tcPr>
            <w:tcW w:w="1129"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7</w:t>
            </w:r>
          </w:p>
        </w:tc>
        <w:tc>
          <w:tcPr>
            <w:tcW w:w="9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7</w:t>
            </w:r>
            <w:r w:rsidR="00EC745F">
              <w:rPr>
                <w:color w:val="000000"/>
                <w:sz w:val="20"/>
                <w:lang w:val="nl-BE" w:eastAsia="nl-BE"/>
              </w:rPr>
              <w:t>,</w:t>
            </w:r>
            <w:r w:rsidRPr="00EC745F">
              <w:rPr>
                <w:color w:val="000000"/>
                <w:sz w:val="20"/>
                <w:lang w:val="nl-BE" w:eastAsia="nl-BE"/>
              </w:rPr>
              <w:t>9</w:t>
            </w:r>
          </w:p>
        </w:tc>
        <w:tc>
          <w:tcPr>
            <w:tcW w:w="1551"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6</w:t>
            </w:r>
          </w:p>
        </w:tc>
      </w:tr>
      <w:tr w:rsidR="006E5FDC" w:rsidRPr="00EC745F" w:rsidTr="00EC745F">
        <w:trPr>
          <w:trHeight w:val="300"/>
        </w:trPr>
        <w:tc>
          <w:tcPr>
            <w:tcW w:w="640" w:type="dxa"/>
          </w:tcPr>
          <w:p w:rsidR="006E5FDC" w:rsidRPr="00EC745F" w:rsidRDefault="006E5FDC" w:rsidP="00873D40">
            <w:pPr>
              <w:jc w:val="right"/>
              <w:rPr>
                <w:sz w:val="20"/>
                <w:lang w:val="nl-BE" w:eastAsia="nl-BE"/>
              </w:rPr>
            </w:pPr>
            <w:r w:rsidRPr="00EC745F">
              <w:rPr>
                <w:sz w:val="20"/>
                <w:lang w:val="nl-BE" w:eastAsia="nl-BE"/>
              </w:rPr>
              <w:t>2010</w:t>
            </w:r>
          </w:p>
        </w:tc>
        <w:tc>
          <w:tcPr>
            <w:tcW w:w="1640"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6</w:t>
            </w:r>
            <w:r w:rsidR="00EC745F">
              <w:rPr>
                <w:sz w:val="20"/>
                <w:lang w:val="nl-BE" w:eastAsia="nl-BE"/>
              </w:rPr>
              <w:t>,</w:t>
            </w:r>
            <w:r w:rsidRPr="00EC745F">
              <w:rPr>
                <w:sz w:val="20"/>
                <w:lang w:val="nl-BE" w:eastAsia="nl-BE"/>
              </w:rPr>
              <w:t>2</w:t>
            </w:r>
          </w:p>
        </w:tc>
        <w:tc>
          <w:tcPr>
            <w:tcW w:w="1607"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7</w:t>
            </w:r>
          </w:p>
        </w:tc>
        <w:tc>
          <w:tcPr>
            <w:tcW w:w="1129"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6</w:t>
            </w:r>
            <w:r w:rsidR="00EC745F">
              <w:rPr>
                <w:sz w:val="20"/>
                <w:lang w:val="nl-BE" w:eastAsia="nl-BE"/>
              </w:rPr>
              <w:t>,</w:t>
            </w:r>
            <w:r w:rsidRPr="00EC745F">
              <w:rPr>
                <w:sz w:val="20"/>
                <w:lang w:val="nl-BE" w:eastAsia="nl-BE"/>
              </w:rPr>
              <w:t>9</w:t>
            </w:r>
          </w:p>
        </w:tc>
        <w:tc>
          <w:tcPr>
            <w:tcW w:w="940"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8</w:t>
            </w:r>
          </w:p>
        </w:tc>
        <w:tc>
          <w:tcPr>
            <w:tcW w:w="1551"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5</w:t>
            </w:r>
            <w:r w:rsidR="00EC745F">
              <w:rPr>
                <w:sz w:val="20"/>
                <w:lang w:val="nl-BE" w:eastAsia="nl-BE"/>
              </w:rPr>
              <w:t>,</w:t>
            </w:r>
            <w:r w:rsidRPr="00EC745F">
              <w:rPr>
                <w:sz w:val="20"/>
                <w:lang w:val="nl-BE" w:eastAsia="nl-BE"/>
              </w:rPr>
              <w:t>8</w:t>
            </w:r>
          </w:p>
        </w:tc>
      </w:tr>
    </w:tbl>
    <w:p w:rsidR="006E5FDC" w:rsidRPr="00EC745F" w:rsidRDefault="006E5FDC" w:rsidP="00EC745F">
      <w:pPr>
        <w:pStyle w:val="StandaardSV"/>
      </w:pPr>
    </w:p>
    <w:p w:rsidR="006E5FDC" w:rsidRDefault="006E5FDC" w:rsidP="00F500A2">
      <w:pPr>
        <w:pStyle w:val="StandaardSV"/>
      </w:pPr>
      <w:r w:rsidRPr="00914D5B">
        <w:t>Naast het personeel dat op de projecten regionale innovatiestimulering werkzaam was</w:t>
      </w:r>
      <w:r w:rsidR="00EC745F">
        <w:t>,</w:t>
      </w:r>
      <w:r w:rsidRPr="00914D5B">
        <w:t xml:space="preserve"> waren er in sommige provincies nog extra personeelsleden werkzaam op </w:t>
      </w:r>
      <w:r w:rsidR="00AF4EEA" w:rsidRPr="00914D5B">
        <w:t xml:space="preserve">de </w:t>
      </w:r>
      <w:r w:rsidRPr="00914D5B">
        <w:t xml:space="preserve">projecten vermeld onder sub </w:t>
      </w:r>
      <w:r w:rsidR="00B37752">
        <w:t>5a</w:t>
      </w:r>
      <w:r w:rsidRPr="00914D5B">
        <w:t>. Het aantal betrokken VTE’s vindt u in onderstaande tabel</w:t>
      </w:r>
      <w:r w:rsidR="00EC745F">
        <w:t>.</w:t>
      </w:r>
    </w:p>
    <w:p w:rsidR="00EC745F" w:rsidRPr="00914D5B" w:rsidRDefault="00EC745F" w:rsidP="00F500A2">
      <w:pPr>
        <w:pStyle w:val="StandaardSV"/>
      </w:pPr>
    </w:p>
    <w:tbl>
      <w:tblPr>
        <w:tblW w:w="75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40"/>
        <w:gridCol w:w="1640"/>
        <w:gridCol w:w="1607"/>
        <w:gridCol w:w="1129"/>
        <w:gridCol w:w="940"/>
        <w:gridCol w:w="1551"/>
      </w:tblGrid>
      <w:tr w:rsidR="006E5FDC" w:rsidRPr="00EC745F" w:rsidTr="00EC745F">
        <w:trPr>
          <w:trHeight w:val="300"/>
        </w:trPr>
        <w:tc>
          <w:tcPr>
            <w:tcW w:w="640" w:type="dxa"/>
          </w:tcPr>
          <w:p w:rsidR="006E5FDC" w:rsidRPr="00EC745F" w:rsidRDefault="006E5FDC" w:rsidP="00873D40">
            <w:pPr>
              <w:rPr>
                <w:color w:val="000000"/>
                <w:sz w:val="20"/>
                <w:lang w:val="nl-BE" w:eastAsia="nl-BE"/>
              </w:rPr>
            </w:pPr>
          </w:p>
        </w:tc>
        <w:tc>
          <w:tcPr>
            <w:tcW w:w="16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West-Vlaanderen</w:t>
            </w:r>
          </w:p>
        </w:tc>
        <w:tc>
          <w:tcPr>
            <w:tcW w:w="1607"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Oost-Vlaanderen</w:t>
            </w:r>
          </w:p>
        </w:tc>
        <w:tc>
          <w:tcPr>
            <w:tcW w:w="1129"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Antwerpen</w:t>
            </w:r>
          </w:p>
        </w:tc>
        <w:tc>
          <w:tcPr>
            <w:tcW w:w="9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Limburg</w:t>
            </w:r>
          </w:p>
        </w:tc>
        <w:tc>
          <w:tcPr>
            <w:tcW w:w="1551"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Vlaams-Brabant</w:t>
            </w:r>
          </w:p>
        </w:tc>
      </w:tr>
      <w:tr w:rsidR="006E5FDC" w:rsidRPr="00EC745F" w:rsidTr="00EC745F">
        <w:trPr>
          <w:trHeight w:val="300"/>
        </w:trPr>
        <w:tc>
          <w:tcPr>
            <w:tcW w:w="640" w:type="dxa"/>
          </w:tcPr>
          <w:p w:rsidR="006E5FDC" w:rsidRPr="00EC745F" w:rsidRDefault="006E5FDC" w:rsidP="00873D40">
            <w:pPr>
              <w:jc w:val="right"/>
              <w:rPr>
                <w:color w:val="000000"/>
                <w:sz w:val="20"/>
                <w:lang w:val="nl-BE" w:eastAsia="nl-BE"/>
              </w:rPr>
            </w:pPr>
            <w:r w:rsidRPr="00EC745F">
              <w:rPr>
                <w:color w:val="000000"/>
                <w:sz w:val="20"/>
                <w:lang w:val="nl-BE" w:eastAsia="nl-BE"/>
              </w:rPr>
              <w:t>2007</w:t>
            </w:r>
          </w:p>
        </w:tc>
        <w:tc>
          <w:tcPr>
            <w:tcW w:w="16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2</w:t>
            </w:r>
          </w:p>
        </w:tc>
        <w:tc>
          <w:tcPr>
            <w:tcW w:w="1607"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0</w:t>
            </w:r>
          </w:p>
        </w:tc>
        <w:tc>
          <w:tcPr>
            <w:tcW w:w="1129"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0</w:t>
            </w:r>
          </w:p>
        </w:tc>
        <w:tc>
          <w:tcPr>
            <w:tcW w:w="9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0</w:t>
            </w:r>
          </w:p>
        </w:tc>
        <w:tc>
          <w:tcPr>
            <w:tcW w:w="1551"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0</w:t>
            </w:r>
          </w:p>
        </w:tc>
      </w:tr>
      <w:tr w:rsidR="006E5FDC" w:rsidRPr="00EC745F" w:rsidTr="00EC745F">
        <w:trPr>
          <w:trHeight w:val="300"/>
        </w:trPr>
        <w:tc>
          <w:tcPr>
            <w:tcW w:w="640" w:type="dxa"/>
          </w:tcPr>
          <w:p w:rsidR="006E5FDC" w:rsidRPr="00EC745F" w:rsidRDefault="006E5FDC" w:rsidP="00873D40">
            <w:pPr>
              <w:jc w:val="right"/>
              <w:rPr>
                <w:color w:val="000000"/>
                <w:sz w:val="20"/>
                <w:lang w:val="nl-BE" w:eastAsia="nl-BE"/>
              </w:rPr>
            </w:pPr>
            <w:r w:rsidRPr="00EC745F">
              <w:rPr>
                <w:color w:val="000000"/>
                <w:sz w:val="20"/>
                <w:lang w:val="nl-BE" w:eastAsia="nl-BE"/>
              </w:rPr>
              <w:t>2008</w:t>
            </w:r>
          </w:p>
        </w:tc>
        <w:tc>
          <w:tcPr>
            <w:tcW w:w="16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3</w:t>
            </w:r>
          </w:p>
        </w:tc>
        <w:tc>
          <w:tcPr>
            <w:tcW w:w="1607"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1/12</w:t>
            </w:r>
          </w:p>
        </w:tc>
        <w:tc>
          <w:tcPr>
            <w:tcW w:w="1129"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0</w:t>
            </w:r>
          </w:p>
        </w:tc>
        <w:tc>
          <w:tcPr>
            <w:tcW w:w="9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0,1</w:t>
            </w:r>
          </w:p>
        </w:tc>
        <w:tc>
          <w:tcPr>
            <w:tcW w:w="1551"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1/12</w:t>
            </w:r>
          </w:p>
        </w:tc>
      </w:tr>
      <w:tr w:rsidR="006E5FDC" w:rsidRPr="00EC745F" w:rsidTr="00EC745F">
        <w:trPr>
          <w:trHeight w:val="300"/>
        </w:trPr>
        <w:tc>
          <w:tcPr>
            <w:tcW w:w="640" w:type="dxa"/>
          </w:tcPr>
          <w:p w:rsidR="006E5FDC" w:rsidRPr="00EC745F" w:rsidRDefault="006E5FDC" w:rsidP="00873D40">
            <w:pPr>
              <w:jc w:val="right"/>
              <w:rPr>
                <w:color w:val="000000"/>
                <w:sz w:val="20"/>
                <w:lang w:val="nl-BE" w:eastAsia="nl-BE"/>
              </w:rPr>
            </w:pPr>
            <w:r w:rsidRPr="00EC745F">
              <w:rPr>
                <w:color w:val="000000"/>
                <w:sz w:val="20"/>
                <w:lang w:val="nl-BE" w:eastAsia="nl-BE"/>
              </w:rPr>
              <w:t>2009</w:t>
            </w:r>
          </w:p>
        </w:tc>
        <w:tc>
          <w:tcPr>
            <w:tcW w:w="16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7</w:t>
            </w:r>
          </w:p>
        </w:tc>
        <w:tc>
          <w:tcPr>
            <w:tcW w:w="1607"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1</w:t>
            </w:r>
          </w:p>
        </w:tc>
        <w:tc>
          <w:tcPr>
            <w:tcW w:w="1129"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0</w:t>
            </w:r>
          </w:p>
        </w:tc>
        <w:tc>
          <w:tcPr>
            <w:tcW w:w="940"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1</w:t>
            </w:r>
          </w:p>
        </w:tc>
        <w:tc>
          <w:tcPr>
            <w:tcW w:w="1551" w:type="dxa"/>
            <w:shd w:val="clear" w:color="auto" w:fill="auto"/>
            <w:noWrap/>
            <w:vAlign w:val="bottom"/>
            <w:hideMark/>
          </w:tcPr>
          <w:p w:rsidR="006E5FDC" w:rsidRPr="00EC745F" w:rsidRDefault="006E5FDC" w:rsidP="00EC745F">
            <w:pPr>
              <w:jc w:val="right"/>
              <w:rPr>
                <w:color w:val="000000"/>
                <w:sz w:val="20"/>
                <w:lang w:val="nl-BE" w:eastAsia="nl-BE"/>
              </w:rPr>
            </w:pPr>
            <w:r w:rsidRPr="00EC745F">
              <w:rPr>
                <w:color w:val="000000"/>
                <w:sz w:val="20"/>
                <w:lang w:val="nl-BE" w:eastAsia="nl-BE"/>
              </w:rPr>
              <w:t>1</w:t>
            </w:r>
          </w:p>
        </w:tc>
      </w:tr>
      <w:tr w:rsidR="006E5FDC" w:rsidRPr="00EC745F" w:rsidTr="00EC745F">
        <w:trPr>
          <w:trHeight w:val="300"/>
        </w:trPr>
        <w:tc>
          <w:tcPr>
            <w:tcW w:w="640" w:type="dxa"/>
          </w:tcPr>
          <w:p w:rsidR="006E5FDC" w:rsidRPr="00EC745F" w:rsidRDefault="006E5FDC" w:rsidP="00873D40">
            <w:pPr>
              <w:jc w:val="right"/>
              <w:rPr>
                <w:sz w:val="20"/>
                <w:lang w:val="nl-BE" w:eastAsia="nl-BE"/>
              </w:rPr>
            </w:pPr>
            <w:r w:rsidRPr="00EC745F">
              <w:rPr>
                <w:sz w:val="20"/>
                <w:lang w:val="nl-BE" w:eastAsia="nl-BE"/>
              </w:rPr>
              <w:t>2010</w:t>
            </w:r>
          </w:p>
        </w:tc>
        <w:tc>
          <w:tcPr>
            <w:tcW w:w="1640"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7</w:t>
            </w:r>
          </w:p>
        </w:tc>
        <w:tc>
          <w:tcPr>
            <w:tcW w:w="1607"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1</w:t>
            </w:r>
          </w:p>
        </w:tc>
        <w:tc>
          <w:tcPr>
            <w:tcW w:w="1129"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0</w:t>
            </w:r>
          </w:p>
        </w:tc>
        <w:tc>
          <w:tcPr>
            <w:tcW w:w="940"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0,8</w:t>
            </w:r>
          </w:p>
        </w:tc>
        <w:tc>
          <w:tcPr>
            <w:tcW w:w="1551" w:type="dxa"/>
            <w:shd w:val="clear" w:color="auto" w:fill="auto"/>
            <w:noWrap/>
            <w:vAlign w:val="bottom"/>
            <w:hideMark/>
          </w:tcPr>
          <w:p w:rsidR="006E5FDC" w:rsidRPr="00EC745F" w:rsidRDefault="006E5FDC" w:rsidP="00EC745F">
            <w:pPr>
              <w:jc w:val="right"/>
              <w:rPr>
                <w:sz w:val="20"/>
                <w:lang w:val="nl-BE" w:eastAsia="nl-BE"/>
              </w:rPr>
            </w:pPr>
            <w:r w:rsidRPr="00EC745F">
              <w:rPr>
                <w:sz w:val="20"/>
                <w:lang w:val="nl-BE" w:eastAsia="nl-BE"/>
              </w:rPr>
              <w:t>1</w:t>
            </w:r>
          </w:p>
        </w:tc>
      </w:tr>
    </w:tbl>
    <w:p w:rsidR="006E5FDC" w:rsidRDefault="006E5FDC" w:rsidP="006E5FDC">
      <w:pPr>
        <w:pStyle w:val="StandaardSV"/>
        <w:ind w:left="708"/>
        <w:rPr>
          <w:i/>
        </w:rPr>
      </w:pPr>
    </w:p>
    <w:p w:rsidR="006E5FDC" w:rsidRDefault="006E5FDC" w:rsidP="00F500A2">
      <w:pPr>
        <w:pStyle w:val="StandaardSV"/>
      </w:pPr>
      <w:r>
        <w:t xml:space="preserve">Vanaf 2011 (projectfase 2011-2014) werd voor de uitvoering van de projecten regionale innovatiestimulering per provincie voorzien in een personeelsbezetting van </w:t>
      </w:r>
      <w:r w:rsidR="00F500A2">
        <w:t xml:space="preserve">6 VTE: </w:t>
      </w:r>
      <w:r>
        <w:t xml:space="preserve">een manager, vier innovatieadviseurs en een administratieve medewerker. </w:t>
      </w:r>
      <w:r w:rsidR="00F500A2">
        <w:t xml:space="preserve">De reële personeelsbezetting </w:t>
      </w:r>
      <w:r w:rsidR="00A277EA">
        <w:t xml:space="preserve">staat in onderstaande tabel: in West-Vlaanderen, Oost-Vlaanderen en Antwerpen betekende de overgang van de periode 2007-2010 </w:t>
      </w:r>
      <w:r w:rsidR="00AF4EEA">
        <w:t xml:space="preserve">naar </w:t>
      </w:r>
      <w:r w:rsidR="00F500A2">
        <w:t>2011</w:t>
      </w:r>
      <w:r w:rsidR="00A277EA">
        <w:t>-2014 dat er een adviseur minder zou tewerkgesteld worden</w:t>
      </w:r>
      <w:r w:rsidR="00EC745F">
        <w:t>.</w:t>
      </w:r>
      <w:r w:rsidR="00A277EA">
        <w:t xml:space="preserve"> </w:t>
      </w:r>
      <w:r w:rsidR="00EC745F">
        <w:t>I</w:t>
      </w:r>
      <w:r w:rsidR="00A277EA">
        <w:t xml:space="preserve">n West-Vlaanderen was het team al gereduceerd omwille van ontslagname van </w:t>
      </w:r>
      <w:r w:rsidR="007E720D">
        <w:t>een adviseur, in Oost-Vlaanderen en Antwerpen werd een adviseur ontslagen</w:t>
      </w:r>
      <w:r w:rsidR="00EC745F">
        <w:t>. D</w:t>
      </w:r>
      <w:r w:rsidR="00A277EA">
        <w:t>eze personen werkten in 2011 nog op het project tijdens hun opzegperiode</w:t>
      </w:r>
      <w:r w:rsidR="00EC745F">
        <w:t>.</w:t>
      </w:r>
    </w:p>
    <w:p w:rsidR="00682F48" w:rsidRPr="006E5FDC" w:rsidRDefault="00682F48" w:rsidP="00F500A2">
      <w:pPr>
        <w:pStyle w:val="StandaardSV"/>
      </w:pPr>
    </w:p>
    <w:tbl>
      <w:tblPr>
        <w:tblW w:w="75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40"/>
        <w:gridCol w:w="1640"/>
        <w:gridCol w:w="1607"/>
        <w:gridCol w:w="1129"/>
        <w:gridCol w:w="940"/>
        <w:gridCol w:w="1551"/>
      </w:tblGrid>
      <w:tr w:rsidR="00F500A2" w:rsidRPr="00EC745F" w:rsidTr="00EC745F">
        <w:trPr>
          <w:trHeight w:val="300"/>
        </w:trPr>
        <w:tc>
          <w:tcPr>
            <w:tcW w:w="640" w:type="dxa"/>
          </w:tcPr>
          <w:p w:rsidR="00F500A2" w:rsidRPr="00EC745F" w:rsidRDefault="00F500A2" w:rsidP="00873D40">
            <w:pPr>
              <w:rPr>
                <w:color w:val="000000"/>
                <w:sz w:val="20"/>
                <w:lang w:val="nl-BE" w:eastAsia="nl-BE"/>
              </w:rPr>
            </w:pPr>
          </w:p>
        </w:tc>
        <w:tc>
          <w:tcPr>
            <w:tcW w:w="1640" w:type="dxa"/>
            <w:shd w:val="clear" w:color="auto" w:fill="auto"/>
            <w:noWrap/>
            <w:vAlign w:val="bottom"/>
            <w:hideMark/>
          </w:tcPr>
          <w:p w:rsidR="00F500A2" w:rsidRPr="00EC745F" w:rsidRDefault="00F500A2" w:rsidP="00EC745F">
            <w:pPr>
              <w:jc w:val="right"/>
              <w:rPr>
                <w:color w:val="000000"/>
                <w:sz w:val="20"/>
                <w:lang w:val="nl-BE" w:eastAsia="nl-BE"/>
              </w:rPr>
            </w:pPr>
            <w:r w:rsidRPr="00EC745F">
              <w:rPr>
                <w:color w:val="000000"/>
                <w:sz w:val="20"/>
                <w:lang w:val="nl-BE" w:eastAsia="nl-BE"/>
              </w:rPr>
              <w:t>West-Vlaanderen</w:t>
            </w:r>
          </w:p>
        </w:tc>
        <w:tc>
          <w:tcPr>
            <w:tcW w:w="1607" w:type="dxa"/>
            <w:shd w:val="clear" w:color="auto" w:fill="auto"/>
            <w:noWrap/>
            <w:vAlign w:val="bottom"/>
            <w:hideMark/>
          </w:tcPr>
          <w:p w:rsidR="00F500A2" w:rsidRPr="00EC745F" w:rsidRDefault="00F500A2" w:rsidP="00EC745F">
            <w:pPr>
              <w:jc w:val="right"/>
              <w:rPr>
                <w:color w:val="000000"/>
                <w:sz w:val="20"/>
                <w:lang w:val="nl-BE" w:eastAsia="nl-BE"/>
              </w:rPr>
            </w:pPr>
            <w:r w:rsidRPr="00EC745F">
              <w:rPr>
                <w:color w:val="000000"/>
                <w:sz w:val="20"/>
                <w:lang w:val="nl-BE" w:eastAsia="nl-BE"/>
              </w:rPr>
              <w:t>Oost-Vlaanderen</w:t>
            </w:r>
          </w:p>
        </w:tc>
        <w:tc>
          <w:tcPr>
            <w:tcW w:w="1129" w:type="dxa"/>
            <w:shd w:val="clear" w:color="auto" w:fill="auto"/>
            <w:noWrap/>
            <w:vAlign w:val="bottom"/>
            <w:hideMark/>
          </w:tcPr>
          <w:p w:rsidR="00F500A2" w:rsidRPr="00EC745F" w:rsidRDefault="00F500A2" w:rsidP="00EC745F">
            <w:pPr>
              <w:jc w:val="right"/>
              <w:rPr>
                <w:color w:val="000000"/>
                <w:sz w:val="20"/>
                <w:lang w:val="nl-BE" w:eastAsia="nl-BE"/>
              </w:rPr>
            </w:pPr>
            <w:r w:rsidRPr="00EC745F">
              <w:rPr>
                <w:color w:val="000000"/>
                <w:sz w:val="20"/>
                <w:lang w:val="nl-BE" w:eastAsia="nl-BE"/>
              </w:rPr>
              <w:t>Antwerpen</w:t>
            </w:r>
          </w:p>
        </w:tc>
        <w:tc>
          <w:tcPr>
            <w:tcW w:w="940" w:type="dxa"/>
            <w:shd w:val="clear" w:color="auto" w:fill="auto"/>
            <w:noWrap/>
            <w:vAlign w:val="bottom"/>
            <w:hideMark/>
          </w:tcPr>
          <w:p w:rsidR="00F500A2" w:rsidRPr="00EC745F" w:rsidRDefault="00F500A2" w:rsidP="00EC745F">
            <w:pPr>
              <w:jc w:val="right"/>
              <w:rPr>
                <w:color w:val="000000"/>
                <w:sz w:val="20"/>
                <w:lang w:val="nl-BE" w:eastAsia="nl-BE"/>
              </w:rPr>
            </w:pPr>
            <w:r w:rsidRPr="00EC745F">
              <w:rPr>
                <w:color w:val="000000"/>
                <w:sz w:val="20"/>
                <w:lang w:val="nl-BE" w:eastAsia="nl-BE"/>
              </w:rPr>
              <w:t>Limburg</w:t>
            </w:r>
          </w:p>
        </w:tc>
        <w:tc>
          <w:tcPr>
            <w:tcW w:w="1551" w:type="dxa"/>
            <w:shd w:val="clear" w:color="auto" w:fill="auto"/>
            <w:noWrap/>
            <w:vAlign w:val="bottom"/>
            <w:hideMark/>
          </w:tcPr>
          <w:p w:rsidR="00F500A2" w:rsidRPr="00EC745F" w:rsidRDefault="00F500A2" w:rsidP="00EC745F">
            <w:pPr>
              <w:jc w:val="right"/>
              <w:rPr>
                <w:color w:val="000000"/>
                <w:sz w:val="20"/>
                <w:lang w:val="nl-BE" w:eastAsia="nl-BE"/>
              </w:rPr>
            </w:pPr>
            <w:r w:rsidRPr="00EC745F">
              <w:rPr>
                <w:color w:val="000000"/>
                <w:sz w:val="20"/>
                <w:lang w:val="nl-BE" w:eastAsia="nl-BE"/>
              </w:rPr>
              <w:t>Vlaams-Brabant</w:t>
            </w:r>
          </w:p>
        </w:tc>
      </w:tr>
      <w:tr w:rsidR="00F500A2" w:rsidRPr="00EC745F" w:rsidTr="00EC745F">
        <w:trPr>
          <w:trHeight w:val="300"/>
        </w:trPr>
        <w:tc>
          <w:tcPr>
            <w:tcW w:w="640" w:type="dxa"/>
          </w:tcPr>
          <w:p w:rsidR="00F500A2" w:rsidRPr="00EC745F" w:rsidRDefault="00F500A2" w:rsidP="00F500A2">
            <w:pPr>
              <w:jc w:val="right"/>
              <w:rPr>
                <w:color w:val="000000"/>
                <w:sz w:val="20"/>
                <w:lang w:val="nl-BE" w:eastAsia="nl-BE"/>
              </w:rPr>
            </w:pPr>
            <w:r w:rsidRPr="00EC745F">
              <w:rPr>
                <w:color w:val="000000"/>
                <w:sz w:val="20"/>
                <w:lang w:val="nl-BE" w:eastAsia="nl-BE"/>
              </w:rPr>
              <w:t>2011</w:t>
            </w:r>
          </w:p>
        </w:tc>
        <w:tc>
          <w:tcPr>
            <w:tcW w:w="1640" w:type="dxa"/>
            <w:shd w:val="clear" w:color="auto" w:fill="auto"/>
            <w:noWrap/>
            <w:vAlign w:val="bottom"/>
            <w:hideMark/>
          </w:tcPr>
          <w:p w:rsidR="00F500A2" w:rsidRPr="00EC745F" w:rsidRDefault="00F500A2" w:rsidP="00EC745F">
            <w:pPr>
              <w:jc w:val="right"/>
              <w:rPr>
                <w:color w:val="000000"/>
                <w:sz w:val="20"/>
                <w:lang w:val="nl-BE" w:eastAsia="nl-BE"/>
              </w:rPr>
            </w:pPr>
            <w:r w:rsidRPr="00EC745F">
              <w:rPr>
                <w:color w:val="000000"/>
                <w:sz w:val="20"/>
                <w:lang w:val="nl-BE" w:eastAsia="nl-BE"/>
              </w:rPr>
              <w:t>5</w:t>
            </w:r>
            <w:r w:rsidR="00EC745F">
              <w:rPr>
                <w:color w:val="000000"/>
                <w:sz w:val="20"/>
                <w:lang w:val="nl-BE" w:eastAsia="nl-BE"/>
              </w:rPr>
              <w:t>,</w:t>
            </w:r>
            <w:r w:rsidRPr="00EC745F">
              <w:rPr>
                <w:color w:val="000000"/>
                <w:sz w:val="20"/>
                <w:lang w:val="nl-BE" w:eastAsia="nl-BE"/>
              </w:rPr>
              <w:t>2</w:t>
            </w:r>
          </w:p>
        </w:tc>
        <w:tc>
          <w:tcPr>
            <w:tcW w:w="1607" w:type="dxa"/>
            <w:shd w:val="clear" w:color="auto" w:fill="auto"/>
            <w:noWrap/>
            <w:vAlign w:val="bottom"/>
            <w:hideMark/>
          </w:tcPr>
          <w:p w:rsidR="00F500A2" w:rsidRPr="00EC745F" w:rsidRDefault="007E720D" w:rsidP="00EC745F">
            <w:pPr>
              <w:jc w:val="right"/>
              <w:rPr>
                <w:color w:val="000000"/>
                <w:sz w:val="20"/>
                <w:lang w:val="nl-BE" w:eastAsia="nl-BE"/>
              </w:rPr>
            </w:pPr>
            <w:r w:rsidRPr="00EC745F">
              <w:rPr>
                <w:color w:val="000000"/>
                <w:sz w:val="20"/>
                <w:lang w:val="nl-BE" w:eastAsia="nl-BE"/>
              </w:rPr>
              <w:t>6</w:t>
            </w:r>
            <w:r w:rsidR="00EC745F">
              <w:rPr>
                <w:color w:val="000000"/>
                <w:sz w:val="20"/>
                <w:lang w:val="nl-BE" w:eastAsia="nl-BE"/>
              </w:rPr>
              <w:t>,</w:t>
            </w:r>
            <w:r w:rsidRPr="00EC745F">
              <w:rPr>
                <w:color w:val="000000"/>
                <w:sz w:val="20"/>
                <w:lang w:val="nl-BE" w:eastAsia="nl-BE"/>
              </w:rPr>
              <w:t>3</w:t>
            </w:r>
          </w:p>
        </w:tc>
        <w:tc>
          <w:tcPr>
            <w:tcW w:w="1129" w:type="dxa"/>
            <w:shd w:val="clear" w:color="auto" w:fill="auto"/>
            <w:noWrap/>
            <w:vAlign w:val="bottom"/>
            <w:hideMark/>
          </w:tcPr>
          <w:p w:rsidR="00F500A2" w:rsidRPr="00EC745F" w:rsidRDefault="007E720D" w:rsidP="00EC745F">
            <w:pPr>
              <w:jc w:val="right"/>
              <w:rPr>
                <w:color w:val="000000"/>
                <w:sz w:val="20"/>
                <w:lang w:val="nl-BE" w:eastAsia="nl-BE"/>
              </w:rPr>
            </w:pPr>
            <w:r w:rsidRPr="00EC745F">
              <w:rPr>
                <w:color w:val="000000"/>
                <w:sz w:val="20"/>
                <w:lang w:val="nl-BE" w:eastAsia="nl-BE"/>
              </w:rPr>
              <w:t>6,8</w:t>
            </w:r>
          </w:p>
        </w:tc>
        <w:tc>
          <w:tcPr>
            <w:tcW w:w="940" w:type="dxa"/>
            <w:shd w:val="clear" w:color="auto" w:fill="auto"/>
            <w:noWrap/>
            <w:vAlign w:val="bottom"/>
            <w:hideMark/>
          </w:tcPr>
          <w:p w:rsidR="00F500A2" w:rsidRPr="00EC745F" w:rsidRDefault="00D272D8" w:rsidP="00EC745F">
            <w:pPr>
              <w:jc w:val="right"/>
              <w:rPr>
                <w:color w:val="000000"/>
                <w:sz w:val="20"/>
                <w:lang w:val="nl-BE" w:eastAsia="nl-BE"/>
              </w:rPr>
            </w:pPr>
            <w:r w:rsidRPr="00EC745F">
              <w:rPr>
                <w:color w:val="000000"/>
                <w:sz w:val="20"/>
                <w:lang w:val="nl-BE" w:eastAsia="nl-BE"/>
              </w:rPr>
              <w:t>5</w:t>
            </w:r>
            <w:r w:rsidR="00EC745F">
              <w:rPr>
                <w:color w:val="000000"/>
                <w:sz w:val="20"/>
                <w:lang w:val="nl-BE" w:eastAsia="nl-BE"/>
              </w:rPr>
              <w:t>,</w:t>
            </w:r>
            <w:r w:rsidRPr="00EC745F">
              <w:rPr>
                <w:color w:val="000000"/>
                <w:sz w:val="20"/>
                <w:lang w:val="nl-BE" w:eastAsia="nl-BE"/>
              </w:rPr>
              <w:t>9</w:t>
            </w:r>
          </w:p>
        </w:tc>
        <w:tc>
          <w:tcPr>
            <w:tcW w:w="1551" w:type="dxa"/>
            <w:shd w:val="clear" w:color="auto" w:fill="auto"/>
            <w:noWrap/>
            <w:vAlign w:val="bottom"/>
            <w:hideMark/>
          </w:tcPr>
          <w:p w:rsidR="00F500A2" w:rsidRPr="00EC745F" w:rsidRDefault="00682F48" w:rsidP="00EC745F">
            <w:pPr>
              <w:jc w:val="right"/>
              <w:rPr>
                <w:color w:val="000000"/>
                <w:sz w:val="20"/>
                <w:lang w:val="nl-BE" w:eastAsia="nl-BE"/>
              </w:rPr>
            </w:pPr>
            <w:r w:rsidRPr="00EC745F">
              <w:rPr>
                <w:color w:val="000000"/>
                <w:sz w:val="20"/>
                <w:lang w:val="nl-BE" w:eastAsia="nl-BE"/>
              </w:rPr>
              <w:t>5</w:t>
            </w:r>
            <w:r w:rsidR="00EC745F">
              <w:rPr>
                <w:color w:val="000000"/>
                <w:sz w:val="20"/>
                <w:lang w:val="nl-BE" w:eastAsia="nl-BE"/>
              </w:rPr>
              <w:t>,</w:t>
            </w:r>
            <w:r w:rsidRPr="00EC745F">
              <w:rPr>
                <w:color w:val="000000"/>
                <w:sz w:val="20"/>
                <w:lang w:val="nl-BE" w:eastAsia="nl-BE"/>
              </w:rPr>
              <w:t>9</w:t>
            </w:r>
          </w:p>
        </w:tc>
      </w:tr>
    </w:tbl>
    <w:p w:rsidR="00682F48" w:rsidRDefault="00682F48" w:rsidP="00682F48">
      <w:pPr>
        <w:pStyle w:val="StandaardSV"/>
      </w:pPr>
    </w:p>
    <w:p w:rsidR="00682F48" w:rsidRDefault="00682F48" w:rsidP="00682F48">
      <w:pPr>
        <w:pStyle w:val="StandaardSV"/>
      </w:pPr>
      <w:r>
        <w:t>Naast het project regionale innovatiestimulering werd ook beslist om het Flanders</w:t>
      </w:r>
      <w:r w:rsidR="00EC745F">
        <w:t>’ Ca</w:t>
      </w:r>
      <w:r>
        <w:t>re initiatief vanuit de Innovatiecentra te versterken: er werden bu</w:t>
      </w:r>
      <w:r w:rsidR="00EC745F">
        <w:t>d</w:t>
      </w:r>
      <w:r>
        <w:t>gettaire middelen vrijgemaakt voor de financiering van 2 adviseurs die zich specifiek op de zorgsector zullen richten. Een van deze adviseurs is sinds midden 2011 werkzaam in Oost-Vlaanderen (en heeft West</w:t>
      </w:r>
      <w:r w:rsidR="00EC745F">
        <w:t>-</w:t>
      </w:r>
      <w:r>
        <w:t xml:space="preserve"> en Oost-Vlaanderen en de regio Antwerpen als werkgebied)</w:t>
      </w:r>
      <w:r w:rsidR="00EC745F">
        <w:t>. D</w:t>
      </w:r>
      <w:r>
        <w:t>e tweed</w:t>
      </w:r>
      <w:r w:rsidR="00EC745F">
        <w:t xml:space="preserve">e </w:t>
      </w:r>
      <w:r>
        <w:t xml:space="preserve">adviseur is begin 2012 in Vlaams-Brabant van start gegaan (en heeft naast Vlaams-Brabant ook </w:t>
      </w:r>
      <w:r w:rsidR="00EC745F">
        <w:t xml:space="preserve">de </w:t>
      </w:r>
      <w:r>
        <w:t xml:space="preserve">regio Kempen en provincie Limburg als werkgebied). </w:t>
      </w:r>
    </w:p>
    <w:p w:rsidR="00682F48" w:rsidRDefault="00682F48" w:rsidP="00682F48">
      <w:pPr>
        <w:pStyle w:val="StandaardSV"/>
      </w:pPr>
    </w:p>
    <w:p w:rsidR="00682F48" w:rsidRDefault="00344CA7" w:rsidP="00EC745F">
      <w:pPr>
        <w:pStyle w:val="StandaardSV"/>
        <w:numPr>
          <w:ilvl w:val="0"/>
          <w:numId w:val="28"/>
        </w:numPr>
        <w:rPr>
          <w:b/>
        </w:rPr>
      </w:pPr>
      <w:r>
        <w:rPr>
          <w:b/>
        </w:rPr>
        <w:t xml:space="preserve">De vooruitzichten </w:t>
      </w:r>
      <w:r w:rsidR="00682F48" w:rsidRPr="00682F48">
        <w:rPr>
          <w:b/>
        </w:rPr>
        <w:t xml:space="preserve">qua personeelsbezetting voor 2012 en volgende </w:t>
      </w:r>
    </w:p>
    <w:p w:rsidR="00682F48" w:rsidRDefault="00682F48" w:rsidP="00682F48">
      <w:pPr>
        <w:pStyle w:val="StandaardSV"/>
        <w:rPr>
          <w:b/>
        </w:rPr>
      </w:pPr>
    </w:p>
    <w:p w:rsidR="00036CC5" w:rsidRDefault="00682F48" w:rsidP="00682F48">
      <w:pPr>
        <w:pStyle w:val="StandaardSV"/>
      </w:pPr>
      <w:r>
        <w:t>Tot eind 2014 worden geen grote wijzigingen qu</w:t>
      </w:r>
      <w:r w:rsidR="00E47619">
        <w:t xml:space="preserve">a personeelsbezetting verwacht. </w:t>
      </w:r>
    </w:p>
    <w:p w:rsidR="00E47619" w:rsidRDefault="00E47619" w:rsidP="00682F48">
      <w:pPr>
        <w:pStyle w:val="StandaardSV"/>
      </w:pPr>
      <w:r>
        <w:t xml:space="preserve">Momenteel wordt wel vanuit </w:t>
      </w:r>
      <w:r w:rsidR="00EC745F">
        <w:t xml:space="preserve">het </w:t>
      </w:r>
      <w:r>
        <w:t xml:space="preserve">Agentschap Ondernemen een oproep voorbereid voor het uitzetten van LED-netwerken in elke Vlaamse provincie (LED = laagdrempelige expertise dienstverlening, een dergelijk netwerk draait momenteel in de provincie West-Vlaanderen als EFRO-project). </w:t>
      </w:r>
      <w:r w:rsidR="00344CA7">
        <w:t xml:space="preserve">Waarschijnlijk zullen </w:t>
      </w:r>
      <w:r>
        <w:t>de Innovatiecentra</w:t>
      </w:r>
      <w:r w:rsidR="00344CA7">
        <w:t xml:space="preserve"> een rol spelen in deze netwerken, wat een effect kan hebben op het personeelsbestand. </w:t>
      </w:r>
    </w:p>
    <w:p w:rsidR="00E720C9" w:rsidRDefault="00E720C9" w:rsidP="00682F48">
      <w:pPr>
        <w:pStyle w:val="StandaardSV"/>
      </w:pPr>
    </w:p>
    <w:p w:rsidR="00C51D69" w:rsidRDefault="00344CA7" w:rsidP="00EC745F">
      <w:pPr>
        <w:pStyle w:val="StandaardSV"/>
        <w:numPr>
          <w:ilvl w:val="0"/>
          <w:numId w:val="28"/>
        </w:numPr>
        <w:rPr>
          <w:b/>
        </w:rPr>
      </w:pPr>
      <w:r>
        <w:rPr>
          <w:b/>
        </w:rPr>
        <w:t>D</w:t>
      </w:r>
      <w:r w:rsidR="00873D40" w:rsidRPr="00873D40">
        <w:rPr>
          <w:b/>
        </w:rPr>
        <w:t xml:space="preserve">e evolutie </w:t>
      </w:r>
      <w:r>
        <w:rPr>
          <w:b/>
        </w:rPr>
        <w:t xml:space="preserve">en herkomst </w:t>
      </w:r>
      <w:r w:rsidR="00873D40" w:rsidRPr="00873D40">
        <w:rPr>
          <w:b/>
        </w:rPr>
        <w:t xml:space="preserve">van de werkingsmiddelen sinds </w:t>
      </w:r>
      <w:r>
        <w:rPr>
          <w:b/>
        </w:rPr>
        <w:t>de</w:t>
      </w:r>
      <w:r w:rsidR="00873D40" w:rsidRPr="00873D40">
        <w:rPr>
          <w:b/>
        </w:rPr>
        <w:t xml:space="preserve"> oprichting </w:t>
      </w:r>
    </w:p>
    <w:p w:rsidR="00C51D69" w:rsidRDefault="00C51D69" w:rsidP="00C51D69">
      <w:pPr>
        <w:pStyle w:val="StandaardSV"/>
        <w:rPr>
          <w:b/>
        </w:rPr>
      </w:pPr>
    </w:p>
    <w:p w:rsidR="002F115C" w:rsidRPr="002F115C" w:rsidRDefault="002F115C" w:rsidP="00C51D69">
      <w:pPr>
        <w:pStyle w:val="StandaardSV"/>
        <w:rPr>
          <w:rFonts w:ascii="Arial" w:hAnsi="Arial" w:cs="Arial"/>
          <w:b/>
          <w:sz w:val="20"/>
          <w:szCs w:val="22"/>
          <w:lang w:val="nl-BE"/>
        </w:rPr>
      </w:pPr>
      <w:r w:rsidRPr="002F115C">
        <w:rPr>
          <w:b/>
        </w:rPr>
        <w:t>2007</w:t>
      </w:r>
      <w:r w:rsidR="00EC745F">
        <w:rPr>
          <w:b/>
        </w:rPr>
        <w:t>-</w:t>
      </w:r>
      <w:r w:rsidRPr="002F115C">
        <w:rPr>
          <w:b/>
        </w:rPr>
        <w:t>2010</w:t>
      </w:r>
    </w:p>
    <w:p w:rsidR="00472F54" w:rsidRDefault="00472F54" w:rsidP="002F115C">
      <w:pPr>
        <w:pStyle w:val="StandaardSV"/>
        <w:ind w:left="708"/>
      </w:pPr>
    </w:p>
    <w:p w:rsidR="001A4C55" w:rsidRDefault="00944961" w:rsidP="00C51D69">
      <w:pPr>
        <w:pStyle w:val="StandaardSV"/>
        <w:rPr>
          <w:rFonts w:ascii="Arial" w:hAnsi="Arial" w:cs="Arial"/>
          <w:sz w:val="20"/>
          <w:szCs w:val="22"/>
          <w:lang w:val="nl-BE"/>
        </w:rPr>
      </w:pPr>
      <w:r w:rsidRPr="0017045B">
        <w:t>Onderstaande tabel geeft de subsidie</w:t>
      </w:r>
      <w:r>
        <w:t>s</w:t>
      </w:r>
      <w:r w:rsidRPr="0017045B">
        <w:t xml:space="preserve"> weer (in euro) die de Innovatiecentra voor </w:t>
      </w:r>
      <w:r w:rsidR="000E2E36">
        <w:t xml:space="preserve">de </w:t>
      </w:r>
      <w:r w:rsidRPr="0017045B">
        <w:t>uitvoering van hun project regionale innovatiestimulering ontvangen hebben vanaf hun oprichting tot en met 2010</w:t>
      </w:r>
      <w:r w:rsidR="000E2E36">
        <w:t xml:space="preserve"> (h</w:t>
      </w:r>
      <w:r w:rsidRPr="0017045B">
        <w:t xml:space="preserve">et Innovatiecentrum provincie Antwerpen werd pas in de loop van 2008 opgericht). Deze middelen werden vastgelegd op </w:t>
      </w:r>
      <w:r w:rsidR="000E2E36" w:rsidRPr="0017045B">
        <w:rPr>
          <w:szCs w:val="22"/>
          <w:lang w:val="nl-BE"/>
        </w:rPr>
        <w:t>basisallocatie</w:t>
      </w:r>
      <w:r w:rsidRPr="0017045B">
        <w:rPr>
          <w:szCs w:val="22"/>
          <w:lang w:val="nl-BE"/>
        </w:rPr>
        <w:t xml:space="preserve"> 71.3 99.12 van 2006</w:t>
      </w:r>
      <w:r w:rsidRPr="0017045B">
        <w:rPr>
          <w:rFonts w:ascii="Arial" w:hAnsi="Arial" w:cs="Arial"/>
          <w:sz w:val="20"/>
          <w:szCs w:val="22"/>
          <w:lang w:val="nl-BE"/>
        </w:rPr>
        <w:t>.</w:t>
      </w:r>
    </w:p>
    <w:p w:rsidR="00944961" w:rsidRDefault="00944961" w:rsidP="00873D40">
      <w:pPr>
        <w:pStyle w:val="StandaardSV"/>
        <w:rPr>
          <w:b/>
        </w:rPr>
      </w:pPr>
    </w:p>
    <w:tbl>
      <w:tblPr>
        <w:tblW w:w="848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07"/>
        <w:gridCol w:w="1640"/>
        <w:gridCol w:w="1607"/>
        <w:gridCol w:w="1290"/>
        <w:gridCol w:w="1290"/>
        <w:gridCol w:w="1551"/>
      </w:tblGrid>
      <w:tr w:rsidR="001A4C55" w:rsidRPr="00EC745F" w:rsidTr="000E2E36">
        <w:trPr>
          <w:trHeight w:val="300"/>
        </w:trPr>
        <w:tc>
          <w:tcPr>
            <w:tcW w:w="1107" w:type="dxa"/>
            <w:tcBorders>
              <w:top w:val="single" w:sz="4" w:space="0" w:color="auto"/>
            </w:tcBorders>
          </w:tcPr>
          <w:p w:rsidR="001A4C55" w:rsidRPr="00EC745F" w:rsidRDefault="001A4C55" w:rsidP="001A4C55">
            <w:pPr>
              <w:rPr>
                <w:color w:val="000000"/>
                <w:sz w:val="20"/>
                <w:lang w:val="nl-BE" w:eastAsia="nl-BE"/>
              </w:rPr>
            </w:pPr>
          </w:p>
        </w:tc>
        <w:tc>
          <w:tcPr>
            <w:tcW w:w="1640" w:type="dxa"/>
            <w:tcBorders>
              <w:top w:val="single" w:sz="4" w:space="0" w:color="auto"/>
            </w:tcBorders>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West-Vlaanderen</w:t>
            </w:r>
          </w:p>
        </w:tc>
        <w:tc>
          <w:tcPr>
            <w:tcW w:w="1607" w:type="dxa"/>
            <w:tcBorders>
              <w:top w:val="single" w:sz="4" w:space="0" w:color="auto"/>
            </w:tcBorders>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Oost-Vlaanderen</w:t>
            </w:r>
          </w:p>
        </w:tc>
        <w:tc>
          <w:tcPr>
            <w:tcW w:w="1290" w:type="dxa"/>
            <w:tcBorders>
              <w:top w:val="single" w:sz="4" w:space="0" w:color="auto"/>
            </w:tcBorders>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Antwerpen</w:t>
            </w:r>
          </w:p>
        </w:tc>
        <w:tc>
          <w:tcPr>
            <w:tcW w:w="1290" w:type="dxa"/>
            <w:tcBorders>
              <w:top w:val="single" w:sz="4" w:space="0" w:color="auto"/>
            </w:tcBorders>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Limburg</w:t>
            </w:r>
          </w:p>
        </w:tc>
        <w:tc>
          <w:tcPr>
            <w:tcW w:w="1551" w:type="dxa"/>
            <w:tcBorders>
              <w:top w:val="single" w:sz="4" w:space="0" w:color="auto"/>
            </w:tcBorders>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Vlaams-Brabant</w:t>
            </w:r>
          </w:p>
        </w:tc>
      </w:tr>
      <w:tr w:rsidR="001A4C55" w:rsidRPr="00EC745F" w:rsidTr="000E2E36">
        <w:trPr>
          <w:trHeight w:val="65"/>
        </w:trPr>
        <w:tc>
          <w:tcPr>
            <w:tcW w:w="1107" w:type="dxa"/>
          </w:tcPr>
          <w:p w:rsidR="001A4C55" w:rsidRPr="00EC745F" w:rsidRDefault="001A4C55" w:rsidP="001A4C55">
            <w:pPr>
              <w:jc w:val="right"/>
              <w:rPr>
                <w:color w:val="000000"/>
                <w:sz w:val="20"/>
                <w:lang w:val="nl-BE" w:eastAsia="nl-BE"/>
              </w:rPr>
            </w:pPr>
            <w:r w:rsidRPr="00EC745F">
              <w:rPr>
                <w:color w:val="000000"/>
                <w:sz w:val="20"/>
                <w:lang w:val="nl-BE" w:eastAsia="nl-BE"/>
              </w:rPr>
              <w:t>2007-2008</w:t>
            </w:r>
          </w:p>
        </w:tc>
        <w:tc>
          <w:tcPr>
            <w:tcW w:w="1640"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1.574.039,23</w:t>
            </w:r>
          </w:p>
        </w:tc>
        <w:tc>
          <w:tcPr>
            <w:tcW w:w="1607"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1.266.930,00</w:t>
            </w:r>
          </w:p>
        </w:tc>
        <w:tc>
          <w:tcPr>
            <w:tcW w:w="1290"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327.970,72</w:t>
            </w:r>
          </w:p>
        </w:tc>
        <w:tc>
          <w:tcPr>
            <w:tcW w:w="1290"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904.603.63</w:t>
            </w:r>
          </w:p>
        </w:tc>
        <w:tc>
          <w:tcPr>
            <w:tcW w:w="1551"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741.154,84</w:t>
            </w:r>
          </w:p>
        </w:tc>
      </w:tr>
      <w:tr w:rsidR="001A4C55" w:rsidRPr="00EC745F" w:rsidTr="000E2E36">
        <w:trPr>
          <w:trHeight w:val="65"/>
        </w:trPr>
        <w:tc>
          <w:tcPr>
            <w:tcW w:w="1107" w:type="dxa"/>
          </w:tcPr>
          <w:p w:rsidR="001A4C55" w:rsidRPr="00EC745F" w:rsidRDefault="001A4C55" w:rsidP="001A4C55">
            <w:pPr>
              <w:jc w:val="right"/>
              <w:rPr>
                <w:color w:val="000000"/>
                <w:sz w:val="20"/>
                <w:lang w:val="nl-BE" w:eastAsia="nl-BE"/>
              </w:rPr>
            </w:pPr>
            <w:r w:rsidRPr="00EC745F">
              <w:rPr>
                <w:color w:val="000000"/>
                <w:sz w:val="20"/>
                <w:lang w:val="nl-BE" w:eastAsia="nl-BE"/>
              </w:rPr>
              <w:t>2009-</w:t>
            </w:r>
            <w:r w:rsidRPr="00EC745F">
              <w:rPr>
                <w:sz w:val="20"/>
                <w:lang w:val="nl-BE" w:eastAsia="nl-BE"/>
              </w:rPr>
              <w:t>2010</w:t>
            </w:r>
          </w:p>
        </w:tc>
        <w:tc>
          <w:tcPr>
            <w:tcW w:w="1640"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1.751.299,27</w:t>
            </w:r>
          </w:p>
        </w:tc>
        <w:tc>
          <w:tcPr>
            <w:tcW w:w="1607" w:type="dxa"/>
            <w:noWrap/>
            <w:vAlign w:val="bottom"/>
          </w:tcPr>
          <w:p w:rsidR="001A4C55" w:rsidRPr="00EC745F" w:rsidRDefault="001A4C55" w:rsidP="000E2E36">
            <w:pPr>
              <w:jc w:val="right"/>
              <w:rPr>
                <w:color w:val="000000"/>
                <w:sz w:val="20"/>
                <w:lang w:val="nl-BE" w:eastAsia="nl-BE"/>
              </w:rPr>
            </w:pPr>
            <w:r w:rsidRPr="00EC745F">
              <w:rPr>
                <w:sz w:val="20"/>
                <w:lang w:val="nl-BE" w:eastAsia="nl-BE"/>
              </w:rPr>
              <w:t>1.837.283,83</w:t>
            </w:r>
          </w:p>
        </w:tc>
        <w:tc>
          <w:tcPr>
            <w:tcW w:w="1290"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1.787.312,55</w:t>
            </w:r>
          </w:p>
        </w:tc>
        <w:tc>
          <w:tcPr>
            <w:tcW w:w="1290" w:type="dxa"/>
            <w:noWrap/>
            <w:vAlign w:val="bottom"/>
          </w:tcPr>
          <w:p w:rsidR="001A4C55" w:rsidRPr="00EC745F" w:rsidRDefault="001A4C55" w:rsidP="000E2E36">
            <w:pPr>
              <w:jc w:val="right"/>
              <w:rPr>
                <w:color w:val="000000"/>
                <w:sz w:val="20"/>
                <w:lang w:val="nl-BE" w:eastAsia="nl-BE"/>
              </w:rPr>
            </w:pPr>
            <w:r w:rsidRPr="00EC745F">
              <w:rPr>
                <w:sz w:val="20"/>
                <w:lang w:val="nl-BE" w:eastAsia="nl-BE"/>
              </w:rPr>
              <w:t>1.683.410,55</w:t>
            </w:r>
          </w:p>
        </w:tc>
        <w:tc>
          <w:tcPr>
            <w:tcW w:w="1551" w:type="dxa"/>
            <w:noWrap/>
            <w:vAlign w:val="bottom"/>
          </w:tcPr>
          <w:p w:rsidR="001A4C55" w:rsidRPr="00EC745F" w:rsidRDefault="001A4C55" w:rsidP="000E2E36">
            <w:pPr>
              <w:jc w:val="right"/>
              <w:rPr>
                <w:color w:val="000000"/>
                <w:sz w:val="20"/>
                <w:lang w:val="nl-BE" w:eastAsia="nl-BE"/>
              </w:rPr>
            </w:pPr>
            <w:r w:rsidRPr="00EC745F">
              <w:rPr>
                <w:sz w:val="20"/>
                <w:lang w:val="nl-BE" w:eastAsia="nl-BE"/>
              </w:rPr>
              <w:t>1.489.429,42</w:t>
            </w:r>
          </w:p>
        </w:tc>
      </w:tr>
      <w:tr w:rsidR="001A4C55" w:rsidRPr="00EC745F" w:rsidTr="000E2E36">
        <w:trPr>
          <w:trHeight w:val="65"/>
        </w:trPr>
        <w:tc>
          <w:tcPr>
            <w:tcW w:w="1107" w:type="dxa"/>
          </w:tcPr>
          <w:p w:rsidR="001A4C55" w:rsidRPr="00EC745F" w:rsidRDefault="001A4C55" w:rsidP="001A4C55">
            <w:pPr>
              <w:jc w:val="right"/>
              <w:rPr>
                <w:color w:val="000000"/>
                <w:sz w:val="20"/>
                <w:lang w:val="nl-BE" w:eastAsia="nl-BE"/>
              </w:rPr>
            </w:pPr>
            <w:r w:rsidRPr="00EC745F">
              <w:rPr>
                <w:color w:val="000000"/>
                <w:sz w:val="20"/>
                <w:lang w:val="nl-BE" w:eastAsia="nl-BE"/>
              </w:rPr>
              <w:t>Totaal</w:t>
            </w:r>
          </w:p>
        </w:tc>
        <w:tc>
          <w:tcPr>
            <w:tcW w:w="1640"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3.325.338,50</w:t>
            </w:r>
          </w:p>
        </w:tc>
        <w:tc>
          <w:tcPr>
            <w:tcW w:w="1607"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3.104.213,33</w:t>
            </w:r>
          </w:p>
        </w:tc>
        <w:tc>
          <w:tcPr>
            <w:tcW w:w="1290"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2.115.283,27</w:t>
            </w:r>
          </w:p>
        </w:tc>
        <w:tc>
          <w:tcPr>
            <w:tcW w:w="1290"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2.588.014,18</w:t>
            </w:r>
          </w:p>
        </w:tc>
        <w:tc>
          <w:tcPr>
            <w:tcW w:w="1551" w:type="dxa"/>
            <w:noWrap/>
            <w:vAlign w:val="bottom"/>
          </w:tcPr>
          <w:p w:rsidR="001A4C55" w:rsidRPr="00EC745F" w:rsidRDefault="001A4C55" w:rsidP="000E2E36">
            <w:pPr>
              <w:jc w:val="right"/>
              <w:rPr>
                <w:color w:val="000000"/>
                <w:sz w:val="20"/>
                <w:lang w:val="nl-BE" w:eastAsia="nl-BE"/>
              </w:rPr>
            </w:pPr>
            <w:r w:rsidRPr="00EC745F">
              <w:rPr>
                <w:color w:val="000000"/>
                <w:sz w:val="20"/>
                <w:lang w:val="nl-BE" w:eastAsia="nl-BE"/>
              </w:rPr>
              <w:t>2.230.584,26</w:t>
            </w:r>
          </w:p>
        </w:tc>
      </w:tr>
    </w:tbl>
    <w:p w:rsidR="001A4C55" w:rsidRDefault="001A4C55" w:rsidP="00873D40">
      <w:pPr>
        <w:pStyle w:val="StandaardSV"/>
        <w:rPr>
          <w:b/>
        </w:rPr>
      </w:pPr>
    </w:p>
    <w:p w:rsidR="00F05FF1" w:rsidRDefault="00F05FF1" w:rsidP="00C51D69">
      <w:pPr>
        <w:pStyle w:val="StandaardSV"/>
      </w:pPr>
      <w:r w:rsidRPr="0017045B">
        <w:lastRenderedPageBreak/>
        <w:t>Innovatiecentrum Limburg kon tijdens de periode 2007-2010 ook rekenen op bijkomende middelen vanuit het Limburgplan ten be</w:t>
      </w:r>
      <w:r w:rsidR="000E2E36">
        <w:t>drage</w:t>
      </w:r>
      <w:r w:rsidRPr="0017045B">
        <w:t xml:space="preserve"> van 800.000 </w:t>
      </w:r>
      <w:r w:rsidR="000E2E36">
        <w:t>euro</w:t>
      </w:r>
      <w:r w:rsidRPr="0017045B">
        <w:t>.</w:t>
      </w:r>
    </w:p>
    <w:p w:rsidR="00F05FF1" w:rsidRDefault="00F05FF1" w:rsidP="00C51D69">
      <w:pPr>
        <w:pStyle w:val="StandaardSV"/>
      </w:pPr>
      <w:r w:rsidRPr="0017045B">
        <w:t xml:space="preserve">Naast de middelen uit de projecten regionale innovatiestimulering 2007-2010 en de middelen uit het Limburgplan waren de Innovatiecentra ook uitvoerder van </w:t>
      </w:r>
      <w:r w:rsidR="000E2E36">
        <w:t>het</w:t>
      </w:r>
      <w:r w:rsidRPr="0017045B">
        <w:t xml:space="preserve"> EFRO-project </w:t>
      </w:r>
      <w:r w:rsidR="000E2E36">
        <w:t>“</w:t>
      </w:r>
      <w:r w:rsidRPr="0017045B">
        <w:t>Tot uw diensten</w:t>
      </w:r>
      <w:r w:rsidR="000E2E36">
        <w:t>”.</w:t>
      </w:r>
      <w:r w:rsidRPr="0017045B">
        <w:t xml:space="preserve"> </w:t>
      </w:r>
      <w:r w:rsidR="000E2E36">
        <w:t>H</w:t>
      </w:r>
      <w:r w:rsidRPr="0017045B">
        <w:t>et IWT st</w:t>
      </w:r>
      <w:r w:rsidR="00C51D69">
        <w:t>ond in</w:t>
      </w:r>
      <w:r w:rsidRPr="0017045B">
        <w:t xml:space="preserve"> voor cofinanciering van dit project voor een bedrag van 346.129 </w:t>
      </w:r>
      <w:r w:rsidR="000E2E36">
        <w:t>euro</w:t>
      </w:r>
      <w:r w:rsidRPr="0017045B">
        <w:t>.</w:t>
      </w:r>
    </w:p>
    <w:p w:rsidR="002F115C" w:rsidRPr="00914D5B" w:rsidRDefault="002F115C" w:rsidP="00C51D69">
      <w:pPr>
        <w:pStyle w:val="StandaardSV"/>
        <w:ind w:left="3"/>
      </w:pPr>
      <w:r w:rsidRPr="00914D5B">
        <w:t>Innovatiecentrum provincie Antwerpen heeft naast de subsidies voor het project regionale innovatiestimulering geen andere middelen ontvangen.</w:t>
      </w:r>
    </w:p>
    <w:p w:rsidR="002F115C" w:rsidRPr="00914D5B" w:rsidRDefault="002F115C" w:rsidP="00C51D69">
      <w:pPr>
        <w:pStyle w:val="StandaardSV"/>
        <w:ind w:left="4"/>
      </w:pPr>
    </w:p>
    <w:p w:rsidR="002F115C" w:rsidRPr="00914D5B" w:rsidRDefault="002F115C" w:rsidP="00C51D69">
      <w:pPr>
        <w:pStyle w:val="StandaardSV"/>
        <w:ind w:left="4"/>
      </w:pPr>
      <w:r w:rsidRPr="00914D5B">
        <w:t xml:space="preserve">Innovatiecentrum West-Vlaanderen, Oost-Vlaanderen en Vlaams-Brabant hebben naast de subsidies voor het project regionale innovatiestimulering middelen ontvangen in het kader van het EFRO-project </w:t>
      </w:r>
      <w:r w:rsidR="000E2E36">
        <w:t>“</w:t>
      </w:r>
      <w:r w:rsidRPr="00914D5B">
        <w:t>Tot uw diensten</w:t>
      </w:r>
      <w:r w:rsidR="000E2E36">
        <w:t>”</w:t>
      </w:r>
      <w:r w:rsidRPr="00914D5B">
        <w:t xml:space="preserve"> zoals </w:t>
      </w:r>
      <w:r w:rsidR="000E2E36">
        <w:t xml:space="preserve">hierboven </w:t>
      </w:r>
      <w:r w:rsidRPr="00914D5B">
        <w:t>vermeld</w:t>
      </w:r>
      <w:r w:rsidR="000E2E36">
        <w:t>.</w:t>
      </w:r>
      <w:r w:rsidRPr="00914D5B">
        <w:t xml:space="preserve"> Onderstaande tabel geeft de gestorte cofinanciering (</w:t>
      </w:r>
      <w:r w:rsidR="000E2E36">
        <w:t>door het IWT</w:t>
      </w:r>
      <w:r w:rsidRPr="00914D5B">
        <w:t xml:space="preserve">) en </w:t>
      </w:r>
      <w:r w:rsidR="000E2E36">
        <w:t xml:space="preserve">de </w:t>
      </w:r>
      <w:r w:rsidRPr="00914D5B">
        <w:t>EFRO-subsidie.</w:t>
      </w:r>
    </w:p>
    <w:p w:rsidR="002F115C" w:rsidRPr="00914D5B" w:rsidRDefault="002F115C" w:rsidP="002F115C">
      <w:pPr>
        <w:pStyle w:val="StandaardSV"/>
        <w:ind w:left="709"/>
      </w:pPr>
    </w:p>
    <w:tbl>
      <w:tblPr>
        <w:tblW w:w="65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40"/>
        <w:gridCol w:w="990"/>
        <w:gridCol w:w="990"/>
        <w:gridCol w:w="990"/>
        <w:gridCol w:w="990"/>
        <w:gridCol w:w="990"/>
        <w:gridCol w:w="990"/>
      </w:tblGrid>
      <w:tr w:rsidR="002F115C" w:rsidRPr="000E2E36" w:rsidTr="000E2E36">
        <w:trPr>
          <w:trHeight w:val="300"/>
        </w:trPr>
        <w:tc>
          <w:tcPr>
            <w:tcW w:w="640" w:type="dxa"/>
          </w:tcPr>
          <w:p w:rsidR="002F115C" w:rsidRPr="000E2E36" w:rsidRDefault="002F115C" w:rsidP="002F115C">
            <w:pPr>
              <w:rPr>
                <w:color w:val="000000"/>
                <w:sz w:val="20"/>
                <w:lang w:val="nl-BE" w:eastAsia="nl-BE"/>
              </w:rPr>
            </w:pPr>
          </w:p>
        </w:tc>
        <w:tc>
          <w:tcPr>
            <w:tcW w:w="1980" w:type="dxa"/>
            <w:gridSpan w:val="2"/>
            <w:shd w:val="clear" w:color="auto" w:fill="auto"/>
            <w:noWrap/>
            <w:vAlign w:val="bottom"/>
            <w:hideMark/>
          </w:tcPr>
          <w:p w:rsidR="002F115C" w:rsidRPr="000E2E36" w:rsidRDefault="002F115C" w:rsidP="000E2E36">
            <w:pPr>
              <w:jc w:val="center"/>
              <w:rPr>
                <w:color w:val="000000"/>
                <w:sz w:val="20"/>
                <w:lang w:val="nl-BE" w:eastAsia="nl-BE"/>
              </w:rPr>
            </w:pPr>
            <w:r w:rsidRPr="000E2E36">
              <w:rPr>
                <w:color w:val="000000"/>
                <w:sz w:val="20"/>
                <w:lang w:val="nl-BE" w:eastAsia="nl-BE"/>
              </w:rPr>
              <w:t>West-Vlaanderen</w:t>
            </w:r>
          </w:p>
        </w:tc>
        <w:tc>
          <w:tcPr>
            <w:tcW w:w="1980" w:type="dxa"/>
            <w:gridSpan w:val="2"/>
            <w:shd w:val="clear" w:color="auto" w:fill="auto"/>
            <w:noWrap/>
            <w:vAlign w:val="bottom"/>
            <w:hideMark/>
          </w:tcPr>
          <w:p w:rsidR="002F115C" w:rsidRPr="000E2E36" w:rsidRDefault="002F115C" w:rsidP="000E2E36">
            <w:pPr>
              <w:jc w:val="center"/>
              <w:rPr>
                <w:color w:val="000000"/>
                <w:sz w:val="20"/>
                <w:lang w:val="nl-BE" w:eastAsia="nl-BE"/>
              </w:rPr>
            </w:pPr>
            <w:r w:rsidRPr="000E2E36">
              <w:rPr>
                <w:color w:val="000000"/>
                <w:sz w:val="20"/>
                <w:lang w:val="nl-BE" w:eastAsia="nl-BE"/>
              </w:rPr>
              <w:t>Oost-Vlaanderen</w:t>
            </w:r>
          </w:p>
        </w:tc>
        <w:tc>
          <w:tcPr>
            <w:tcW w:w="1980" w:type="dxa"/>
            <w:gridSpan w:val="2"/>
            <w:shd w:val="clear" w:color="auto" w:fill="auto"/>
            <w:noWrap/>
            <w:vAlign w:val="bottom"/>
            <w:hideMark/>
          </w:tcPr>
          <w:p w:rsidR="002F115C" w:rsidRPr="000E2E36" w:rsidRDefault="002F115C" w:rsidP="000E2E36">
            <w:pPr>
              <w:jc w:val="center"/>
              <w:rPr>
                <w:color w:val="000000"/>
                <w:sz w:val="20"/>
                <w:lang w:val="nl-BE" w:eastAsia="nl-BE"/>
              </w:rPr>
            </w:pPr>
            <w:r w:rsidRPr="000E2E36">
              <w:rPr>
                <w:color w:val="000000"/>
                <w:sz w:val="20"/>
                <w:lang w:val="nl-BE" w:eastAsia="nl-BE"/>
              </w:rPr>
              <w:t>Vlaams-Brabant</w:t>
            </w:r>
          </w:p>
        </w:tc>
      </w:tr>
      <w:tr w:rsidR="002F115C" w:rsidRPr="000E2E36" w:rsidTr="000E2E36">
        <w:trPr>
          <w:trHeight w:val="300"/>
        </w:trPr>
        <w:tc>
          <w:tcPr>
            <w:tcW w:w="640" w:type="dxa"/>
          </w:tcPr>
          <w:p w:rsidR="002F115C" w:rsidRPr="000E2E36" w:rsidRDefault="002F115C" w:rsidP="002F115C">
            <w:pPr>
              <w:rPr>
                <w:color w:val="000000"/>
                <w:sz w:val="20"/>
                <w:lang w:val="nl-BE" w:eastAsia="nl-BE"/>
              </w:rPr>
            </w:pPr>
          </w:p>
        </w:tc>
        <w:tc>
          <w:tcPr>
            <w:tcW w:w="990" w:type="dxa"/>
            <w:shd w:val="clear" w:color="auto" w:fill="auto"/>
            <w:noWrap/>
            <w:vAlign w:val="bottom"/>
            <w:hideMark/>
          </w:tcPr>
          <w:p w:rsidR="002F115C" w:rsidRPr="000E2E36" w:rsidRDefault="002F115C" w:rsidP="000E2E36">
            <w:pPr>
              <w:jc w:val="right"/>
              <w:rPr>
                <w:color w:val="000000"/>
                <w:sz w:val="20"/>
                <w:lang w:val="nl-BE" w:eastAsia="nl-BE"/>
              </w:rPr>
            </w:pPr>
            <w:r w:rsidRPr="000E2E36">
              <w:rPr>
                <w:color w:val="000000"/>
                <w:sz w:val="20"/>
                <w:lang w:val="nl-BE" w:eastAsia="nl-BE"/>
              </w:rPr>
              <w:t>Co-fin.</w:t>
            </w:r>
          </w:p>
        </w:tc>
        <w:tc>
          <w:tcPr>
            <w:tcW w:w="990" w:type="dxa"/>
            <w:shd w:val="clear" w:color="auto" w:fill="auto"/>
            <w:vAlign w:val="bottom"/>
          </w:tcPr>
          <w:p w:rsidR="002F115C" w:rsidRPr="000E2E36" w:rsidRDefault="002F115C" w:rsidP="000E2E36">
            <w:pPr>
              <w:jc w:val="right"/>
              <w:rPr>
                <w:color w:val="000000"/>
                <w:sz w:val="20"/>
                <w:lang w:val="nl-BE" w:eastAsia="nl-BE"/>
              </w:rPr>
            </w:pPr>
            <w:r w:rsidRPr="000E2E36">
              <w:rPr>
                <w:color w:val="000000"/>
                <w:sz w:val="20"/>
                <w:lang w:val="nl-BE" w:eastAsia="nl-BE"/>
              </w:rPr>
              <w:t>EFRO</w:t>
            </w:r>
          </w:p>
        </w:tc>
        <w:tc>
          <w:tcPr>
            <w:tcW w:w="990" w:type="dxa"/>
            <w:shd w:val="clear" w:color="auto" w:fill="auto"/>
            <w:noWrap/>
            <w:vAlign w:val="bottom"/>
            <w:hideMark/>
          </w:tcPr>
          <w:p w:rsidR="002F115C" w:rsidRPr="000E2E36" w:rsidRDefault="002F115C" w:rsidP="000E2E36">
            <w:pPr>
              <w:jc w:val="right"/>
              <w:rPr>
                <w:color w:val="000000"/>
                <w:sz w:val="20"/>
                <w:lang w:val="nl-BE" w:eastAsia="nl-BE"/>
              </w:rPr>
            </w:pPr>
            <w:r w:rsidRPr="000E2E36">
              <w:rPr>
                <w:color w:val="000000"/>
                <w:sz w:val="20"/>
                <w:lang w:val="nl-BE" w:eastAsia="nl-BE"/>
              </w:rPr>
              <w:t>Co-fin</w:t>
            </w:r>
          </w:p>
        </w:tc>
        <w:tc>
          <w:tcPr>
            <w:tcW w:w="990" w:type="dxa"/>
            <w:shd w:val="clear" w:color="auto" w:fill="auto"/>
            <w:vAlign w:val="bottom"/>
          </w:tcPr>
          <w:p w:rsidR="002F115C" w:rsidRPr="000E2E36" w:rsidRDefault="002F115C" w:rsidP="000E2E36">
            <w:pPr>
              <w:jc w:val="right"/>
              <w:rPr>
                <w:color w:val="000000"/>
                <w:sz w:val="20"/>
                <w:lang w:val="nl-BE" w:eastAsia="nl-BE"/>
              </w:rPr>
            </w:pPr>
            <w:r w:rsidRPr="000E2E36">
              <w:rPr>
                <w:color w:val="000000"/>
                <w:sz w:val="20"/>
                <w:lang w:val="nl-BE" w:eastAsia="nl-BE"/>
              </w:rPr>
              <w:t>EFRO</w:t>
            </w:r>
          </w:p>
        </w:tc>
        <w:tc>
          <w:tcPr>
            <w:tcW w:w="990" w:type="dxa"/>
            <w:shd w:val="clear" w:color="auto" w:fill="auto"/>
            <w:noWrap/>
            <w:vAlign w:val="bottom"/>
            <w:hideMark/>
          </w:tcPr>
          <w:p w:rsidR="002F115C" w:rsidRPr="000E2E36" w:rsidRDefault="002F115C" w:rsidP="000E2E36">
            <w:pPr>
              <w:jc w:val="right"/>
              <w:rPr>
                <w:color w:val="000000"/>
                <w:sz w:val="20"/>
                <w:lang w:val="nl-BE" w:eastAsia="nl-BE"/>
              </w:rPr>
            </w:pPr>
            <w:r w:rsidRPr="000E2E36">
              <w:rPr>
                <w:color w:val="000000"/>
                <w:sz w:val="20"/>
                <w:lang w:val="nl-BE" w:eastAsia="nl-BE"/>
              </w:rPr>
              <w:t>Co-fin</w:t>
            </w:r>
          </w:p>
        </w:tc>
        <w:tc>
          <w:tcPr>
            <w:tcW w:w="990" w:type="dxa"/>
            <w:shd w:val="clear" w:color="auto" w:fill="auto"/>
            <w:vAlign w:val="bottom"/>
          </w:tcPr>
          <w:p w:rsidR="002F115C" w:rsidRPr="000E2E36" w:rsidRDefault="002F115C" w:rsidP="000E2E36">
            <w:pPr>
              <w:jc w:val="right"/>
              <w:rPr>
                <w:color w:val="000000"/>
                <w:sz w:val="20"/>
                <w:lang w:val="nl-BE" w:eastAsia="nl-BE"/>
              </w:rPr>
            </w:pPr>
            <w:r w:rsidRPr="000E2E36">
              <w:rPr>
                <w:color w:val="000000"/>
                <w:sz w:val="20"/>
                <w:lang w:val="nl-BE" w:eastAsia="nl-BE"/>
              </w:rPr>
              <w:t>EFRO</w:t>
            </w:r>
          </w:p>
        </w:tc>
      </w:tr>
      <w:tr w:rsidR="002F115C" w:rsidRPr="000E2E36" w:rsidTr="000E2E36">
        <w:trPr>
          <w:trHeight w:val="300"/>
        </w:trPr>
        <w:tc>
          <w:tcPr>
            <w:tcW w:w="640" w:type="dxa"/>
          </w:tcPr>
          <w:p w:rsidR="002F115C" w:rsidRPr="000E2E36" w:rsidRDefault="002F115C" w:rsidP="002F115C">
            <w:pPr>
              <w:jc w:val="right"/>
              <w:rPr>
                <w:color w:val="000000"/>
                <w:sz w:val="20"/>
                <w:lang w:val="nl-BE" w:eastAsia="nl-BE"/>
              </w:rPr>
            </w:pPr>
            <w:r w:rsidRPr="000E2E36">
              <w:rPr>
                <w:color w:val="000000"/>
                <w:sz w:val="20"/>
                <w:lang w:val="nl-BE" w:eastAsia="nl-BE"/>
              </w:rPr>
              <w:t>2009</w:t>
            </w:r>
          </w:p>
        </w:tc>
        <w:tc>
          <w:tcPr>
            <w:tcW w:w="990" w:type="dxa"/>
            <w:shd w:val="clear" w:color="auto" w:fill="auto"/>
            <w:noWrap/>
            <w:vAlign w:val="bottom"/>
            <w:hideMark/>
          </w:tcPr>
          <w:p w:rsidR="002F115C" w:rsidRPr="000E2E36" w:rsidRDefault="002F115C" w:rsidP="000E2E36">
            <w:pPr>
              <w:jc w:val="right"/>
              <w:rPr>
                <w:color w:val="000000"/>
                <w:sz w:val="20"/>
                <w:lang w:val="nl-BE" w:eastAsia="nl-BE"/>
              </w:rPr>
            </w:pPr>
            <w:r w:rsidRPr="000E2E36">
              <w:rPr>
                <w:color w:val="000000"/>
                <w:sz w:val="20"/>
                <w:lang w:val="nl-BE" w:eastAsia="nl-BE"/>
              </w:rPr>
              <w:t>42</w:t>
            </w:r>
            <w:r w:rsidR="000E2E36">
              <w:rPr>
                <w:color w:val="000000"/>
                <w:sz w:val="20"/>
                <w:lang w:val="nl-BE" w:eastAsia="nl-BE"/>
              </w:rPr>
              <w:t>.</w:t>
            </w:r>
            <w:r w:rsidRPr="000E2E36">
              <w:rPr>
                <w:color w:val="000000"/>
                <w:sz w:val="20"/>
                <w:lang w:val="nl-BE" w:eastAsia="nl-BE"/>
              </w:rPr>
              <w:t>869,71</w:t>
            </w:r>
          </w:p>
        </w:tc>
        <w:tc>
          <w:tcPr>
            <w:tcW w:w="990" w:type="dxa"/>
            <w:shd w:val="clear" w:color="auto" w:fill="auto"/>
            <w:vAlign w:val="bottom"/>
          </w:tcPr>
          <w:p w:rsidR="002F115C" w:rsidRPr="000E2E36" w:rsidRDefault="002F115C" w:rsidP="000E2E36">
            <w:pPr>
              <w:jc w:val="right"/>
              <w:rPr>
                <w:color w:val="000000"/>
                <w:sz w:val="20"/>
                <w:lang w:val="nl-BE" w:eastAsia="nl-BE"/>
              </w:rPr>
            </w:pPr>
            <w:r w:rsidRPr="000E2E36">
              <w:rPr>
                <w:color w:val="000000"/>
                <w:sz w:val="20"/>
                <w:lang w:val="nl-BE" w:eastAsia="nl-BE"/>
              </w:rPr>
              <w:t>1</w:t>
            </w:r>
            <w:r w:rsidR="000E2E36">
              <w:rPr>
                <w:color w:val="000000"/>
                <w:sz w:val="20"/>
                <w:lang w:val="nl-BE" w:eastAsia="nl-BE"/>
              </w:rPr>
              <w:t>.</w:t>
            </w:r>
            <w:r w:rsidRPr="000E2E36">
              <w:rPr>
                <w:color w:val="000000"/>
                <w:sz w:val="20"/>
                <w:lang w:val="nl-BE" w:eastAsia="nl-BE"/>
              </w:rPr>
              <w:t>599,22</w:t>
            </w:r>
          </w:p>
        </w:tc>
        <w:tc>
          <w:tcPr>
            <w:tcW w:w="990" w:type="dxa"/>
            <w:shd w:val="clear" w:color="auto" w:fill="auto"/>
            <w:noWrap/>
            <w:vAlign w:val="bottom"/>
            <w:hideMark/>
          </w:tcPr>
          <w:p w:rsidR="002F115C" w:rsidRPr="000E2E36" w:rsidRDefault="002F115C" w:rsidP="000E2E36">
            <w:pPr>
              <w:jc w:val="right"/>
              <w:rPr>
                <w:color w:val="000000"/>
                <w:sz w:val="20"/>
                <w:lang w:val="nl-BE" w:eastAsia="nl-BE"/>
              </w:rPr>
            </w:pPr>
            <w:r w:rsidRPr="000E2E36">
              <w:rPr>
                <w:color w:val="000000"/>
                <w:sz w:val="20"/>
                <w:lang w:val="nl-BE" w:eastAsia="nl-BE"/>
              </w:rPr>
              <w:t>48</w:t>
            </w:r>
            <w:r w:rsidR="000E2E36">
              <w:rPr>
                <w:color w:val="000000"/>
                <w:sz w:val="20"/>
                <w:lang w:val="nl-BE" w:eastAsia="nl-BE"/>
              </w:rPr>
              <w:t>.</w:t>
            </w:r>
            <w:r w:rsidRPr="000E2E36">
              <w:rPr>
                <w:color w:val="000000"/>
                <w:sz w:val="20"/>
                <w:lang w:val="nl-BE" w:eastAsia="nl-BE"/>
              </w:rPr>
              <w:t>802,61</w:t>
            </w:r>
          </w:p>
        </w:tc>
        <w:tc>
          <w:tcPr>
            <w:tcW w:w="990" w:type="dxa"/>
            <w:shd w:val="clear" w:color="auto" w:fill="auto"/>
            <w:vAlign w:val="bottom"/>
          </w:tcPr>
          <w:p w:rsidR="002F115C" w:rsidRPr="000E2E36" w:rsidRDefault="002F115C" w:rsidP="000E2E36">
            <w:pPr>
              <w:jc w:val="right"/>
              <w:rPr>
                <w:color w:val="000000"/>
                <w:sz w:val="20"/>
                <w:lang w:val="nl-BE" w:eastAsia="nl-BE"/>
              </w:rPr>
            </w:pPr>
            <w:r w:rsidRPr="000E2E36">
              <w:rPr>
                <w:color w:val="000000"/>
                <w:sz w:val="20"/>
                <w:lang w:val="nl-BE" w:eastAsia="nl-BE"/>
              </w:rPr>
              <w:t>14</w:t>
            </w:r>
            <w:r w:rsidR="000E2E36">
              <w:rPr>
                <w:color w:val="000000"/>
                <w:sz w:val="20"/>
                <w:lang w:val="nl-BE" w:eastAsia="nl-BE"/>
              </w:rPr>
              <w:t>.</w:t>
            </w:r>
            <w:r w:rsidRPr="000E2E36">
              <w:rPr>
                <w:color w:val="000000"/>
                <w:sz w:val="20"/>
                <w:lang w:val="nl-BE" w:eastAsia="nl-BE"/>
              </w:rPr>
              <w:t>200,00</w:t>
            </w:r>
          </w:p>
        </w:tc>
        <w:tc>
          <w:tcPr>
            <w:tcW w:w="990" w:type="dxa"/>
            <w:shd w:val="clear" w:color="auto" w:fill="auto"/>
            <w:noWrap/>
            <w:vAlign w:val="bottom"/>
            <w:hideMark/>
          </w:tcPr>
          <w:p w:rsidR="002F115C" w:rsidRPr="000E2E36" w:rsidRDefault="002F115C" w:rsidP="000E2E36">
            <w:pPr>
              <w:jc w:val="right"/>
              <w:rPr>
                <w:color w:val="000000"/>
                <w:sz w:val="20"/>
                <w:lang w:val="nl-BE" w:eastAsia="nl-BE"/>
              </w:rPr>
            </w:pPr>
            <w:r w:rsidRPr="000E2E36">
              <w:rPr>
                <w:color w:val="000000"/>
                <w:sz w:val="20"/>
                <w:lang w:val="nl-BE" w:eastAsia="nl-BE"/>
              </w:rPr>
              <w:t>48</w:t>
            </w:r>
            <w:r w:rsidR="000E2E36">
              <w:rPr>
                <w:color w:val="000000"/>
                <w:sz w:val="20"/>
                <w:lang w:val="nl-BE" w:eastAsia="nl-BE"/>
              </w:rPr>
              <w:t>.</w:t>
            </w:r>
            <w:r w:rsidRPr="000E2E36">
              <w:rPr>
                <w:color w:val="000000"/>
                <w:sz w:val="20"/>
                <w:lang w:val="nl-BE" w:eastAsia="nl-BE"/>
              </w:rPr>
              <w:t>327,69</w:t>
            </w:r>
          </w:p>
        </w:tc>
        <w:tc>
          <w:tcPr>
            <w:tcW w:w="990" w:type="dxa"/>
            <w:shd w:val="clear" w:color="auto" w:fill="auto"/>
            <w:vAlign w:val="bottom"/>
          </w:tcPr>
          <w:p w:rsidR="002F115C" w:rsidRPr="000E2E36" w:rsidRDefault="002F115C" w:rsidP="000E2E36">
            <w:pPr>
              <w:jc w:val="right"/>
              <w:rPr>
                <w:color w:val="000000"/>
                <w:sz w:val="20"/>
                <w:lang w:val="nl-BE" w:eastAsia="nl-BE"/>
              </w:rPr>
            </w:pPr>
            <w:r w:rsidRPr="000E2E36">
              <w:rPr>
                <w:color w:val="000000"/>
                <w:sz w:val="20"/>
                <w:lang w:val="nl-BE" w:eastAsia="nl-BE"/>
              </w:rPr>
              <w:t>14</w:t>
            </w:r>
            <w:r w:rsidR="000E2E36">
              <w:rPr>
                <w:color w:val="000000"/>
                <w:sz w:val="20"/>
                <w:lang w:val="nl-BE" w:eastAsia="nl-BE"/>
              </w:rPr>
              <w:t>.</w:t>
            </w:r>
            <w:r w:rsidRPr="000E2E36">
              <w:rPr>
                <w:color w:val="000000"/>
                <w:sz w:val="20"/>
                <w:lang w:val="nl-BE" w:eastAsia="nl-BE"/>
              </w:rPr>
              <w:t>200,00</w:t>
            </w:r>
          </w:p>
        </w:tc>
      </w:tr>
      <w:tr w:rsidR="002F115C" w:rsidRPr="000E2E36" w:rsidTr="000E2E36">
        <w:trPr>
          <w:trHeight w:val="300"/>
        </w:trPr>
        <w:tc>
          <w:tcPr>
            <w:tcW w:w="640" w:type="dxa"/>
          </w:tcPr>
          <w:p w:rsidR="002F115C" w:rsidRPr="000E2E36" w:rsidRDefault="002F115C" w:rsidP="002F115C">
            <w:pPr>
              <w:jc w:val="right"/>
              <w:rPr>
                <w:color w:val="000000"/>
                <w:sz w:val="20"/>
                <w:lang w:val="nl-BE" w:eastAsia="nl-BE"/>
              </w:rPr>
            </w:pPr>
            <w:r w:rsidRPr="000E2E36">
              <w:rPr>
                <w:color w:val="000000"/>
                <w:sz w:val="20"/>
                <w:lang w:val="nl-BE" w:eastAsia="nl-BE"/>
              </w:rPr>
              <w:t>2010</w:t>
            </w:r>
          </w:p>
        </w:tc>
        <w:tc>
          <w:tcPr>
            <w:tcW w:w="990" w:type="dxa"/>
            <w:shd w:val="clear" w:color="auto" w:fill="auto"/>
            <w:noWrap/>
            <w:vAlign w:val="bottom"/>
            <w:hideMark/>
          </w:tcPr>
          <w:p w:rsidR="002F115C" w:rsidRPr="000E2E36" w:rsidRDefault="002F115C" w:rsidP="000E2E36">
            <w:pPr>
              <w:jc w:val="right"/>
              <w:rPr>
                <w:color w:val="000000"/>
                <w:sz w:val="20"/>
                <w:lang w:val="nl-BE" w:eastAsia="nl-BE"/>
              </w:rPr>
            </w:pPr>
            <w:r w:rsidRPr="000E2E36">
              <w:rPr>
                <w:color w:val="000000"/>
                <w:sz w:val="20"/>
                <w:lang w:val="nl-BE" w:eastAsia="nl-BE"/>
              </w:rPr>
              <w:t>55</w:t>
            </w:r>
            <w:r w:rsidR="000E2E36">
              <w:rPr>
                <w:color w:val="000000"/>
                <w:sz w:val="20"/>
                <w:lang w:val="nl-BE" w:eastAsia="nl-BE"/>
              </w:rPr>
              <w:t>.</w:t>
            </w:r>
            <w:r w:rsidRPr="000E2E36">
              <w:rPr>
                <w:color w:val="000000"/>
                <w:sz w:val="20"/>
                <w:lang w:val="nl-BE" w:eastAsia="nl-BE"/>
              </w:rPr>
              <w:t>017,14</w:t>
            </w:r>
          </w:p>
        </w:tc>
        <w:tc>
          <w:tcPr>
            <w:tcW w:w="990" w:type="dxa"/>
            <w:shd w:val="clear" w:color="auto" w:fill="auto"/>
            <w:vAlign w:val="bottom"/>
          </w:tcPr>
          <w:p w:rsidR="002F115C" w:rsidRPr="000E2E36" w:rsidRDefault="002F115C" w:rsidP="000E2E36">
            <w:pPr>
              <w:jc w:val="right"/>
              <w:rPr>
                <w:color w:val="000000"/>
                <w:sz w:val="20"/>
                <w:lang w:val="nl-BE" w:eastAsia="nl-BE"/>
              </w:rPr>
            </w:pPr>
            <w:r w:rsidRPr="000E2E36">
              <w:rPr>
                <w:color w:val="000000"/>
                <w:sz w:val="20"/>
                <w:lang w:val="nl-BE" w:eastAsia="nl-BE"/>
              </w:rPr>
              <w:t>67</w:t>
            </w:r>
            <w:r w:rsidR="000E2E36">
              <w:rPr>
                <w:color w:val="000000"/>
                <w:sz w:val="20"/>
                <w:lang w:val="nl-BE" w:eastAsia="nl-BE"/>
              </w:rPr>
              <w:t>.</w:t>
            </w:r>
            <w:r w:rsidRPr="000E2E36">
              <w:rPr>
                <w:color w:val="000000"/>
                <w:sz w:val="20"/>
                <w:lang w:val="nl-BE" w:eastAsia="nl-BE"/>
              </w:rPr>
              <w:t>975,50</w:t>
            </w:r>
          </w:p>
        </w:tc>
        <w:tc>
          <w:tcPr>
            <w:tcW w:w="990" w:type="dxa"/>
            <w:shd w:val="clear" w:color="auto" w:fill="auto"/>
            <w:noWrap/>
            <w:vAlign w:val="bottom"/>
            <w:hideMark/>
          </w:tcPr>
          <w:p w:rsidR="002F115C" w:rsidRPr="000E2E36" w:rsidRDefault="002F115C" w:rsidP="000E2E36">
            <w:pPr>
              <w:jc w:val="right"/>
              <w:rPr>
                <w:color w:val="000000"/>
                <w:sz w:val="20"/>
                <w:lang w:val="nl-BE" w:eastAsia="nl-BE"/>
              </w:rPr>
            </w:pPr>
            <w:r w:rsidRPr="000E2E36">
              <w:rPr>
                <w:color w:val="000000"/>
                <w:sz w:val="20"/>
                <w:lang w:val="nl-BE" w:eastAsia="nl-BE"/>
              </w:rPr>
              <w:t>36</w:t>
            </w:r>
            <w:r w:rsidR="000E2E36">
              <w:rPr>
                <w:color w:val="000000"/>
                <w:sz w:val="20"/>
                <w:lang w:val="nl-BE" w:eastAsia="nl-BE"/>
              </w:rPr>
              <w:t>.</w:t>
            </w:r>
            <w:r w:rsidRPr="000E2E36">
              <w:rPr>
                <w:color w:val="000000"/>
                <w:sz w:val="20"/>
                <w:lang w:val="nl-BE" w:eastAsia="nl-BE"/>
              </w:rPr>
              <w:t>830,67</w:t>
            </w:r>
          </w:p>
        </w:tc>
        <w:tc>
          <w:tcPr>
            <w:tcW w:w="990" w:type="dxa"/>
            <w:shd w:val="clear" w:color="auto" w:fill="auto"/>
            <w:vAlign w:val="bottom"/>
          </w:tcPr>
          <w:p w:rsidR="002F115C" w:rsidRPr="000E2E36" w:rsidRDefault="002F115C" w:rsidP="000E2E36">
            <w:pPr>
              <w:jc w:val="right"/>
              <w:rPr>
                <w:color w:val="000000"/>
                <w:sz w:val="20"/>
                <w:lang w:val="nl-BE" w:eastAsia="nl-BE"/>
              </w:rPr>
            </w:pPr>
            <w:r w:rsidRPr="000E2E36">
              <w:rPr>
                <w:color w:val="000000"/>
                <w:sz w:val="20"/>
                <w:lang w:val="nl-BE" w:eastAsia="nl-BE"/>
              </w:rPr>
              <w:t>42</w:t>
            </w:r>
            <w:r w:rsidR="000E2E36">
              <w:rPr>
                <w:color w:val="000000"/>
                <w:sz w:val="20"/>
                <w:lang w:val="nl-BE" w:eastAsia="nl-BE"/>
              </w:rPr>
              <w:t>.</w:t>
            </w:r>
            <w:r w:rsidRPr="000E2E36">
              <w:rPr>
                <w:color w:val="000000"/>
                <w:sz w:val="20"/>
                <w:lang w:val="nl-BE" w:eastAsia="nl-BE"/>
              </w:rPr>
              <w:t>080,35</w:t>
            </w:r>
          </w:p>
        </w:tc>
        <w:tc>
          <w:tcPr>
            <w:tcW w:w="990" w:type="dxa"/>
            <w:shd w:val="clear" w:color="auto" w:fill="auto"/>
            <w:noWrap/>
            <w:vAlign w:val="bottom"/>
            <w:hideMark/>
          </w:tcPr>
          <w:p w:rsidR="002F115C" w:rsidRPr="000E2E36" w:rsidRDefault="002F115C" w:rsidP="000E2E36">
            <w:pPr>
              <w:jc w:val="right"/>
              <w:rPr>
                <w:color w:val="000000"/>
                <w:sz w:val="20"/>
                <w:lang w:val="nl-BE" w:eastAsia="nl-BE"/>
              </w:rPr>
            </w:pPr>
            <w:r w:rsidRPr="000E2E36">
              <w:rPr>
                <w:color w:val="000000"/>
                <w:sz w:val="20"/>
                <w:lang w:val="nl-BE" w:eastAsia="nl-BE"/>
              </w:rPr>
              <w:t>48</w:t>
            </w:r>
            <w:r w:rsidR="000E2E36">
              <w:rPr>
                <w:color w:val="000000"/>
                <w:sz w:val="20"/>
                <w:lang w:val="nl-BE" w:eastAsia="nl-BE"/>
              </w:rPr>
              <w:t>.</w:t>
            </w:r>
            <w:r w:rsidRPr="000E2E36">
              <w:rPr>
                <w:color w:val="000000"/>
                <w:sz w:val="20"/>
                <w:lang w:val="nl-BE" w:eastAsia="nl-BE"/>
              </w:rPr>
              <w:t>152,19</w:t>
            </w:r>
          </w:p>
        </w:tc>
        <w:tc>
          <w:tcPr>
            <w:tcW w:w="990" w:type="dxa"/>
            <w:shd w:val="clear" w:color="auto" w:fill="auto"/>
            <w:vAlign w:val="bottom"/>
          </w:tcPr>
          <w:p w:rsidR="002F115C" w:rsidRPr="000E2E36" w:rsidRDefault="002F115C" w:rsidP="000E2E36">
            <w:pPr>
              <w:jc w:val="right"/>
              <w:rPr>
                <w:color w:val="000000"/>
                <w:sz w:val="20"/>
                <w:lang w:val="nl-BE" w:eastAsia="nl-BE"/>
              </w:rPr>
            </w:pPr>
            <w:r w:rsidRPr="000E2E36">
              <w:rPr>
                <w:color w:val="000000"/>
                <w:sz w:val="20"/>
                <w:lang w:val="nl-BE" w:eastAsia="nl-BE"/>
              </w:rPr>
              <w:t>51</w:t>
            </w:r>
            <w:r w:rsidR="000E2E36">
              <w:rPr>
                <w:color w:val="000000"/>
                <w:sz w:val="20"/>
                <w:lang w:val="nl-BE" w:eastAsia="nl-BE"/>
              </w:rPr>
              <w:t>.</w:t>
            </w:r>
            <w:r w:rsidRPr="000E2E36">
              <w:rPr>
                <w:color w:val="000000"/>
                <w:sz w:val="20"/>
                <w:lang w:val="nl-BE" w:eastAsia="nl-BE"/>
              </w:rPr>
              <w:t>929,15</w:t>
            </w:r>
          </w:p>
        </w:tc>
      </w:tr>
    </w:tbl>
    <w:p w:rsidR="00472F54" w:rsidRDefault="00472F54" w:rsidP="002F115C">
      <w:pPr>
        <w:pStyle w:val="StandaardSV"/>
        <w:ind w:left="709"/>
      </w:pPr>
    </w:p>
    <w:p w:rsidR="002F115C" w:rsidRPr="00914D5B" w:rsidRDefault="002F115C" w:rsidP="00C51D69">
      <w:pPr>
        <w:pStyle w:val="StandaardSV"/>
        <w:rPr>
          <w:color w:val="000000"/>
          <w:szCs w:val="22"/>
        </w:rPr>
      </w:pPr>
      <w:r w:rsidRPr="00914D5B">
        <w:t xml:space="preserve">Innovatiecentrum Limburg heeft naast de middelen van het project regionale innovatiestimulering en van het Limburgplan middelen ontvangen voor uitvoering van het EFRO-project </w:t>
      </w:r>
      <w:r w:rsidR="000E2E36">
        <w:t>“</w:t>
      </w:r>
      <w:r w:rsidRPr="00914D5B">
        <w:t>Sensibilisering van innovatie in Limburg</w:t>
      </w:r>
      <w:r w:rsidR="000E2E36">
        <w:t>”.</w:t>
      </w:r>
      <w:r w:rsidRPr="00914D5B">
        <w:t xml:space="preserve"> </w:t>
      </w:r>
      <w:r w:rsidR="000E2E36">
        <w:t>I</w:t>
      </w:r>
      <w:r w:rsidRPr="00914D5B">
        <w:t>n 2009 was dat</w:t>
      </w:r>
      <w:r w:rsidRPr="00914D5B">
        <w:rPr>
          <w:szCs w:val="22"/>
        </w:rPr>
        <w:t xml:space="preserve"> </w:t>
      </w:r>
      <w:r w:rsidRPr="00914D5B">
        <w:rPr>
          <w:color w:val="000000"/>
          <w:szCs w:val="22"/>
        </w:rPr>
        <w:t xml:space="preserve">183.498,15 </w:t>
      </w:r>
      <w:r w:rsidR="000E2E36">
        <w:rPr>
          <w:color w:val="000000"/>
          <w:szCs w:val="22"/>
        </w:rPr>
        <w:t>euro</w:t>
      </w:r>
      <w:r w:rsidRPr="00914D5B">
        <w:rPr>
          <w:color w:val="000000"/>
          <w:szCs w:val="22"/>
        </w:rPr>
        <w:t xml:space="preserve"> en in 2010 </w:t>
      </w:r>
      <w:r w:rsidR="000E2E36">
        <w:rPr>
          <w:color w:val="000000"/>
          <w:szCs w:val="22"/>
        </w:rPr>
        <w:t>ging het om</w:t>
      </w:r>
      <w:r w:rsidRPr="00914D5B">
        <w:rPr>
          <w:color w:val="000000"/>
          <w:szCs w:val="22"/>
        </w:rPr>
        <w:t xml:space="preserve"> 139.086 </w:t>
      </w:r>
      <w:r w:rsidR="000E2E36">
        <w:rPr>
          <w:color w:val="000000"/>
          <w:szCs w:val="22"/>
        </w:rPr>
        <w:t>euro</w:t>
      </w:r>
      <w:r w:rsidRPr="00914D5B">
        <w:rPr>
          <w:color w:val="000000"/>
          <w:szCs w:val="22"/>
        </w:rPr>
        <w:t xml:space="preserve">. </w:t>
      </w:r>
    </w:p>
    <w:p w:rsidR="002F115C" w:rsidRPr="00914D5B" w:rsidRDefault="002F115C" w:rsidP="00C51D69">
      <w:pPr>
        <w:pStyle w:val="StandaardSV"/>
      </w:pPr>
    </w:p>
    <w:p w:rsidR="002F115C" w:rsidRPr="00914D5B" w:rsidRDefault="002F115C" w:rsidP="00C51D69">
      <w:pPr>
        <w:pStyle w:val="StandaardSV"/>
      </w:pPr>
      <w:r w:rsidRPr="00914D5B">
        <w:t xml:space="preserve">Innovatiecentrum West-Vlaanderen heeft naast de middelen uit het project regionale innovatiestimulering, en het hierboven </w:t>
      </w:r>
      <w:r w:rsidR="00AF4EEA" w:rsidRPr="00914D5B">
        <w:t>al</w:t>
      </w:r>
      <w:r w:rsidRPr="00914D5B">
        <w:t xml:space="preserve"> vermelde EFRO-project </w:t>
      </w:r>
      <w:r w:rsidR="000E2E36">
        <w:t>“</w:t>
      </w:r>
      <w:r w:rsidRPr="00914D5B">
        <w:t>Tot uw diensten</w:t>
      </w:r>
      <w:r w:rsidR="000E2E36">
        <w:t>”</w:t>
      </w:r>
      <w:r w:rsidRPr="00914D5B">
        <w:t xml:space="preserve"> nog middelen ontvangen voor uitvoering van een aantal andere projecten</w:t>
      </w:r>
      <w:r w:rsidR="000E2E36">
        <w:t xml:space="preserve"> (zie onderstaande tabel).</w:t>
      </w:r>
    </w:p>
    <w:p w:rsidR="002F115C" w:rsidRPr="000E2E36" w:rsidRDefault="002F115C" w:rsidP="000E2E36">
      <w:pPr>
        <w:pStyle w:val="StandaardSV"/>
      </w:pPr>
    </w:p>
    <w:tbl>
      <w:tblPr>
        <w:tblW w:w="10206" w:type="dxa"/>
        <w:tblInd w:w="-5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8"/>
        <w:gridCol w:w="1277"/>
        <w:gridCol w:w="1559"/>
        <w:gridCol w:w="1134"/>
        <w:gridCol w:w="1701"/>
        <w:gridCol w:w="992"/>
        <w:gridCol w:w="851"/>
        <w:gridCol w:w="992"/>
        <w:gridCol w:w="992"/>
      </w:tblGrid>
      <w:tr w:rsidR="002F115C" w:rsidRPr="00514676" w:rsidTr="002F115C">
        <w:trPr>
          <w:trHeight w:val="300"/>
        </w:trPr>
        <w:tc>
          <w:tcPr>
            <w:tcW w:w="708" w:type="dxa"/>
          </w:tcPr>
          <w:p w:rsidR="002F115C" w:rsidRPr="00514676" w:rsidRDefault="002F115C" w:rsidP="002F115C">
            <w:pPr>
              <w:rPr>
                <w:rFonts w:ascii="Calibri" w:hAnsi="Calibri" w:cs="Calibri"/>
                <w:color w:val="000000"/>
                <w:sz w:val="16"/>
                <w:szCs w:val="16"/>
                <w:lang w:val="nl-BE" w:eastAsia="nl-BE"/>
              </w:rPr>
            </w:pPr>
          </w:p>
        </w:tc>
        <w:tc>
          <w:tcPr>
            <w:tcW w:w="1277" w:type="dxa"/>
            <w:shd w:val="clear" w:color="auto" w:fill="auto"/>
            <w:noWrap/>
            <w:vAlign w:val="bottom"/>
            <w:hideMark/>
          </w:tcPr>
          <w:p w:rsidR="002F115C" w:rsidRPr="00514676" w:rsidRDefault="002F115C" w:rsidP="002F115C">
            <w:pPr>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Kennisvalorisatie (Brugproject)</w:t>
            </w:r>
          </w:p>
        </w:tc>
        <w:tc>
          <w:tcPr>
            <w:tcW w:w="1559" w:type="dxa"/>
            <w:shd w:val="clear" w:color="auto" w:fill="auto"/>
            <w:noWrap/>
            <w:vAlign w:val="bottom"/>
            <w:hideMark/>
          </w:tcPr>
          <w:p w:rsidR="002F115C" w:rsidRDefault="002F115C" w:rsidP="002F115C">
            <w:pPr>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Innovatiestimulering in de sociale economie</w:t>
            </w:r>
          </w:p>
          <w:p w:rsidR="002F115C" w:rsidRPr="00514676" w:rsidRDefault="002F115C" w:rsidP="002F115C">
            <w:pPr>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(EFRO)</w:t>
            </w:r>
          </w:p>
        </w:tc>
        <w:tc>
          <w:tcPr>
            <w:tcW w:w="1134" w:type="dxa"/>
            <w:shd w:val="clear" w:color="auto" w:fill="auto"/>
            <w:noWrap/>
            <w:vAlign w:val="bottom"/>
            <w:hideMark/>
          </w:tcPr>
          <w:p w:rsidR="002F115C" w:rsidRDefault="002F115C" w:rsidP="002F115C">
            <w:pPr>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Stedelijk weefsel</w:t>
            </w:r>
          </w:p>
          <w:p w:rsidR="002F115C" w:rsidRPr="00514676" w:rsidRDefault="002F115C" w:rsidP="002F115C">
            <w:pPr>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(EFRO)</w:t>
            </w:r>
          </w:p>
        </w:tc>
        <w:tc>
          <w:tcPr>
            <w:tcW w:w="1701" w:type="dxa"/>
            <w:shd w:val="clear" w:color="auto" w:fill="auto"/>
            <w:noWrap/>
            <w:vAlign w:val="bottom"/>
            <w:hideMark/>
          </w:tcPr>
          <w:p w:rsidR="002F115C" w:rsidRPr="00514676" w:rsidRDefault="002F115C" w:rsidP="002F115C">
            <w:pPr>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 xml:space="preserve">Thematische innovatiestimulering in beschutte en sociale werkplaatsen  </w:t>
            </w:r>
            <w:r w:rsidRPr="00514676">
              <w:rPr>
                <w:rFonts w:ascii="Calibri" w:hAnsi="Calibri" w:cs="Calibri"/>
                <w:color w:val="000000"/>
                <w:sz w:val="16"/>
                <w:szCs w:val="16"/>
                <w:lang w:val="nl-BE" w:eastAsia="nl-BE"/>
              </w:rPr>
              <w:br/>
              <w:t>(VIS)</w:t>
            </w:r>
          </w:p>
        </w:tc>
        <w:tc>
          <w:tcPr>
            <w:tcW w:w="992" w:type="dxa"/>
            <w:shd w:val="clear" w:color="auto" w:fill="auto"/>
            <w:noWrap/>
            <w:vAlign w:val="bottom"/>
            <w:hideMark/>
          </w:tcPr>
          <w:p w:rsidR="002F115C" w:rsidRDefault="002F115C" w:rsidP="002F115C">
            <w:pPr>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Challenge me</w:t>
            </w:r>
          </w:p>
          <w:p w:rsidR="002F115C" w:rsidRPr="00514676" w:rsidRDefault="002F115C" w:rsidP="002F115C">
            <w:pPr>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 xml:space="preserve"> (EFRO)</w:t>
            </w:r>
          </w:p>
        </w:tc>
        <w:tc>
          <w:tcPr>
            <w:tcW w:w="851" w:type="dxa"/>
            <w:vAlign w:val="bottom"/>
          </w:tcPr>
          <w:p w:rsidR="002F115C" w:rsidRPr="00514676" w:rsidRDefault="002F115C" w:rsidP="002F115C">
            <w:pPr>
              <w:rPr>
                <w:rFonts w:ascii="Calibri" w:hAnsi="Calibri" w:cs="Calibri"/>
                <w:color w:val="000000"/>
                <w:sz w:val="16"/>
                <w:szCs w:val="16"/>
                <w:lang w:val="en-US" w:eastAsia="nl-BE"/>
              </w:rPr>
            </w:pPr>
            <w:r w:rsidRPr="00514676">
              <w:rPr>
                <w:rFonts w:ascii="Calibri" w:hAnsi="Calibri" w:cs="Calibri"/>
                <w:color w:val="000000"/>
                <w:sz w:val="16"/>
                <w:szCs w:val="16"/>
                <w:lang w:val="en-US" w:eastAsia="nl-BE"/>
              </w:rPr>
              <w:t>Innovation in the heart of Europe</w:t>
            </w:r>
            <w:r w:rsidRPr="00514676">
              <w:rPr>
                <w:rFonts w:ascii="Calibri" w:hAnsi="Calibri" w:cs="Calibri"/>
                <w:color w:val="000000"/>
                <w:sz w:val="16"/>
                <w:szCs w:val="16"/>
                <w:lang w:val="en-US" w:eastAsia="nl-BE"/>
              </w:rPr>
              <w:br/>
              <w:t>(Interreg)</w:t>
            </w:r>
          </w:p>
        </w:tc>
        <w:tc>
          <w:tcPr>
            <w:tcW w:w="992" w:type="dxa"/>
            <w:vAlign w:val="bottom"/>
          </w:tcPr>
          <w:p w:rsidR="002F115C" w:rsidRPr="00514676" w:rsidRDefault="002F115C" w:rsidP="002F115C">
            <w:pPr>
              <w:rPr>
                <w:rFonts w:ascii="Calibri" w:hAnsi="Calibri" w:cs="Calibri"/>
                <w:color w:val="000000"/>
                <w:sz w:val="16"/>
                <w:szCs w:val="16"/>
                <w:lang w:val="en-US" w:eastAsia="nl-BE"/>
              </w:rPr>
            </w:pPr>
            <w:r w:rsidRPr="00514676">
              <w:rPr>
                <w:rFonts w:ascii="Calibri" w:hAnsi="Calibri" w:cs="Calibri"/>
                <w:color w:val="000000"/>
                <w:sz w:val="16"/>
                <w:szCs w:val="16"/>
                <w:lang w:val="en-US" w:eastAsia="nl-BE"/>
              </w:rPr>
              <w:t>Commerciële Innovatie</w:t>
            </w:r>
            <w:r w:rsidRPr="00514676">
              <w:rPr>
                <w:rFonts w:ascii="Calibri" w:hAnsi="Calibri" w:cs="Calibri"/>
                <w:color w:val="000000"/>
                <w:sz w:val="16"/>
                <w:szCs w:val="16"/>
                <w:lang w:val="en-US" w:eastAsia="nl-BE"/>
              </w:rPr>
              <w:br/>
              <w:t>(EFRO)</w:t>
            </w:r>
          </w:p>
        </w:tc>
        <w:tc>
          <w:tcPr>
            <w:tcW w:w="992" w:type="dxa"/>
            <w:vAlign w:val="bottom"/>
          </w:tcPr>
          <w:p w:rsidR="002F115C" w:rsidRPr="00514676" w:rsidRDefault="002F115C" w:rsidP="002F115C">
            <w:pPr>
              <w:rPr>
                <w:rFonts w:ascii="Calibri" w:hAnsi="Calibri" w:cs="Calibri"/>
                <w:color w:val="000000"/>
                <w:sz w:val="16"/>
                <w:szCs w:val="16"/>
                <w:lang w:val="en-US" w:eastAsia="nl-BE"/>
              </w:rPr>
            </w:pPr>
            <w:r>
              <w:rPr>
                <w:rFonts w:ascii="Calibri" w:hAnsi="Calibri" w:cs="Calibri"/>
                <w:color w:val="000000"/>
                <w:sz w:val="16"/>
                <w:szCs w:val="16"/>
                <w:lang w:val="en-US" w:eastAsia="nl-BE"/>
              </w:rPr>
              <w:t>Crealab Insp.</w:t>
            </w:r>
            <w:r>
              <w:rPr>
                <w:rFonts w:ascii="Calibri" w:hAnsi="Calibri" w:cs="Calibri"/>
                <w:color w:val="000000"/>
                <w:sz w:val="16"/>
                <w:szCs w:val="16"/>
                <w:lang w:val="en-US" w:eastAsia="nl-BE"/>
              </w:rPr>
              <w:br/>
              <w:t>(Brugproject)</w:t>
            </w:r>
          </w:p>
        </w:tc>
      </w:tr>
      <w:tr w:rsidR="002F115C" w:rsidRPr="00514676" w:rsidTr="002F115C">
        <w:trPr>
          <w:trHeight w:val="300"/>
        </w:trPr>
        <w:tc>
          <w:tcPr>
            <w:tcW w:w="708" w:type="dxa"/>
          </w:tcPr>
          <w:p w:rsidR="002F115C" w:rsidRPr="00514676" w:rsidRDefault="002F115C" w:rsidP="002F115C">
            <w:pPr>
              <w:jc w:val="right"/>
              <w:rPr>
                <w:rFonts w:ascii="Calibri" w:hAnsi="Calibri" w:cs="Calibri"/>
                <w:color w:val="000000"/>
                <w:sz w:val="16"/>
                <w:szCs w:val="16"/>
                <w:lang w:val="en-US" w:eastAsia="nl-BE"/>
              </w:rPr>
            </w:pPr>
            <w:r w:rsidRPr="00514676">
              <w:rPr>
                <w:rFonts w:ascii="Calibri" w:hAnsi="Calibri" w:cs="Calibri"/>
                <w:color w:val="000000"/>
                <w:sz w:val="16"/>
                <w:szCs w:val="16"/>
                <w:lang w:val="en-US" w:eastAsia="nl-BE"/>
              </w:rPr>
              <w:t>2007</w:t>
            </w:r>
          </w:p>
        </w:tc>
        <w:tc>
          <w:tcPr>
            <w:tcW w:w="1277"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en-US" w:eastAsia="nl-BE"/>
              </w:rPr>
            </w:pPr>
            <w:r w:rsidRPr="00514676">
              <w:rPr>
                <w:rFonts w:ascii="Calibri" w:hAnsi="Calibri" w:cs="Calibri"/>
                <w:color w:val="000000"/>
                <w:sz w:val="16"/>
                <w:szCs w:val="16"/>
                <w:lang w:val="en-US" w:eastAsia="nl-BE"/>
              </w:rPr>
              <w:t>26.648,00</w:t>
            </w:r>
          </w:p>
        </w:tc>
        <w:tc>
          <w:tcPr>
            <w:tcW w:w="1559"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en-US" w:eastAsia="nl-BE"/>
              </w:rPr>
            </w:pPr>
            <w:r w:rsidRPr="00514676">
              <w:rPr>
                <w:rFonts w:ascii="Calibri" w:hAnsi="Calibri" w:cs="Calibri"/>
                <w:color w:val="000000"/>
                <w:sz w:val="16"/>
                <w:szCs w:val="16"/>
                <w:lang w:val="en-US" w:eastAsia="nl-BE"/>
              </w:rPr>
              <w:t>36.539,09</w:t>
            </w:r>
          </w:p>
        </w:tc>
        <w:tc>
          <w:tcPr>
            <w:tcW w:w="1134"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en-US" w:eastAsia="nl-BE"/>
              </w:rPr>
            </w:pPr>
            <w:r w:rsidRPr="00514676">
              <w:rPr>
                <w:rFonts w:ascii="Calibri" w:hAnsi="Calibri" w:cs="Calibri"/>
                <w:color w:val="000000"/>
                <w:sz w:val="16"/>
                <w:szCs w:val="16"/>
                <w:lang w:val="en-US" w:eastAsia="nl-BE"/>
              </w:rPr>
              <w:t>14.300,00</w:t>
            </w:r>
          </w:p>
        </w:tc>
        <w:tc>
          <w:tcPr>
            <w:tcW w:w="1701"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en-US" w:eastAsia="nl-BE"/>
              </w:rPr>
            </w:pPr>
            <w:r w:rsidRPr="00514676">
              <w:rPr>
                <w:rFonts w:ascii="Calibri" w:hAnsi="Calibri" w:cs="Calibri"/>
                <w:color w:val="000000"/>
                <w:sz w:val="16"/>
                <w:szCs w:val="16"/>
                <w:lang w:val="en-US" w:eastAsia="nl-BE"/>
              </w:rPr>
              <w:t>46.958,00</w:t>
            </w:r>
          </w:p>
        </w:tc>
        <w:tc>
          <w:tcPr>
            <w:tcW w:w="992"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w:t>
            </w:r>
          </w:p>
        </w:tc>
        <w:tc>
          <w:tcPr>
            <w:tcW w:w="851" w:type="dxa"/>
            <w:vAlign w:val="bottom"/>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w:t>
            </w:r>
          </w:p>
        </w:tc>
        <w:tc>
          <w:tcPr>
            <w:tcW w:w="992" w:type="dxa"/>
            <w:vAlign w:val="bottom"/>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w:t>
            </w:r>
          </w:p>
        </w:tc>
        <w:tc>
          <w:tcPr>
            <w:tcW w:w="992" w:type="dxa"/>
            <w:vAlign w:val="bottom"/>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w:t>
            </w:r>
          </w:p>
        </w:tc>
      </w:tr>
      <w:tr w:rsidR="002F115C" w:rsidRPr="00514676" w:rsidTr="002F115C">
        <w:trPr>
          <w:trHeight w:val="300"/>
        </w:trPr>
        <w:tc>
          <w:tcPr>
            <w:tcW w:w="708" w:type="dxa"/>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2008</w:t>
            </w:r>
          </w:p>
        </w:tc>
        <w:tc>
          <w:tcPr>
            <w:tcW w:w="1277"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21.636,54</w:t>
            </w:r>
          </w:p>
        </w:tc>
        <w:tc>
          <w:tcPr>
            <w:tcW w:w="1559"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w:t>
            </w:r>
          </w:p>
        </w:tc>
        <w:tc>
          <w:tcPr>
            <w:tcW w:w="1134"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15.600,00</w:t>
            </w:r>
          </w:p>
        </w:tc>
        <w:tc>
          <w:tcPr>
            <w:tcW w:w="1701"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97.506,00</w:t>
            </w:r>
          </w:p>
        </w:tc>
        <w:tc>
          <w:tcPr>
            <w:tcW w:w="992"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3.763,00</w:t>
            </w:r>
          </w:p>
        </w:tc>
        <w:tc>
          <w:tcPr>
            <w:tcW w:w="851" w:type="dxa"/>
            <w:vAlign w:val="bottom"/>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1.027,19</w:t>
            </w:r>
          </w:p>
        </w:tc>
        <w:tc>
          <w:tcPr>
            <w:tcW w:w="992" w:type="dxa"/>
            <w:vAlign w:val="bottom"/>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66.717,00</w:t>
            </w:r>
          </w:p>
        </w:tc>
        <w:tc>
          <w:tcPr>
            <w:tcW w:w="992" w:type="dxa"/>
            <w:vAlign w:val="bottom"/>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w:t>
            </w:r>
          </w:p>
        </w:tc>
      </w:tr>
      <w:tr w:rsidR="002F115C" w:rsidRPr="00514676" w:rsidTr="002F115C">
        <w:trPr>
          <w:trHeight w:val="300"/>
        </w:trPr>
        <w:tc>
          <w:tcPr>
            <w:tcW w:w="708" w:type="dxa"/>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2009</w:t>
            </w:r>
          </w:p>
        </w:tc>
        <w:tc>
          <w:tcPr>
            <w:tcW w:w="1277"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22.622,00</w:t>
            </w:r>
          </w:p>
        </w:tc>
        <w:tc>
          <w:tcPr>
            <w:tcW w:w="1559"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w:t>
            </w:r>
          </w:p>
        </w:tc>
        <w:tc>
          <w:tcPr>
            <w:tcW w:w="1134"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w:t>
            </w:r>
          </w:p>
        </w:tc>
        <w:tc>
          <w:tcPr>
            <w:tcW w:w="1701"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42.337,00</w:t>
            </w:r>
          </w:p>
        </w:tc>
        <w:tc>
          <w:tcPr>
            <w:tcW w:w="992"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8.589,00</w:t>
            </w:r>
          </w:p>
        </w:tc>
        <w:tc>
          <w:tcPr>
            <w:tcW w:w="851" w:type="dxa"/>
            <w:vAlign w:val="bottom"/>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19.230,00</w:t>
            </w:r>
          </w:p>
        </w:tc>
        <w:tc>
          <w:tcPr>
            <w:tcW w:w="992" w:type="dxa"/>
            <w:vAlign w:val="bottom"/>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257.054,00</w:t>
            </w:r>
          </w:p>
        </w:tc>
        <w:tc>
          <w:tcPr>
            <w:tcW w:w="992" w:type="dxa"/>
            <w:vAlign w:val="bottom"/>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73.029,00</w:t>
            </w:r>
          </w:p>
        </w:tc>
      </w:tr>
      <w:tr w:rsidR="002F115C" w:rsidRPr="00514676" w:rsidTr="002F115C">
        <w:trPr>
          <w:trHeight w:val="300"/>
        </w:trPr>
        <w:tc>
          <w:tcPr>
            <w:tcW w:w="708" w:type="dxa"/>
          </w:tcPr>
          <w:p w:rsidR="002F115C" w:rsidRPr="00514676" w:rsidRDefault="002F115C" w:rsidP="002F115C">
            <w:pPr>
              <w:jc w:val="right"/>
              <w:rPr>
                <w:rFonts w:ascii="Calibri" w:hAnsi="Calibri" w:cs="Calibri"/>
                <w:color w:val="000000"/>
                <w:sz w:val="16"/>
                <w:szCs w:val="16"/>
                <w:lang w:val="nl-BE" w:eastAsia="nl-BE"/>
              </w:rPr>
            </w:pPr>
            <w:r w:rsidRPr="00514676">
              <w:rPr>
                <w:rFonts w:ascii="Calibri" w:hAnsi="Calibri" w:cs="Calibri"/>
                <w:color w:val="000000"/>
                <w:sz w:val="16"/>
                <w:szCs w:val="16"/>
                <w:lang w:val="nl-BE" w:eastAsia="nl-BE"/>
              </w:rPr>
              <w:t>2010</w:t>
            </w:r>
          </w:p>
        </w:tc>
        <w:tc>
          <w:tcPr>
            <w:tcW w:w="1277"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32.384,70</w:t>
            </w:r>
          </w:p>
        </w:tc>
        <w:tc>
          <w:tcPr>
            <w:tcW w:w="1559"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w:t>
            </w:r>
          </w:p>
        </w:tc>
        <w:tc>
          <w:tcPr>
            <w:tcW w:w="1134"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w:t>
            </w:r>
          </w:p>
        </w:tc>
        <w:tc>
          <w:tcPr>
            <w:tcW w:w="1701"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12.441,24</w:t>
            </w:r>
          </w:p>
        </w:tc>
        <w:tc>
          <w:tcPr>
            <w:tcW w:w="992" w:type="dxa"/>
            <w:shd w:val="clear" w:color="auto" w:fill="auto"/>
            <w:noWrap/>
            <w:vAlign w:val="bottom"/>
            <w:hideMark/>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8.891,83</w:t>
            </w:r>
          </w:p>
        </w:tc>
        <w:tc>
          <w:tcPr>
            <w:tcW w:w="851" w:type="dxa"/>
            <w:vAlign w:val="bottom"/>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5.142,29</w:t>
            </w:r>
          </w:p>
        </w:tc>
        <w:tc>
          <w:tcPr>
            <w:tcW w:w="992" w:type="dxa"/>
            <w:vAlign w:val="bottom"/>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299.686,16</w:t>
            </w:r>
          </w:p>
        </w:tc>
        <w:tc>
          <w:tcPr>
            <w:tcW w:w="992" w:type="dxa"/>
            <w:vAlign w:val="bottom"/>
          </w:tcPr>
          <w:p w:rsidR="002F115C" w:rsidRPr="00514676" w:rsidRDefault="002F115C" w:rsidP="002F115C">
            <w:pPr>
              <w:jc w:val="right"/>
              <w:rPr>
                <w:rFonts w:ascii="Calibri" w:hAnsi="Calibri" w:cs="Calibri"/>
                <w:color w:val="000000"/>
                <w:sz w:val="16"/>
                <w:szCs w:val="16"/>
                <w:lang w:val="nl-BE" w:eastAsia="nl-BE"/>
              </w:rPr>
            </w:pPr>
            <w:r>
              <w:rPr>
                <w:rFonts w:ascii="Calibri" w:hAnsi="Calibri" w:cs="Calibri"/>
                <w:color w:val="000000"/>
                <w:sz w:val="16"/>
                <w:szCs w:val="16"/>
                <w:lang w:val="nl-BE" w:eastAsia="nl-BE"/>
              </w:rPr>
              <w:t>74.899,00</w:t>
            </w:r>
          </w:p>
        </w:tc>
      </w:tr>
    </w:tbl>
    <w:p w:rsidR="002F115C" w:rsidRPr="000E2E36" w:rsidRDefault="002F115C" w:rsidP="000E2E36">
      <w:pPr>
        <w:pStyle w:val="StandaardSV"/>
      </w:pPr>
    </w:p>
    <w:p w:rsidR="002F115C" w:rsidRPr="000E2E36" w:rsidRDefault="002F115C" w:rsidP="00A54FF7">
      <w:pPr>
        <w:pStyle w:val="StandaardSV"/>
      </w:pPr>
      <w:r w:rsidRPr="000E2E36">
        <w:rPr>
          <w:b/>
        </w:rPr>
        <w:t>2011</w:t>
      </w:r>
      <w:r w:rsidR="000E2E36">
        <w:rPr>
          <w:b/>
        </w:rPr>
        <w:t>-….</w:t>
      </w:r>
    </w:p>
    <w:p w:rsidR="00472F54" w:rsidRPr="000E2E36" w:rsidRDefault="00472F54" w:rsidP="000E2E36">
      <w:pPr>
        <w:pStyle w:val="StandaardSV"/>
      </w:pPr>
    </w:p>
    <w:p w:rsidR="002F3B58" w:rsidRDefault="00944961" w:rsidP="00A54FF7">
      <w:pPr>
        <w:pStyle w:val="StandaardSV"/>
      </w:pPr>
      <w:r w:rsidRPr="0017045B">
        <w:t xml:space="preserve">Onderstaande tabel geeft de subsidievoorschotten die in 2011 aan de Innovatiecentra gestort werden voor </w:t>
      </w:r>
      <w:r w:rsidR="000E2E36">
        <w:t xml:space="preserve">de </w:t>
      </w:r>
      <w:r w:rsidRPr="0017045B">
        <w:t xml:space="preserve">uitvoering van hun project regionale innovatiestimulering 2011-2014. Er zijn drie </w:t>
      </w:r>
      <w:r w:rsidR="00AF4EEA" w:rsidRPr="0017045B">
        <w:t xml:space="preserve">dergelijke </w:t>
      </w:r>
      <w:r w:rsidRPr="0017045B">
        <w:t xml:space="preserve">jaarlijkse voorschotten voorzien, een vierde </w:t>
      </w:r>
      <w:r w:rsidR="000E2E36">
        <w:t>ten bedrage</w:t>
      </w:r>
      <w:r w:rsidRPr="0017045B">
        <w:t xml:space="preserve"> van 685.000 </w:t>
      </w:r>
      <w:r w:rsidR="000E2E36">
        <w:t>euro</w:t>
      </w:r>
      <w:r w:rsidRPr="0017045B">
        <w:t xml:space="preserve"> en een eindafrekening begin 2015 waarin het openstaande saldo (140.000 </w:t>
      </w:r>
      <w:r w:rsidR="000E2E36">
        <w:t>euro</w:t>
      </w:r>
      <w:r w:rsidRPr="0017045B">
        <w:t xml:space="preserve">) van de maximaal voorziene subsidie van 3.300.000 </w:t>
      </w:r>
      <w:r w:rsidR="000E2E36">
        <w:t>euro</w:t>
      </w:r>
      <w:r w:rsidRPr="0017045B">
        <w:t xml:space="preserve"> per Innovatiecentrum voor de volledige periode 2011-2014 zal verrekend worden.</w:t>
      </w:r>
      <w:r w:rsidR="002F3B58">
        <w:t xml:space="preserve"> Deze middelen werden vastgelegd op de budgetlijn EB</w:t>
      </w:r>
      <w:r w:rsidR="000E2E36">
        <w:t>0</w:t>
      </w:r>
      <w:r w:rsidR="002F3B58">
        <w:t xml:space="preserve"> EF100 9999 v</w:t>
      </w:r>
      <w:r w:rsidR="000E2E36">
        <w:t>an</w:t>
      </w:r>
      <w:r w:rsidR="002F3B58">
        <w:t xml:space="preserve"> het begrotingsjaar 2010.</w:t>
      </w:r>
    </w:p>
    <w:p w:rsidR="00944961" w:rsidRPr="0017045B" w:rsidRDefault="00944961" w:rsidP="00A54FF7">
      <w:pPr>
        <w:pStyle w:val="StandaardSV"/>
      </w:pPr>
      <w:r w:rsidRPr="0017045B">
        <w:t>In de provincies West-Vlaanderen, Oost-Vlaanderen en Antwerpen werd het aantal innovatieadviseurs dat op de projecten regionale innovatiestimulering werkt</w:t>
      </w:r>
      <w:r w:rsidR="000E2E36">
        <w:t>,</w:t>
      </w:r>
      <w:r w:rsidRPr="0017045B">
        <w:t xml:space="preserve"> verminderd van 5 naar 4. De financiering van de hierdoor ontstane sociale passieven w</w:t>
      </w:r>
      <w:r w:rsidR="00A54FF7">
        <w:t>erd</w:t>
      </w:r>
      <w:r w:rsidRPr="0017045B">
        <w:t xml:space="preserve"> vanuit de </w:t>
      </w:r>
      <w:r w:rsidR="00A54FF7">
        <w:t xml:space="preserve">hierboven vermelde </w:t>
      </w:r>
      <w:r w:rsidRPr="0017045B">
        <w:t xml:space="preserve">vastlegging op </w:t>
      </w:r>
      <w:r w:rsidR="000E2E36">
        <w:t xml:space="preserve">de basisallocatie 71.3 </w:t>
      </w:r>
      <w:r w:rsidR="00AF4EEA" w:rsidRPr="0017045B">
        <w:t xml:space="preserve">99.12 </w:t>
      </w:r>
      <w:r w:rsidRPr="0017045B">
        <w:t>gedragen. De bedragen vindt u op de tweede lijn in onderstaande tabel terug en dienen om het betrokken personeel tijdens de opzegperiode te financieren.</w:t>
      </w:r>
    </w:p>
    <w:p w:rsidR="00944961" w:rsidRDefault="00944961" w:rsidP="00944961">
      <w:pPr>
        <w:pStyle w:val="StandaardSV"/>
        <w:ind w:left="709"/>
        <w:rPr>
          <w:i/>
        </w:rPr>
      </w:pPr>
      <w:r>
        <w:rPr>
          <w:i/>
        </w:rPr>
        <w:t xml:space="preserve"> </w:t>
      </w:r>
    </w:p>
    <w:tbl>
      <w:tblPr>
        <w:tblW w:w="771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40"/>
        <w:gridCol w:w="1640"/>
        <w:gridCol w:w="1607"/>
        <w:gridCol w:w="1140"/>
        <w:gridCol w:w="1140"/>
        <w:gridCol w:w="1551"/>
      </w:tblGrid>
      <w:tr w:rsidR="00944961" w:rsidRPr="000E2E36" w:rsidTr="000E2E36">
        <w:trPr>
          <w:cantSplit/>
          <w:trHeight w:val="300"/>
        </w:trPr>
        <w:tc>
          <w:tcPr>
            <w:tcW w:w="640" w:type="dxa"/>
          </w:tcPr>
          <w:p w:rsidR="00944961" w:rsidRPr="000E2E36" w:rsidRDefault="00944961" w:rsidP="00944961">
            <w:pPr>
              <w:rPr>
                <w:color w:val="000000"/>
                <w:sz w:val="20"/>
                <w:lang w:val="nl-BE" w:eastAsia="nl-BE"/>
              </w:rPr>
            </w:pPr>
          </w:p>
        </w:tc>
        <w:tc>
          <w:tcPr>
            <w:tcW w:w="1640"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West-Vlaanderen</w:t>
            </w:r>
          </w:p>
        </w:tc>
        <w:tc>
          <w:tcPr>
            <w:tcW w:w="1607"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Oost-Vlaanderen</w:t>
            </w:r>
          </w:p>
        </w:tc>
        <w:tc>
          <w:tcPr>
            <w:tcW w:w="1140"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Antwerpen</w:t>
            </w:r>
          </w:p>
        </w:tc>
        <w:tc>
          <w:tcPr>
            <w:tcW w:w="1140"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Limburg</w:t>
            </w:r>
          </w:p>
        </w:tc>
        <w:tc>
          <w:tcPr>
            <w:tcW w:w="1551"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Vlaams-Brabant</w:t>
            </w:r>
          </w:p>
        </w:tc>
      </w:tr>
      <w:tr w:rsidR="00944961" w:rsidRPr="000E2E36" w:rsidTr="000E2E36">
        <w:trPr>
          <w:trHeight w:val="300"/>
        </w:trPr>
        <w:tc>
          <w:tcPr>
            <w:tcW w:w="640" w:type="dxa"/>
            <w:vMerge w:val="restart"/>
          </w:tcPr>
          <w:p w:rsidR="00944961" w:rsidRPr="000E2E36" w:rsidRDefault="00944961" w:rsidP="00944961">
            <w:pPr>
              <w:jc w:val="right"/>
              <w:rPr>
                <w:color w:val="000000"/>
                <w:sz w:val="20"/>
                <w:lang w:val="nl-BE" w:eastAsia="nl-BE"/>
              </w:rPr>
            </w:pPr>
            <w:r w:rsidRPr="000E2E36">
              <w:rPr>
                <w:color w:val="000000"/>
                <w:sz w:val="20"/>
                <w:lang w:val="nl-BE" w:eastAsia="nl-BE"/>
              </w:rPr>
              <w:t>2011</w:t>
            </w:r>
          </w:p>
        </w:tc>
        <w:tc>
          <w:tcPr>
            <w:tcW w:w="1640"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825.000,00</w:t>
            </w:r>
          </w:p>
        </w:tc>
        <w:tc>
          <w:tcPr>
            <w:tcW w:w="1607"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825.000,00</w:t>
            </w:r>
          </w:p>
        </w:tc>
        <w:tc>
          <w:tcPr>
            <w:tcW w:w="1140"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825.000,00</w:t>
            </w:r>
          </w:p>
        </w:tc>
        <w:tc>
          <w:tcPr>
            <w:tcW w:w="1140"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825.000,00</w:t>
            </w:r>
          </w:p>
        </w:tc>
        <w:tc>
          <w:tcPr>
            <w:tcW w:w="1551"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825.00,00</w:t>
            </w:r>
          </w:p>
        </w:tc>
      </w:tr>
      <w:tr w:rsidR="00944961" w:rsidRPr="000E2E36" w:rsidTr="000E2E36">
        <w:trPr>
          <w:trHeight w:val="300"/>
        </w:trPr>
        <w:tc>
          <w:tcPr>
            <w:tcW w:w="640" w:type="dxa"/>
            <w:vMerge/>
          </w:tcPr>
          <w:p w:rsidR="00944961" w:rsidRPr="000E2E36" w:rsidRDefault="00944961" w:rsidP="00944961">
            <w:pPr>
              <w:jc w:val="right"/>
              <w:rPr>
                <w:color w:val="000000"/>
                <w:sz w:val="20"/>
                <w:lang w:val="nl-BE" w:eastAsia="nl-BE"/>
              </w:rPr>
            </w:pPr>
          </w:p>
        </w:tc>
        <w:tc>
          <w:tcPr>
            <w:tcW w:w="1640"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40.509,40</w:t>
            </w:r>
          </w:p>
        </w:tc>
        <w:tc>
          <w:tcPr>
            <w:tcW w:w="1607"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72.128,00</w:t>
            </w:r>
          </w:p>
        </w:tc>
        <w:tc>
          <w:tcPr>
            <w:tcW w:w="1140"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223.565,60</w:t>
            </w:r>
          </w:p>
        </w:tc>
        <w:tc>
          <w:tcPr>
            <w:tcW w:w="1140"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0</w:t>
            </w:r>
          </w:p>
        </w:tc>
        <w:tc>
          <w:tcPr>
            <w:tcW w:w="1551" w:type="dxa"/>
            <w:shd w:val="clear" w:color="auto" w:fill="auto"/>
            <w:noWrap/>
            <w:vAlign w:val="bottom"/>
            <w:hideMark/>
          </w:tcPr>
          <w:p w:rsidR="00944961" w:rsidRPr="000E2E36" w:rsidRDefault="00944961" w:rsidP="000E2E36">
            <w:pPr>
              <w:jc w:val="right"/>
              <w:rPr>
                <w:color w:val="000000"/>
                <w:sz w:val="20"/>
                <w:lang w:val="nl-BE" w:eastAsia="nl-BE"/>
              </w:rPr>
            </w:pPr>
            <w:r w:rsidRPr="000E2E36">
              <w:rPr>
                <w:color w:val="000000"/>
                <w:sz w:val="20"/>
                <w:lang w:val="nl-BE" w:eastAsia="nl-BE"/>
              </w:rPr>
              <w:t>0</w:t>
            </w:r>
          </w:p>
        </w:tc>
      </w:tr>
    </w:tbl>
    <w:p w:rsidR="00944961" w:rsidRDefault="00944961" w:rsidP="00944961">
      <w:pPr>
        <w:pStyle w:val="StandaardSV"/>
        <w:ind w:left="630"/>
      </w:pPr>
    </w:p>
    <w:p w:rsidR="004E1C19" w:rsidRDefault="00B47B19" w:rsidP="00A54FF7">
      <w:pPr>
        <w:pStyle w:val="StandaardSV"/>
      </w:pPr>
      <w:r>
        <w:t xml:space="preserve">Voor de financiering van de twee adviseurs die specifiek op de zorgsector werken </w:t>
      </w:r>
      <w:r w:rsidR="00410A44">
        <w:t>(Flanders</w:t>
      </w:r>
      <w:r w:rsidR="000E2E36">
        <w:t xml:space="preserve">’ </w:t>
      </w:r>
      <w:r w:rsidR="00410A44">
        <w:t xml:space="preserve">Care initiatief) </w:t>
      </w:r>
      <w:r>
        <w:t xml:space="preserve">werd een budget voorzien van </w:t>
      </w:r>
      <w:r w:rsidR="004E1C19">
        <w:t xml:space="preserve">1.065.000 </w:t>
      </w:r>
      <w:r w:rsidR="000E2E36">
        <w:t>euro</w:t>
      </w:r>
      <w:r w:rsidR="004E1C19">
        <w:t xml:space="preserve"> tot eind 2014. In 2011 werd hiervan een voorschot gestort van elk 90.000 </w:t>
      </w:r>
      <w:r w:rsidR="000E2E36">
        <w:t>euro</w:t>
      </w:r>
      <w:r w:rsidR="004E1C19">
        <w:t xml:space="preserve"> aan de twee Innovatiecentra waar deze mensen tewerkgesteld zijn.</w:t>
      </w:r>
    </w:p>
    <w:p w:rsidR="004E1C19" w:rsidRDefault="004E1C19" w:rsidP="00A54FF7">
      <w:pPr>
        <w:pStyle w:val="StandaardSV"/>
      </w:pPr>
      <w:r>
        <w:t xml:space="preserve">In 2012 en 2013 worden telkens nog voorschotten van 150.000 </w:t>
      </w:r>
      <w:r w:rsidR="000E2E36">
        <w:t>euro</w:t>
      </w:r>
      <w:r>
        <w:t xml:space="preserve"> voorzien en in 2</w:t>
      </w:r>
      <w:r w:rsidR="00410A44">
        <w:t xml:space="preserve">014 een voorschot van 100.000 </w:t>
      </w:r>
      <w:r w:rsidR="000E2E36">
        <w:t>euro</w:t>
      </w:r>
      <w:r w:rsidR="00410A44">
        <w:t xml:space="preserve">. Er </w:t>
      </w:r>
      <w:r w:rsidR="000E2E36">
        <w:t>rest</w:t>
      </w:r>
      <w:r w:rsidR="00410A44">
        <w:t xml:space="preserve"> dan </w:t>
      </w:r>
      <w:r w:rsidR="000E2E36">
        <w:t xml:space="preserve">nog </w:t>
      </w:r>
      <w:r w:rsidR="00410A44">
        <w:t xml:space="preserve">een saldo van 42.500 </w:t>
      </w:r>
      <w:r w:rsidR="000E2E36">
        <w:t>euro</w:t>
      </w:r>
      <w:r w:rsidR="00410A44">
        <w:t xml:space="preserve"> dat bij de eindafrekening zal verrekend worden.</w:t>
      </w:r>
    </w:p>
    <w:p w:rsidR="004E1C19" w:rsidRDefault="004E1C19" w:rsidP="00152AE1">
      <w:pPr>
        <w:pStyle w:val="StandaardSV"/>
      </w:pPr>
    </w:p>
    <w:p w:rsidR="002F115C" w:rsidRDefault="002F115C" w:rsidP="00A54FF7">
      <w:pPr>
        <w:pStyle w:val="StandaardSV"/>
      </w:pPr>
      <w:r w:rsidRPr="00914D5B">
        <w:t xml:space="preserve">Innovatiecentrum Limburg </w:t>
      </w:r>
      <w:r w:rsidR="00B47B19">
        <w:t>had</w:t>
      </w:r>
      <w:r w:rsidRPr="00914D5B">
        <w:t xml:space="preserve"> in 2011 inkomsten uit een aantal EFRO</w:t>
      </w:r>
      <w:r w:rsidR="000E2E36">
        <w:t>-</w:t>
      </w:r>
      <w:r w:rsidRPr="00914D5B">
        <w:t xml:space="preserve"> en Interreg</w:t>
      </w:r>
      <w:r w:rsidR="000E2E36">
        <w:t>-</w:t>
      </w:r>
      <w:r w:rsidRPr="00914D5B">
        <w:t>projecten:</w:t>
      </w:r>
    </w:p>
    <w:p w:rsidR="002F115C" w:rsidRPr="00914D5B" w:rsidRDefault="002F115C" w:rsidP="00152AE1">
      <w:pPr>
        <w:pStyle w:val="StandaardSV"/>
      </w:pPr>
    </w:p>
    <w:tbl>
      <w:tblPr>
        <w:tblW w:w="0" w:type="auto"/>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134"/>
      </w:tblGrid>
      <w:tr w:rsidR="002F115C" w:rsidTr="00152AE1">
        <w:tc>
          <w:tcPr>
            <w:tcW w:w="5760" w:type="dxa"/>
          </w:tcPr>
          <w:p w:rsidR="002F115C" w:rsidRPr="002F115C" w:rsidRDefault="002F115C" w:rsidP="00152AE1">
            <w:pPr>
              <w:rPr>
                <w:color w:val="000000"/>
                <w:sz w:val="20"/>
                <w:lang w:val="nl-BE"/>
              </w:rPr>
            </w:pPr>
            <w:r w:rsidRPr="002F115C">
              <w:rPr>
                <w:color w:val="000000"/>
                <w:sz w:val="20"/>
                <w:lang w:val="nl-BE"/>
              </w:rPr>
              <w:t>Sensibilisering van Innovatie in Limburg</w:t>
            </w:r>
            <w:r w:rsidR="00152AE1">
              <w:rPr>
                <w:color w:val="000000"/>
                <w:sz w:val="20"/>
                <w:lang w:val="nl-BE"/>
              </w:rPr>
              <w:t xml:space="preserve"> </w:t>
            </w:r>
            <w:r w:rsidRPr="002F115C">
              <w:rPr>
                <w:color w:val="000000"/>
                <w:sz w:val="20"/>
                <w:lang w:val="nl-BE"/>
              </w:rPr>
              <w:t>(einde I, begin II) (EFRO)</w:t>
            </w:r>
          </w:p>
        </w:tc>
        <w:tc>
          <w:tcPr>
            <w:tcW w:w="1134" w:type="dxa"/>
          </w:tcPr>
          <w:p w:rsidR="002F115C" w:rsidRPr="002F115C" w:rsidRDefault="002F115C" w:rsidP="002F115C">
            <w:pPr>
              <w:jc w:val="right"/>
              <w:rPr>
                <w:color w:val="000000"/>
                <w:sz w:val="20"/>
              </w:rPr>
            </w:pPr>
            <w:r w:rsidRPr="002F115C">
              <w:rPr>
                <w:color w:val="000000"/>
                <w:sz w:val="20"/>
              </w:rPr>
              <w:t>161.540</w:t>
            </w:r>
          </w:p>
        </w:tc>
      </w:tr>
      <w:tr w:rsidR="002F115C" w:rsidTr="00152AE1">
        <w:tc>
          <w:tcPr>
            <w:tcW w:w="5760" w:type="dxa"/>
          </w:tcPr>
          <w:p w:rsidR="002F115C" w:rsidRPr="002F115C" w:rsidRDefault="002F115C" w:rsidP="002F115C">
            <w:pPr>
              <w:rPr>
                <w:color w:val="000000"/>
                <w:sz w:val="20"/>
              </w:rPr>
            </w:pPr>
            <w:r w:rsidRPr="002F115C">
              <w:rPr>
                <w:color w:val="000000"/>
                <w:sz w:val="20"/>
              </w:rPr>
              <w:t>CrossRoads (Interreg)</w:t>
            </w:r>
          </w:p>
        </w:tc>
        <w:tc>
          <w:tcPr>
            <w:tcW w:w="1134" w:type="dxa"/>
          </w:tcPr>
          <w:p w:rsidR="002F115C" w:rsidRPr="002F115C" w:rsidRDefault="002F115C" w:rsidP="002F115C">
            <w:pPr>
              <w:jc w:val="right"/>
              <w:rPr>
                <w:color w:val="000000"/>
                <w:sz w:val="20"/>
              </w:rPr>
            </w:pPr>
            <w:r w:rsidRPr="002F115C">
              <w:rPr>
                <w:color w:val="000000"/>
                <w:sz w:val="20"/>
              </w:rPr>
              <w:t>125.000</w:t>
            </w:r>
          </w:p>
        </w:tc>
      </w:tr>
      <w:tr w:rsidR="002F115C" w:rsidTr="00152AE1">
        <w:tc>
          <w:tcPr>
            <w:tcW w:w="5760" w:type="dxa"/>
          </w:tcPr>
          <w:p w:rsidR="002F115C" w:rsidRPr="002F115C" w:rsidRDefault="002F115C" w:rsidP="002F115C">
            <w:pPr>
              <w:rPr>
                <w:color w:val="000000"/>
                <w:sz w:val="20"/>
              </w:rPr>
            </w:pPr>
            <w:r w:rsidRPr="002F115C">
              <w:rPr>
                <w:color w:val="000000"/>
                <w:sz w:val="20"/>
              </w:rPr>
              <w:t>TeTRRA (Interreg)</w:t>
            </w:r>
          </w:p>
        </w:tc>
        <w:tc>
          <w:tcPr>
            <w:tcW w:w="1134" w:type="dxa"/>
          </w:tcPr>
          <w:p w:rsidR="002F115C" w:rsidRPr="002F115C" w:rsidRDefault="002F115C" w:rsidP="002F115C">
            <w:pPr>
              <w:jc w:val="right"/>
              <w:rPr>
                <w:color w:val="000000"/>
                <w:sz w:val="20"/>
              </w:rPr>
            </w:pPr>
            <w:r w:rsidRPr="002F115C">
              <w:rPr>
                <w:color w:val="000000"/>
                <w:sz w:val="20"/>
              </w:rPr>
              <w:t>125.006</w:t>
            </w:r>
          </w:p>
        </w:tc>
      </w:tr>
      <w:tr w:rsidR="002F115C" w:rsidRPr="008A674A" w:rsidTr="00152AE1">
        <w:tc>
          <w:tcPr>
            <w:tcW w:w="5760" w:type="dxa"/>
          </w:tcPr>
          <w:p w:rsidR="002F115C" w:rsidRPr="002F115C" w:rsidRDefault="002F115C" w:rsidP="002F115C">
            <w:pPr>
              <w:rPr>
                <w:color w:val="000000"/>
                <w:sz w:val="20"/>
              </w:rPr>
            </w:pPr>
            <w:r w:rsidRPr="002F115C">
              <w:rPr>
                <w:color w:val="000000"/>
                <w:sz w:val="20"/>
              </w:rPr>
              <w:t>LSM – TTU (nog in bespreking)</w:t>
            </w:r>
          </w:p>
        </w:tc>
        <w:tc>
          <w:tcPr>
            <w:tcW w:w="1134" w:type="dxa"/>
          </w:tcPr>
          <w:p w:rsidR="002F115C" w:rsidRPr="002F115C" w:rsidRDefault="002F115C" w:rsidP="002F115C">
            <w:pPr>
              <w:jc w:val="right"/>
              <w:rPr>
                <w:color w:val="000000"/>
                <w:sz w:val="20"/>
              </w:rPr>
            </w:pPr>
            <w:r w:rsidRPr="002F115C">
              <w:rPr>
                <w:color w:val="000000"/>
                <w:sz w:val="20"/>
              </w:rPr>
              <w:t>80.000</w:t>
            </w:r>
          </w:p>
        </w:tc>
      </w:tr>
    </w:tbl>
    <w:p w:rsidR="002F115C" w:rsidRPr="00152AE1" w:rsidRDefault="002F115C" w:rsidP="00152AE1">
      <w:pPr>
        <w:pStyle w:val="StandaardSV"/>
      </w:pPr>
    </w:p>
    <w:p w:rsidR="002F115C" w:rsidRPr="00914D5B" w:rsidRDefault="002F115C" w:rsidP="00A54FF7">
      <w:pPr>
        <w:pStyle w:val="StandaardSV"/>
      </w:pPr>
      <w:r w:rsidRPr="00914D5B">
        <w:t xml:space="preserve">Innovatiecentrum West-Vlaanderen </w:t>
      </w:r>
      <w:r w:rsidR="00B47B19">
        <w:t xml:space="preserve">had in 2011 </w:t>
      </w:r>
      <w:r w:rsidRPr="00914D5B">
        <w:t>nog middelen uit een aantal andere projecten:</w:t>
      </w:r>
      <w:r w:rsidRPr="00914D5B">
        <w:br/>
      </w:r>
    </w:p>
    <w:tbl>
      <w:tblPr>
        <w:tblW w:w="0" w:type="auto"/>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1134"/>
      </w:tblGrid>
      <w:tr w:rsidR="002F115C" w:rsidTr="00152AE1">
        <w:tc>
          <w:tcPr>
            <w:tcW w:w="5750" w:type="dxa"/>
          </w:tcPr>
          <w:p w:rsidR="002F115C" w:rsidRPr="002F115C" w:rsidRDefault="002F115C" w:rsidP="002F115C">
            <w:pPr>
              <w:rPr>
                <w:color w:val="000000"/>
                <w:sz w:val="20"/>
                <w:lang w:val="nl-BE"/>
              </w:rPr>
            </w:pPr>
            <w:r w:rsidRPr="002F115C">
              <w:rPr>
                <w:color w:val="000000"/>
                <w:sz w:val="20"/>
                <w:lang w:val="nl-BE"/>
              </w:rPr>
              <w:t>Commerciële innovatie (EFRO)</w:t>
            </w:r>
          </w:p>
        </w:tc>
        <w:tc>
          <w:tcPr>
            <w:tcW w:w="1134" w:type="dxa"/>
          </w:tcPr>
          <w:p w:rsidR="002F115C" w:rsidRPr="002F115C" w:rsidRDefault="002F115C" w:rsidP="002F115C">
            <w:pPr>
              <w:jc w:val="right"/>
              <w:rPr>
                <w:color w:val="000000"/>
                <w:sz w:val="20"/>
              </w:rPr>
            </w:pPr>
            <w:r w:rsidRPr="002F115C">
              <w:rPr>
                <w:color w:val="000000"/>
                <w:sz w:val="20"/>
              </w:rPr>
              <w:t>252.000</w:t>
            </w:r>
          </w:p>
        </w:tc>
      </w:tr>
      <w:tr w:rsidR="002F115C" w:rsidTr="00152AE1">
        <w:tc>
          <w:tcPr>
            <w:tcW w:w="5750" w:type="dxa"/>
          </w:tcPr>
          <w:p w:rsidR="002F115C" w:rsidRPr="002F115C" w:rsidRDefault="002F115C" w:rsidP="002F115C">
            <w:pPr>
              <w:rPr>
                <w:color w:val="000000"/>
                <w:sz w:val="20"/>
              </w:rPr>
            </w:pPr>
            <w:r w:rsidRPr="002F115C">
              <w:rPr>
                <w:color w:val="000000"/>
                <w:sz w:val="20"/>
              </w:rPr>
              <w:t>Crealab Insp. (Brugproject)</w:t>
            </w:r>
          </w:p>
        </w:tc>
        <w:tc>
          <w:tcPr>
            <w:tcW w:w="1134" w:type="dxa"/>
          </w:tcPr>
          <w:p w:rsidR="002F115C" w:rsidRPr="002F115C" w:rsidRDefault="002F115C" w:rsidP="002F115C">
            <w:pPr>
              <w:jc w:val="right"/>
              <w:rPr>
                <w:color w:val="000000"/>
                <w:sz w:val="20"/>
              </w:rPr>
            </w:pPr>
            <w:r w:rsidRPr="002F115C">
              <w:rPr>
                <w:color w:val="000000"/>
                <w:sz w:val="20"/>
              </w:rPr>
              <w:t>47.260</w:t>
            </w:r>
          </w:p>
        </w:tc>
      </w:tr>
      <w:tr w:rsidR="002F115C" w:rsidTr="00152AE1">
        <w:tc>
          <w:tcPr>
            <w:tcW w:w="5750" w:type="dxa"/>
          </w:tcPr>
          <w:p w:rsidR="002F115C" w:rsidRPr="002F115C" w:rsidRDefault="002F115C" w:rsidP="002F115C">
            <w:pPr>
              <w:rPr>
                <w:color w:val="000000"/>
                <w:sz w:val="20"/>
                <w:lang w:val="en-US"/>
              </w:rPr>
            </w:pPr>
            <w:r w:rsidRPr="002F115C">
              <w:rPr>
                <w:color w:val="000000"/>
                <w:sz w:val="20"/>
                <w:lang w:val="en-US"/>
              </w:rPr>
              <w:t>Innovation in the heart of Europe (Interreg)</w:t>
            </w:r>
          </w:p>
        </w:tc>
        <w:tc>
          <w:tcPr>
            <w:tcW w:w="1134" w:type="dxa"/>
          </w:tcPr>
          <w:p w:rsidR="002F115C" w:rsidRPr="002F115C" w:rsidRDefault="002F115C" w:rsidP="002F115C">
            <w:pPr>
              <w:jc w:val="right"/>
              <w:rPr>
                <w:color w:val="000000"/>
                <w:sz w:val="20"/>
              </w:rPr>
            </w:pPr>
            <w:r w:rsidRPr="002F115C">
              <w:rPr>
                <w:color w:val="000000"/>
                <w:sz w:val="20"/>
              </w:rPr>
              <w:t>10.400</w:t>
            </w:r>
          </w:p>
        </w:tc>
      </w:tr>
    </w:tbl>
    <w:p w:rsidR="002F115C" w:rsidRPr="00152AE1" w:rsidRDefault="002F115C" w:rsidP="00152AE1">
      <w:pPr>
        <w:pStyle w:val="StandaardSV"/>
      </w:pPr>
    </w:p>
    <w:p w:rsidR="00A54FF7" w:rsidRDefault="00A54FF7">
      <w:pPr>
        <w:rPr>
          <w:b/>
          <w:sz w:val="22"/>
        </w:rPr>
      </w:pPr>
    </w:p>
    <w:p w:rsidR="0064712F" w:rsidRDefault="00A54FF7" w:rsidP="00152AE1">
      <w:pPr>
        <w:pStyle w:val="StandaardSV"/>
        <w:numPr>
          <w:ilvl w:val="0"/>
          <w:numId w:val="28"/>
        </w:numPr>
        <w:rPr>
          <w:b/>
        </w:rPr>
      </w:pPr>
      <w:r>
        <w:rPr>
          <w:b/>
        </w:rPr>
        <w:t>Overzicht van de contacten</w:t>
      </w:r>
      <w:r w:rsidR="0064712F" w:rsidRPr="0064712F">
        <w:rPr>
          <w:b/>
        </w:rPr>
        <w:t xml:space="preserve"> met bedrijven </w:t>
      </w:r>
    </w:p>
    <w:p w:rsidR="001E77B2" w:rsidRDefault="001E77B2" w:rsidP="0064712F">
      <w:pPr>
        <w:pStyle w:val="StandaardSV"/>
        <w:rPr>
          <w:b/>
        </w:rPr>
      </w:pPr>
    </w:p>
    <w:p w:rsidR="0064712F" w:rsidRDefault="009B450F" w:rsidP="0064712F">
      <w:pPr>
        <w:pStyle w:val="StandaardSV"/>
      </w:pPr>
      <w:r>
        <w:t xml:space="preserve">De tabellen op de volgende bladzijden geven de </w:t>
      </w:r>
      <w:r w:rsidR="0060404D">
        <w:t xml:space="preserve">resultaten </w:t>
      </w:r>
      <w:r>
        <w:t>over de periode 2007-2010 voor elk Innovatiecen</w:t>
      </w:r>
      <w:r w:rsidR="0060404D">
        <w:t>trum op basis van de kpi’s die voor die periode van kracht waren. Behalve de laatste twee kunnen deze allemaal gerelateerd worden aan contacten met bedrijven.</w:t>
      </w:r>
    </w:p>
    <w:p w:rsidR="009B450F" w:rsidRDefault="009B450F" w:rsidP="0064712F">
      <w:pPr>
        <w:pStyle w:val="StandaardSV"/>
      </w:pPr>
    </w:p>
    <w:p w:rsidR="009B450F" w:rsidRDefault="00870ABB" w:rsidP="0064712F">
      <w:pPr>
        <w:pStyle w:val="StandaardSV"/>
      </w:pPr>
      <w:r>
        <w:t>Onderstaande tabel geeft de totale cijfers over die period</w:t>
      </w:r>
      <w:r w:rsidR="00152AE1">
        <w:t>e.</w:t>
      </w:r>
    </w:p>
    <w:p w:rsidR="00870ABB" w:rsidRDefault="00870ABB" w:rsidP="0064712F">
      <w:pPr>
        <w:pStyle w:val="StandaardSV"/>
      </w:pPr>
    </w:p>
    <w:tbl>
      <w:tblPr>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4"/>
        <w:gridCol w:w="900"/>
      </w:tblGrid>
      <w:tr w:rsidR="00870ABB" w:rsidRPr="00152AE1" w:rsidTr="009F5505">
        <w:trPr>
          <w:trHeight w:val="421"/>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TOTAAL</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r w:rsidRPr="00152AE1">
              <w:rPr>
                <w:sz w:val="20"/>
                <w:lang w:val="nl-BE"/>
              </w:rPr>
              <w:t>Aantal bedrijfsbezoeken</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9</w:t>
            </w:r>
            <w:r w:rsidR="00152AE1">
              <w:rPr>
                <w:sz w:val="20"/>
                <w:lang w:val="nl-BE"/>
              </w:rPr>
              <w:t>.</w:t>
            </w:r>
            <w:r w:rsidRPr="00152AE1">
              <w:rPr>
                <w:sz w:val="20"/>
                <w:lang w:val="nl-BE"/>
              </w:rPr>
              <w:t>832</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r w:rsidRPr="00152AE1">
              <w:rPr>
                <w:sz w:val="20"/>
                <w:lang w:val="nl-BE"/>
              </w:rPr>
              <w:t>Aantal punctuele interventies/diensten</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4</w:t>
            </w:r>
            <w:r w:rsidR="00152AE1">
              <w:rPr>
                <w:sz w:val="20"/>
                <w:lang w:val="nl-BE"/>
              </w:rPr>
              <w:t>.</w:t>
            </w:r>
            <w:r w:rsidRPr="00152AE1">
              <w:rPr>
                <w:sz w:val="20"/>
                <w:lang w:val="nl-BE"/>
              </w:rPr>
              <w:t>770</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r w:rsidRPr="00152AE1">
              <w:rPr>
                <w:sz w:val="20"/>
                <w:lang w:val="nl-BE"/>
              </w:rPr>
              <w:t>Aantal begeleide doorverwijzingen of partner matchings</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1</w:t>
            </w:r>
            <w:r w:rsidR="00152AE1">
              <w:rPr>
                <w:sz w:val="20"/>
                <w:lang w:val="nl-BE"/>
              </w:rPr>
              <w:t>.</w:t>
            </w:r>
            <w:r w:rsidRPr="00152AE1">
              <w:rPr>
                <w:sz w:val="20"/>
                <w:lang w:val="nl-BE"/>
              </w:rPr>
              <w:t>730</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r w:rsidRPr="00152AE1">
              <w:rPr>
                <w:sz w:val="20"/>
                <w:lang w:val="nl-BE"/>
              </w:rPr>
              <w:t>Aantal technologieprofielen ingebracht in IRC of E.E.N.</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134</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r w:rsidRPr="00152AE1">
              <w:rPr>
                <w:sz w:val="20"/>
                <w:lang w:val="nl-BE"/>
              </w:rPr>
              <w:t>Aantal uitgevoerde innovatieaudits</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287</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r w:rsidRPr="00152AE1">
              <w:rPr>
                <w:sz w:val="20"/>
                <w:lang w:val="nl-BE"/>
              </w:rPr>
              <w:t>Aantal uitgewerkte innovatieplannen/trajecten</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1</w:t>
            </w:r>
            <w:r w:rsidR="00152AE1">
              <w:rPr>
                <w:sz w:val="20"/>
                <w:lang w:val="nl-BE"/>
              </w:rPr>
              <w:t>.</w:t>
            </w:r>
            <w:r w:rsidRPr="00152AE1">
              <w:rPr>
                <w:sz w:val="20"/>
                <w:lang w:val="nl-BE"/>
              </w:rPr>
              <w:t>168</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DF4A88">
            <w:pPr>
              <w:pStyle w:val="StandaardSV"/>
              <w:rPr>
                <w:sz w:val="20"/>
                <w:lang w:val="nl-BE"/>
              </w:rPr>
            </w:pPr>
            <w:r w:rsidRPr="00152AE1">
              <w:rPr>
                <w:sz w:val="20"/>
                <w:lang w:val="nl-BE"/>
              </w:rPr>
              <w:t>Aantal IWT-innovatiestudie</w:t>
            </w:r>
            <w:r w:rsidR="00DF4A88" w:rsidRPr="00152AE1">
              <w:rPr>
                <w:sz w:val="20"/>
                <w:lang w:val="nl-BE"/>
              </w:rPr>
              <w:t>s waarvan de indiening begeleid werd</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252</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r w:rsidRPr="00152AE1">
              <w:rPr>
                <w:sz w:val="20"/>
                <w:lang w:val="nl-BE"/>
              </w:rPr>
              <w:t>Aantal ingediende IWT/EU-innovatieprojecten waarvan de indiening begeleid werd</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269</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r w:rsidRPr="00152AE1">
              <w:rPr>
                <w:sz w:val="20"/>
                <w:lang w:val="nl-BE"/>
              </w:rPr>
              <w:t>Aantal nieuwe klanten</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8</w:t>
            </w:r>
            <w:r w:rsidR="00152AE1">
              <w:rPr>
                <w:sz w:val="20"/>
                <w:lang w:val="nl-BE"/>
              </w:rPr>
              <w:t>.</w:t>
            </w:r>
            <w:r w:rsidRPr="00152AE1">
              <w:rPr>
                <w:sz w:val="20"/>
                <w:lang w:val="nl-BE"/>
              </w:rPr>
              <w:t>591</w:t>
            </w:r>
          </w:p>
        </w:tc>
      </w:tr>
      <w:tr w:rsidR="00870ABB" w:rsidRPr="00152AE1" w:rsidTr="00152AE1">
        <w:trPr>
          <w:trHeight w:val="284"/>
        </w:trPr>
        <w:tc>
          <w:tcPr>
            <w:tcW w:w="6814" w:type="dxa"/>
            <w:shd w:val="clear" w:color="auto" w:fill="auto"/>
            <w:tcMar>
              <w:top w:w="15" w:type="dxa"/>
              <w:left w:w="15" w:type="dxa"/>
              <w:bottom w:w="0" w:type="dxa"/>
              <w:right w:w="15" w:type="dxa"/>
            </w:tcMar>
            <w:vAlign w:val="bottom"/>
            <w:hideMark/>
          </w:tcPr>
          <w:p w:rsidR="00870ABB" w:rsidRPr="00152AE1" w:rsidRDefault="00870ABB" w:rsidP="00870ABB">
            <w:pPr>
              <w:pStyle w:val="StandaardSV"/>
              <w:rPr>
                <w:sz w:val="20"/>
                <w:lang w:val="nl-BE"/>
              </w:rPr>
            </w:pPr>
            <w:r w:rsidRPr="00152AE1">
              <w:rPr>
                <w:sz w:val="20"/>
                <w:lang w:val="nl-BE"/>
              </w:rPr>
              <w:t>Aantal samenwerkingen met andere intermediairen</w:t>
            </w:r>
          </w:p>
        </w:tc>
        <w:tc>
          <w:tcPr>
            <w:tcW w:w="900" w:type="dxa"/>
            <w:shd w:val="clear" w:color="auto" w:fill="auto"/>
            <w:tcMar>
              <w:top w:w="15" w:type="dxa"/>
              <w:left w:w="15" w:type="dxa"/>
              <w:bottom w:w="0" w:type="dxa"/>
              <w:right w:w="15" w:type="dxa"/>
            </w:tcMar>
            <w:vAlign w:val="bottom"/>
            <w:hideMark/>
          </w:tcPr>
          <w:p w:rsidR="00870ABB" w:rsidRPr="00152AE1" w:rsidRDefault="00870ABB" w:rsidP="00152AE1">
            <w:pPr>
              <w:pStyle w:val="StandaardSV"/>
              <w:jc w:val="right"/>
              <w:rPr>
                <w:sz w:val="20"/>
                <w:lang w:val="nl-BE"/>
              </w:rPr>
            </w:pPr>
            <w:r w:rsidRPr="00152AE1">
              <w:rPr>
                <w:sz w:val="20"/>
                <w:lang w:val="nl-BE"/>
              </w:rPr>
              <w:t>895</w:t>
            </w:r>
          </w:p>
        </w:tc>
      </w:tr>
    </w:tbl>
    <w:p w:rsidR="0022503C" w:rsidRPr="00152AE1" w:rsidRDefault="0022503C" w:rsidP="0064712F">
      <w:pPr>
        <w:pStyle w:val="StandaardSV"/>
        <w:rPr>
          <w:szCs w:val="22"/>
        </w:rPr>
      </w:pPr>
    </w:p>
    <w:p w:rsidR="0060404D" w:rsidRPr="00152AE1" w:rsidRDefault="00DF4A88" w:rsidP="0022503C">
      <w:pPr>
        <w:tabs>
          <w:tab w:val="left" w:pos="1785"/>
        </w:tabs>
        <w:rPr>
          <w:sz w:val="22"/>
          <w:szCs w:val="22"/>
        </w:rPr>
      </w:pPr>
      <w:r w:rsidRPr="00152AE1">
        <w:rPr>
          <w:sz w:val="22"/>
          <w:szCs w:val="22"/>
        </w:rPr>
        <w:t>Vanaf 2011 worden het één-op-één bereik los van de contractueel overeengekomen outputindicatoren gerapporteerd. Hieronder voor elk Innovatiecentrum het aantal gerapporteerde één-op-één contacten met bedrijven</w:t>
      </w:r>
      <w:r w:rsidR="00A238E6" w:rsidRPr="00152AE1">
        <w:rPr>
          <w:sz w:val="22"/>
          <w:szCs w:val="22"/>
        </w:rPr>
        <w:t xml:space="preserve"> in 2011</w:t>
      </w:r>
      <w:r w:rsidRPr="00152AE1">
        <w:rPr>
          <w:sz w:val="22"/>
          <w:szCs w:val="22"/>
        </w:rPr>
        <w:t>:</w:t>
      </w:r>
    </w:p>
    <w:p w:rsidR="00DF4A88" w:rsidRPr="00152AE1" w:rsidRDefault="00DF4A88" w:rsidP="0022503C">
      <w:pPr>
        <w:tabs>
          <w:tab w:val="left" w:pos="1785"/>
        </w:tabs>
        <w:rPr>
          <w:sz w:val="22"/>
          <w:szCs w:val="22"/>
        </w:rPr>
      </w:pPr>
    </w:p>
    <w:p w:rsidR="00DF4A88" w:rsidRPr="00152AE1" w:rsidRDefault="00DF4A88" w:rsidP="0022503C">
      <w:pPr>
        <w:tabs>
          <w:tab w:val="left" w:pos="1785"/>
        </w:tabs>
        <w:rPr>
          <w:sz w:val="22"/>
          <w:szCs w:val="22"/>
        </w:rPr>
      </w:pPr>
      <w:r w:rsidRPr="00152AE1">
        <w:rPr>
          <w:sz w:val="22"/>
          <w:szCs w:val="22"/>
        </w:rPr>
        <w:t xml:space="preserve">Antwerpen: </w:t>
      </w:r>
      <w:r w:rsidR="00F9490E" w:rsidRPr="00152AE1">
        <w:rPr>
          <w:sz w:val="22"/>
          <w:szCs w:val="22"/>
        </w:rPr>
        <w:t>40</w:t>
      </w:r>
      <w:r w:rsidR="00A238E6" w:rsidRPr="00152AE1">
        <w:rPr>
          <w:sz w:val="22"/>
          <w:szCs w:val="22"/>
        </w:rPr>
        <w:t>5</w:t>
      </w:r>
    </w:p>
    <w:p w:rsidR="00DF4A88" w:rsidRPr="00152AE1" w:rsidRDefault="00DF4A88" w:rsidP="0022503C">
      <w:pPr>
        <w:tabs>
          <w:tab w:val="left" w:pos="1785"/>
        </w:tabs>
        <w:rPr>
          <w:sz w:val="22"/>
          <w:szCs w:val="22"/>
        </w:rPr>
      </w:pPr>
      <w:r w:rsidRPr="00152AE1">
        <w:rPr>
          <w:sz w:val="22"/>
          <w:szCs w:val="22"/>
        </w:rPr>
        <w:t xml:space="preserve">Limburg: </w:t>
      </w:r>
      <w:r w:rsidR="00A238E6" w:rsidRPr="00152AE1">
        <w:rPr>
          <w:sz w:val="22"/>
          <w:szCs w:val="22"/>
        </w:rPr>
        <w:t>284</w:t>
      </w:r>
    </w:p>
    <w:p w:rsidR="00DF4A88" w:rsidRPr="00152AE1" w:rsidRDefault="00DF4A88" w:rsidP="0022503C">
      <w:pPr>
        <w:tabs>
          <w:tab w:val="left" w:pos="1785"/>
        </w:tabs>
        <w:rPr>
          <w:sz w:val="22"/>
          <w:szCs w:val="22"/>
        </w:rPr>
      </w:pPr>
      <w:r w:rsidRPr="00152AE1">
        <w:rPr>
          <w:sz w:val="22"/>
          <w:szCs w:val="22"/>
        </w:rPr>
        <w:t>Oost-Vlaanderen:</w:t>
      </w:r>
      <w:r w:rsidR="00A238E6" w:rsidRPr="00152AE1">
        <w:rPr>
          <w:sz w:val="22"/>
          <w:szCs w:val="22"/>
        </w:rPr>
        <w:t xml:space="preserve"> 313</w:t>
      </w:r>
      <w:r w:rsidRPr="00152AE1">
        <w:rPr>
          <w:sz w:val="22"/>
          <w:szCs w:val="22"/>
        </w:rPr>
        <w:t xml:space="preserve"> </w:t>
      </w:r>
    </w:p>
    <w:p w:rsidR="00DF4A88" w:rsidRPr="00152AE1" w:rsidRDefault="00DF4A88" w:rsidP="0022503C">
      <w:pPr>
        <w:tabs>
          <w:tab w:val="left" w:pos="1785"/>
        </w:tabs>
        <w:rPr>
          <w:sz w:val="22"/>
          <w:szCs w:val="22"/>
        </w:rPr>
      </w:pPr>
      <w:r w:rsidRPr="00152AE1">
        <w:rPr>
          <w:sz w:val="22"/>
          <w:szCs w:val="22"/>
        </w:rPr>
        <w:t>Vlaams-Brabant:</w:t>
      </w:r>
      <w:r w:rsidR="00A238E6" w:rsidRPr="00152AE1">
        <w:rPr>
          <w:sz w:val="22"/>
          <w:szCs w:val="22"/>
        </w:rPr>
        <w:t xml:space="preserve"> 386</w:t>
      </w:r>
    </w:p>
    <w:p w:rsidR="0022503C" w:rsidRDefault="00DF4A88" w:rsidP="00152AE1">
      <w:pPr>
        <w:tabs>
          <w:tab w:val="left" w:pos="1785"/>
        </w:tabs>
      </w:pPr>
      <w:r w:rsidRPr="00152AE1">
        <w:rPr>
          <w:sz w:val="22"/>
          <w:szCs w:val="22"/>
        </w:rPr>
        <w:t xml:space="preserve">West-Vlaanderen: </w:t>
      </w:r>
      <w:r w:rsidR="00A238E6" w:rsidRPr="00152AE1">
        <w:rPr>
          <w:sz w:val="22"/>
          <w:szCs w:val="22"/>
        </w:rPr>
        <w:t>303</w:t>
      </w:r>
    </w:p>
    <w:p w:rsidR="0022503C" w:rsidRPr="0022503C" w:rsidRDefault="0022503C" w:rsidP="0022503C">
      <w:pPr>
        <w:sectPr w:rsidR="0022503C" w:rsidRPr="0022503C" w:rsidSect="00A329CB">
          <w:pgSz w:w="11906" w:h="16838"/>
          <w:pgMar w:top="1417" w:right="1417" w:bottom="1417" w:left="1417" w:header="708" w:footer="708" w:gutter="0"/>
          <w:cols w:space="708"/>
          <w:docGrid w:linePitch="326"/>
        </w:sectPr>
      </w:pPr>
    </w:p>
    <w:p w:rsidR="00870ABB" w:rsidRDefault="00870ABB" w:rsidP="0064712F">
      <w:pPr>
        <w:pStyle w:val="StandaardSV"/>
      </w:pPr>
      <w:r>
        <w:lastRenderedPageBreak/>
        <w:t>Antwerpen</w:t>
      </w:r>
      <w:r w:rsidR="00A238E6">
        <w:t xml:space="preserve"> </w:t>
      </w:r>
    </w:p>
    <w:p w:rsidR="00870ABB" w:rsidRDefault="00870ABB" w:rsidP="0064712F">
      <w:pPr>
        <w:pStyle w:val="StandaardSV"/>
      </w:pPr>
    </w:p>
    <w:tbl>
      <w:tblPr>
        <w:tblW w:w="12960" w:type="dxa"/>
        <w:tblInd w:w="70" w:type="dxa"/>
        <w:tblCellMar>
          <w:left w:w="70" w:type="dxa"/>
          <w:right w:w="70" w:type="dxa"/>
        </w:tblCellMar>
        <w:tblLook w:val="04A0" w:firstRow="1" w:lastRow="0" w:firstColumn="1" w:lastColumn="0" w:noHBand="0" w:noVBand="1"/>
      </w:tblPr>
      <w:tblGrid>
        <w:gridCol w:w="8080"/>
        <w:gridCol w:w="976"/>
        <w:gridCol w:w="976"/>
        <w:gridCol w:w="976"/>
        <w:gridCol w:w="976"/>
        <w:gridCol w:w="976"/>
      </w:tblGrid>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TOTAAL</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Algemene promotie en informatieverspreiding</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125</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innovatieondersteunende publicaties/presentaties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182</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georganiseerde seminaries/workshops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93</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bedrijfsbezoeken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882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380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695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650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2607</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punctuele interventies/diensten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600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500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1270</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begeleide doorverwijzingen of partner matchings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216</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technologieprofielen ingebracht in IRC of E.E.N.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23</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innovatieadviezen met rapport</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338</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uitgevoerde innovatieaudits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49</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uitgewerkte innovatieplannen/trajecten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274</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IWT-innovatiestudies waarvan de indiening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52</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ingediende IWT/EU-innovatieprojecten waarvan de indiening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61</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innovatieplannen waarvan de uitvoering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94</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nieuwe klanten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509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188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752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700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2149</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samenwerkingen met andere intermediairen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104</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netwerkondersteunende activiteiten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84</w:t>
            </w:r>
          </w:p>
        </w:tc>
      </w:tr>
    </w:tbl>
    <w:p w:rsidR="00870ABB" w:rsidRDefault="00870ABB" w:rsidP="0064712F">
      <w:pPr>
        <w:pStyle w:val="StandaardSV"/>
      </w:pPr>
    </w:p>
    <w:p w:rsidR="00870ABB" w:rsidRDefault="00870ABB" w:rsidP="0064712F">
      <w:pPr>
        <w:pStyle w:val="StandaardSV"/>
      </w:pPr>
      <w:r>
        <w:br w:type="page"/>
      </w:r>
      <w:r>
        <w:lastRenderedPageBreak/>
        <w:t>Limburg</w:t>
      </w:r>
    </w:p>
    <w:p w:rsidR="00870ABB" w:rsidRDefault="00870ABB" w:rsidP="0064712F">
      <w:pPr>
        <w:pStyle w:val="StandaardSV"/>
      </w:pPr>
    </w:p>
    <w:tbl>
      <w:tblPr>
        <w:tblW w:w="12960" w:type="dxa"/>
        <w:tblInd w:w="70" w:type="dxa"/>
        <w:tblCellMar>
          <w:left w:w="70" w:type="dxa"/>
          <w:right w:w="70" w:type="dxa"/>
        </w:tblCellMar>
        <w:tblLook w:val="04A0" w:firstRow="1" w:lastRow="0" w:firstColumn="1" w:lastColumn="0" w:noHBand="0" w:noVBand="1"/>
      </w:tblPr>
      <w:tblGrid>
        <w:gridCol w:w="8080"/>
        <w:gridCol w:w="976"/>
        <w:gridCol w:w="976"/>
        <w:gridCol w:w="976"/>
        <w:gridCol w:w="976"/>
        <w:gridCol w:w="976"/>
      </w:tblGrid>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TOTAAL</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Algemene promotie en informatieverspreiding</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218</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innovatieondersteunende publicaties/presentaties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173</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georganiseerde seminaries/workshops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139</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bedrijfsbezoeken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380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457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656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643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2136</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punctuele interventies/diensten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239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170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297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290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996</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begeleide doorverwijzingen of partner matchings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349</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technologieprofielen ingebracht in IRC of E.E.N.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19</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innovatieadviezen met rapport</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337</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uitgevoerde innovatieaudits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36</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uitgewerkte innovatieplannen/trajecten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235</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IWT-innovatiestudies waarvan de indiening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47</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ingediende IWT/EU-innovatieprojecten waarvan de indiening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63</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innovatieplannen waarvan de uitvoering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68</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nieuwe klanten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191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434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339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247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1211</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samenwerkingen met andere intermediairen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263</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netwerkondersteunende activiteiten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100</w:t>
            </w:r>
          </w:p>
        </w:tc>
      </w:tr>
    </w:tbl>
    <w:p w:rsidR="00870ABB" w:rsidRDefault="00870ABB" w:rsidP="0064712F">
      <w:pPr>
        <w:pStyle w:val="StandaardSV"/>
      </w:pPr>
    </w:p>
    <w:p w:rsidR="00870ABB" w:rsidRDefault="00870ABB" w:rsidP="0064712F">
      <w:pPr>
        <w:pStyle w:val="StandaardSV"/>
      </w:pPr>
      <w:r>
        <w:br w:type="page"/>
      </w:r>
      <w:r>
        <w:lastRenderedPageBreak/>
        <w:t>Oost-Vlaanderen</w:t>
      </w:r>
    </w:p>
    <w:p w:rsidR="00870ABB" w:rsidRDefault="00870ABB" w:rsidP="0064712F">
      <w:pPr>
        <w:pStyle w:val="StandaardSV"/>
      </w:pPr>
    </w:p>
    <w:tbl>
      <w:tblPr>
        <w:tblW w:w="12960" w:type="dxa"/>
        <w:tblInd w:w="70" w:type="dxa"/>
        <w:tblCellMar>
          <w:left w:w="70" w:type="dxa"/>
          <w:right w:w="70" w:type="dxa"/>
        </w:tblCellMar>
        <w:tblLook w:val="04A0" w:firstRow="1" w:lastRow="0" w:firstColumn="1" w:lastColumn="0" w:noHBand="0" w:noVBand="1"/>
      </w:tblPr>
      <w:tblGrid>
        <w:gridCol w:w="8080"/>
        <w:gridCol w:w="976"/>
        <w:gridCol w:w="976"/>
        <w:gridCol w:w="976"/>
        <w:gridCol w:w="976"/>
        <w:gridCol w:w="976"/>
      </w:tblGrid>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TOTAAL</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Algemene promotie en informatieverspreiding</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125</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innovatieondersteunende publicaties/presentaties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166</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georganiseerde seminaries/workshops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97</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bedrijfsbezoeken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242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393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468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1523</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punctuele interventies/diensten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551</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begeleide doorverwijzingen of partner matchings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281</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technologieprofielen ingebracht in IRC of E.E.N.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16</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innovatieadviezen met rapport</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204</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uitgevoerde innovatieaudits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62</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uitgewerkte innovatieplannen/trajecten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321</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IWT-innovatiestudies waarvan de indiening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73</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ingediende IWT/EU-innovatieprojecten waarvan de indiening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42</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innovatieplannen waarvan de uitvoering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51</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nieuwe klanten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277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377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461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525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1640</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samenwerkingen met andere intermediairen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102</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netwerkondersteunende activiteiten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79</w:t>
            </w:r>
          </w:p>
        </w:tc>
      </w:tr>
    </w:tbl>
    <w:p w:rsidR="00870ABB" w:rsidRDefault="00870ABB" w:rsidP="0064712F">
      <w:pPr>
        <w:pStyle w:val="StandaardSV"/>
      </w:pPr>
    </w:p>
    <w:p w:rsidR="00870ABB" w:rsidRDefault="00870ABB" w:rsidP="0064712F">
      <w:pPr>
        <w:pStyle w:val="StandaardSV"/>
      </w:pPr>
      <w:r>
        <w:br w:type="page"/>
      </w:r>
      <w:r>
        <w:lastRenderedPageBreak/>
        <w:t>Vlaams-Brabant</w:t>
      </w:r>
    </w:p>
    <w:p w:rsidR="00870ABB" w:rsidRDefault="00870ABB" w:rsidP="0064712F">
      <w:pPr>
        <w:pStyle w:val="StandaardSV"/>
      </w:pPr>
    </w:p>
    <w:tbl>
      <w:tblPr>
        <w:tblW w:w="12960" w:type="dxa"/>
        <w:tblInd w:w="70" w:type="dxa"/>
        <w:tblCellMar>
          <w:left w:w="70" w:type="dxa"/>
          <w:right w:w="70" w:type="dxa"/>
        </w:tblCellMar>
        <w:tblLook w:val="04A0" w:firstRow="1" w:lastRow="0" w:firstColumn="1" w:lastColumn="0" w:noHBand="0" w:noVBand="1"/>
      </w:tblPr>
      <w:tblGrid>
        <w:gridCol w:w="8080"/>
        <w:gridCol w:w="976"/>
        <w:gridCol w:w="976"/>
        <w:gridCol w:w="976"/>
        <w:gridCol w:w="976"/>
        <w:gridCol w:w="976"/>
      </w:tblGrid>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2007</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2009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TOTAAL</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Algemene promotie en informatieverspreiding</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120</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innovatieondersteunende publicaties/presentaties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103</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georganiseerde seminaries/workshops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102</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bedrijfsbezoeken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122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393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601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563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1679</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punctuele interventies/diensten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408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488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391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1362</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begeleide doorverwijzingen of partner matchings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81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173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378</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technologieprofielen ingebracht in IRC of E.E.N.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46</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innovatieadviezen met rapport</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236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565</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uitgevoerde innovatieaudits</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97</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uitgewerkte innovatieplannen/trajecten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52</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147</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IWT-innovatiestudies waarvan de indiening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45</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ingediende IWT/EU-innovatieprojecten waarvan de indiening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47</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innovatieplannen waarvan de uitvoering begeleid werd</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75</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nieuwe klanten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499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744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579</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1872</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samenwerkingen met andere intermediairen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24</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41</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65</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133</w:t>
            </w:r>
          </w:p>
        </w:tc>
      </w:tr>
      <w:tr w:rsidR="00870ABB" w:rsidRPr="00870ABB" w:rsidTr="00870ABB">
        <w:trPr>
          <w:trHeight w:val="300"/>
        </w:trPr>
        <w:tc>
          <w:tcPr>
            <w:tcW w:w="8080" w:type="dxa"/>
            <w:tcBorders>
              <w:top w:val="nil"/>
              <w:left w:val="nil"/>
              <w:bottom w:val="nil"/>
              <w:right w:val="nil"/>
            </w:tcBorders>
            <w:shd w:val="clear" w:color="auto" w:fill="auto"/>
            <w:noWrap/>
            <w:vAlign w:val="bottom"/>
            <w:hideMark/>
          </w:tcPr>
          <w:p w:rsidR="00870ABB" w:rsidRPr="00870ABB" w:rsidRDefault="00870ABB" w:rsidP="00870ABB">
            <w:pPr>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Aantal netwerkondersteunende activiteiten</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0</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18</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13</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16</w:t>
            </w:r>
          </w:p>
        </w:tc>
        <w:tc>
          <w:tcPr>
            <w:tcW w:w="976" w:type="dxa"/>
            <w:tcBorders>
              <w:top w:val="nil"/>
              <w:left w:val="nil"/>
              <w:bottom w:val="nil"/>
              <w:right w:val="nil"/>
            </w:tcBorders>
            <w:shd w:val="clear" w:color="auto" w:fill="auto"/>
            <w:noWrap/>
            <w:vAlign w:val="bottom"/>
            <w:hideMark/>
          </w:tcPr>
          <w:p w:rsidR="00870ABB" w:rsidRPr="00870ABB" w:rsidRDefault="00870ABB" w:rsidP="00870ABB">
            <w:pPr>
              <w:jc w:val="right"/>
              <w:rPr>
                <w:rFonts w:ascii="Calibri" w:hAnsi="Calibri" w:cs="Calibri"/>
                <w:color w:val="000000"/>
                <w:sz w:val="22"/>
                <w:szCs w:val="22"/>
                <w:lang w:val="nl-BE" w:eastAsia="nl-BE"/>
              </w:rPr>
            </w:pPr>
            <w:r w:rsidRPr="00870ABB">
              <w:rPr>
                <w:rFonts w:ascii="Calibri" w:hAnsi="Calibri" w:cs="Calibri"/>
                <w:color w:val="000000"/>
                <w:sz w:val="22"/>
                <w:szCs w:val="22"/>
                <w:lang w:val="nl-BE" w:eastAsia="nl-BE"/>
              </w:rPr>
              <w:t>47</w:t>
            </w:r>
          </w:p>
        </w:tc>
      </w:tr>
    </w:tbl>
    <w:p w:rsidR="000575FC" w:rsidRDefault="000575FC" w:rsidP="0064712F">
      <w:pPr>
        <w:pStyle w:val="StandaardSV"/>
      </w:pPr>
    </w:p>
    <w:p w:rsidR="00870ABB" w:rsidRDefault="000575FC" w:rsidP="0064712F">
      <w:pPr>
        <w:pStyle w:val="StandaardSV"/>
      </w:pPr>
      <w:r>
        <w:br w:type="page"/>
      </w:r>
      <w:r>
        <w:lastRenderedPageBreak/>
        <w:t>West-Vlaanderen</w:t>
      </w:r>
    </w:p>
    <w:p w:rsidR="000575FC" w:rsidRDefault="000575FC" w:rsidP="0064712F">
      <w:pPr>
        <w:pStyle w:val="StandaardSV"/>
      </w:pPr>
    </w:p>
    <w:tbl>
      <w:tblPr>
        <w:tblW w:w="12960" w:type="dxa"/>
        <w:tblInd w:w="70" w:type="dxa"/>
        <w:tblCellMar>
          <w:left w:w="70" w:type="dxa"/>
          <w:right w:w="70" w:type="dxa"/>
        </w:tblCellMar>
        <w:tblLook w:val="04A0" w:firstRow="1" w:lastRow="0" w:firstColumn="1" w:lastColumn="0" w:noHBand="0" w:noVBand="1"/>
      </w:tblPr>
      <w:tblGrid>
        <w:gridCol w:w="8080"/>
        <w:gridCol w:w="976"/>
        <w:gridCol w:w="976"/>
        <w:gridCol w:w="976"/>
        <w:gridCol w:w="976"/>
        <w:gridCol w:w="976"/>
      </w:tblGrid>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2007</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2008</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2009</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2010</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TOTAAL</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Algemene promotie en informatieverspreiding</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39</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70</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66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60</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235</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innovatieondersteunende publicaties/presentaties</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22</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50</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94</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78</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244</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georganiseerde seminaries/workshops</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32</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43</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47</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168</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bedrijfsbezoeken</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339</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476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573</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499</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1887</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punctuele interventies/diensten</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87</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226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167</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111</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591</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begeleide doorverwijzingen of partner matchings</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32</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96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243</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135</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506</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technologieprofielen ingebracht in IRC of E.E.N.</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0</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8</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30</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innovatieadviezen met rapport</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61</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70</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98</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102</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331</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uitgevoerde innovatieaudits</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15</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7</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43</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uitgewerkte innovatieplannen/trajecten</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28</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50</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64</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49</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191</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IWT-innovatiestudies waarvan de indiening begeleid werd</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8</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8</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35</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ingediende IWT/EU-innovatieprojecten waarvan de indiening begeleid werd</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10</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22</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18</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56</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innovatieplannen waarvan de uitvoering begeleid werd</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7</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8</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14</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45</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nieuwe klanten</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406</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554</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405</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354</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1719</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samenwerkingen met andere intermediairen</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42</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77</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83</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91</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293</w:t>
            </w:r>
          </w:p>
        </w:tc>
      </w:tr>
      <w:tr w:rsidR="000575FC" w:rsidRPr="000575FC" w:rsidTr="000575FC">
        <w:trPr>
          <w:trHeight w:val="300"/>
        </w:trPr>
        <w:tc>
          <w:tcPr>
            <w:tcW w:w="8080" w:type="dxa"/>
            <w:tcBorders>
              <w:top w:val="nil"/>
              <w:left w:val="nil"/>
              <w:bottom w:val="nil"/>
              <w:right w:val="nil"/>
            </w:tcBorders>
            <w:shd w:val="clear" w:color="auto" w:fill="auto"/>
            <w:noWrap/>
            <w:vAlign w:val="bottom"/>
            <w:hideMark/>
          </w:tcPr>
          <w:p w:rsidR="000575FC" w:rsidRPr="000575FC" w:rsidRDefault="000575FC" w:rsidP="000575FC">
            <w:pPr>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Aantal netwerkondersteunende activiteiten</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27</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34</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52</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53</w:t>
            </w:r>
          </w:p>
        </w:tc>
        <w:tc>
          <w:tcPr>
            <w:tcW w:w="976" w:type="dxa"/>
            <w:tcBorders>
              <w:top w:val="nil"/>
              <w:left w:val="nil"/>
              <w:bottom w:val="nil"/>
              <w:right w:val="nil"/>
            </w:tcBorders>
            <w:shd w:val="clear" w:color="auto" w:fill="auto"/>
            <w:noWrap/>
            <w:vAlign w:val="bottom"/>
            <w:hideMark/>
          </w:tcPr>
          <w:p w:rsidR="000575FC" w:rsidRPr="000575FC" w:rsidRDefault="000575FC" w:rsidP="000575FC">
            <w:pPr>
              <w:jc w:val="right"/>
              <w:rPr>
                <w:rFonts w:ascii="Calibri" w:hAnsi="Calibri" w:cs="Calibri"/>
                <w:color w:val="000000"/>
                <w:sz w:val="22"/>
                <w:szCs w:val="22"/>
                <w:lang w:val="nl-BE" w:eastAsia="nl-BE"/>
              </w:rPr>
            </w:pPr>
            <w:r w:rsidRPr="000575FC">
              <w:rPr>
                <w:rFonts w:ascii="Calibri" w:hAnsi="Calibri" w:cs="Calibri"/>
                <w:color w:val="000000"/>
                <w:sz w:val="22"/>
                <w:szCs w:val="22"/>
                <w:lang w:val="nl-BE" w:eastAsia="nl-BE"/>
              </w:rPr>
              <w:t>166</w:t>
            </w:r>
          </w:p>
        </w:tc>
      </w:tr>
    </w:tbl>
    <w:p w:rsidR="000575FC" w:rsidRDefault="000575FC" w:rsidP="0064712F">
      <w:pPr>
        <w:pStyle w:val="StandaardSV"/>
        <w:sectPr w:rsidR="000575FC" w:rsidSect="00870ABB">
          <w:pgSz w:w="16838" w:h="11906" w:orient="landscape"/>
          <w:pgMar w:top="1417" w:right="1417" w:bottom="1417" w:left="1417" w:header="708" w:footer="708" w:gutter="0"/>
          <w:cols w:space="708"/>
          <w:docGrid w:linePitch="326"/>
        </w:sectPr>
      </w:pPr>
    </w:p>
    <w:p w:rsidR="00D214D5" w:rsidRDefault="001E77B2" w:rsidP="00152AE1">
      <w:pPr>
        <w:pStyle w:val="StandaardSV"/>
        <w:numPr>
          <w:ilvl w:val="0"/>
          <w:numId w:val="28"/>
        </w:numPr>
        <w:rPr>
          <w:b/>
        </w:rPr>
      </w:pPr>
      <w:r>
        <w:rPr>
          <w:b/>
        </w:rPr>
        <w:lastRenderedPageBreak/>
        <w:t>I</w:t>
      </w:r>
      <w:r w:rsidR="00D214D5" w:rsidRPr="00D214D5">
        <w:rPr>
          <w:b/>
        </w:rPr>
        <w:t xml:space="preserve">nformatiesessies (kennismakingssessies en/of workshops) tussen kenniscentra en bedrijven </w:t>
      </w:r>
    </w:p>
    <w:p w:rsidR="001E77B2" w:rsidRDefault="001E77B2" w:rsidP="00D214D5">
      <w:pPr>
        <w:pStyle w:val="StandaardSV"/>
        <w:rPr>
          <w:b/>
        </w:rPr>
      </w:pPr>
    </w:p>
    <w:p w:rsidR="0072661B" w:rsidRDefault="00D214D5" w:rsidP="00D214D5">
      <w:pPr>
        <w:pStyle w:val="StandaardSV"/>
      </w:pPr>
      <w:r>
        <w:t xml:space="preserve">We verwijzen naar bovenstaande tabellen met de resultaten over de periode 2007-2010: de voorlaatste indicator </w:t>
      </w:r>
      <w:r w:rsidR="00152AE1">
        <w:t>“</w:t>
      </w:r>
      <w:r>
        <w:t xml:space="preserve">aantal samenwerkingen met </w:t>
      </w:r>
      <w:r w:rsidR="0072661B">
        <w:t xml:space="preserve">andere </w:t>
      </w:r>
      <w:r>
        <w:t>intermediairen</w:t>
      </w:r>
      <w:r w:rsidR="00152AE1">
        <w:t>”</w:t>
      </w:r>
      <w:r>
        <w:t xml:space="preserve"> slaat veelal op het organiseren van informatiesessies of workshops tussen kenniscentra en bedrijven. De onderwerpen van die sessies w</w:t>
      </w:r>
      <w:r w:rsidR="00CB4A21">
        <w:t>e</w:t>
      </w:r>
      <w:r>
        <w:t>rden echter niet door het IWT opgevraagd bij de rapportering.</w:t>
      </w:r>
      <w:r w:rsidR="0072661B">
        <w:t xml:space="preserve"> </w:t>
      </w:r>
    </w:p>
    <w:p w:rsidR="0072661B" w:rsidRDefault="00AF4EEA" w:rsidP="00D214D5">
      <w:pPr>
        <w:pStyle w:val="StandaardSV"/>
      </w:pPr>
      <w:r>
        <w:t xml:space="preserve">Vanaf </w:t>
      </w:r>
      <w:r w:rsidR="00D20C0A">
        <w:t xml:space="preserve">2011 </w:t>
      </w:r>
      <w:r w:rsidR="00CB4A21">
        <w:t xml:space="preserve">wordt in de rapportering wel meer gedetailleerde info over het </w:t>
      </w:r>
      <w:r w:rsidR="00152AE1">
        <w:t>“</w:t>
      </w:r>
      <w:r w:rsidR="00CB4A21">
        <w:t>collectief bereik</w:t>
      </w:r>
      <w:r w:rsidR="00152AE1">
        <w:t>”</w:t>
      </w:r>
      <w:r w:rsidR="00CB4A21">
        <w:t xml:space="preserve"> gevraagd door het IWT: het betreft acties waar meerdere bedrijven</w:t>
      </w:r>
      <w:r w:rsidR="00152AE1">
        <w:t xml:space="preserve"> </w:t>
      </w:r>
      <w:r w:rsidR="00CB4A21">
        <w:t>op uitgenodigd worden en die veelal ook in samenwer</w:t>
      </w:r>
      <w:r w:rsidR="00152AE1">
        <w:t>k</w:t>
      </w:r>
      <w:r w:rsidR="00CB4A21">
        <w:t>ing met andere partners georganiseerd worden. In 2011</w:t>
      </w:r>
      <w:r w:rsidR="00D20C0A">
        <w:t>werden in d</w:t>
      </w:r>
      <w:r w:rsidR="0072661B">
        <w:t xml:space="preserve">e verschillende provincies de volgende aantallen aan </w:t>
      </w:r>
      <w:r w:rsidR="00152AE1">
        <w:t>“</w:t>
      </w:r>
      <w:r w:rsidR="00D20C0A">
        <w:t xml:space="preserve">collectieve </w:t>
      </w:r>
      <w:r w:rsidR="0072661B">
        <w:t>acties</w:t>
      </w:r>
      <w:r w:rsidR="00152AE1">
        <w:t>”</w:t>
      </w:r>
      <w:r w:rsidR="0072661B">
        <w:t xml:space="preserve"> georganiseerd</w:t>
      </w:r>
      <w:r w:rsidR="00152AE1">
        <w:t>:</w:t>
      </w:r>
    </w:p>
    <w:p w:rsidR="0072661B" w:rsidRDefault="0072661B" w:rsidP="00D214D5">
      <w:pPr>
        <w:pStyle w:val="StandaardSV"/>
      </w:pPr>
    </w:p>
    <w:p w:rsidR="0072661B" w:rsidRDefault="0072661B" w:rsidP="00D214D5">
      <w:pPr>
        <w:pStyle w:val="StandaardSV"/>
      </w:pPr>
      <w:r>
        <w:t>Antwerpen:</w:t>
      </w:r>
      <w:r w:rsidR="00D20C0A">
        <w:t xml:space="preserve"> 46</w:t>
      </w:r>
    </w:p>
    <w:p w:rsidR="0072661B" w:rsidRDefault="0072661B" w:rsidP="00D214D5">
      <w:pPr>
        <w:pStyle w:val="StandaardSV"/>
      </w:pPr>
      <w:r>
        <w:t>Limburg:</w:t>
      </w:r>
      <w:r w:rsidR="00D20C0A">
        <w:t xml:space="preserve"> </w:t>
      </w:r>
      <w:r w:rsidR="00CF3379">
        <w:t>58</w:t>
      </w:r>
    </w:p>
    <w:p w:rsidR="0072661B" w:rsidRDefault="0072661B" w:rsidP="00D214D5">
      <w:pPr>
        <w:pStyle w:val="StandaardSV"/>
      </w:pPr>
      <w:r>
        <w:t>Oost-Vlaanderen:</w:t>
      </w:r>
      <w:r w:rsidR="0056488C">
        <w:t xml:space="preserve"> 33</w:t>
      </w:r>
    </w:p>
    <w:p w:rsidR="0072661B" w:rsidRDefault="0072661B" w:rsidP="00D214D5">
      <w:pPr>
        <w:pStyle w:val="StandaardSV"/>
      </w:pPr>
      <w:r>
        <w:t>Vlaams-Brabant:</w:t>
      </w:r>
      <w:r w:rsidR="0056488C">
        <w:t xml:space="preserve"> 24</w:t>
      </w:r>
    </w:p>
    <w:p w:rsidR="0072661B" w:rsidRDefault="0072661B" w:rsidP="00D214D5">
      <w:pPr>
        <w:pStyle w:val="StandaardSV"/>
      </w:pPr>
      <w:r>
        <w:t xml:space="preserve">West-Vlaanderen: </w:t>
      </w:r>
      <w:r w:rsidR="00D20C0A">
        <w:t>42</w:t>
      </w:r>
    </w:p>
    <w:p w:rsidR="00D214D5" w:rsidRDefault="00D214D5" w:rsidP="00D214D5">
      <w:pPr>
        <w:pStyle w:val="StandaardSV"/>
      </w:pPr>
    </w:p>
    <w:p w:rsidR="00BB0E52" w:rsidRDefault="0056488C" w:rsidP="00BB0E52">
      <w:pPr>
        <w:pStyle w:val="StandaardSV"/>
      </w:pPr>
      <w:r>
        <w:t xml:space="preserve">In </w:t>
      </w:r>
      <w:r w:rsidRPr="00152AE1">
        <w:rPr>
          <w:u w:val="single"/>
        </w:rPr>
        <w:t>bijlage</w:t>
      </w:r>
      <w:r>
        <w:t xml:space="preserve"> worden de lijsten met data, onderwerpen en aantal aanwezige bedrijven voor elk van de Innovatiecentra opgesomd. Deze gegevens worden pas sinds 2011 opgevraagd door het IWT.</w:t>
      </w:r>
    </w:p>
    <w:p w:rsidR="00BB0E52" w:rsidRDefault="00BB0E52" w:rsidP="00BB0E52">
      <w:pPr>
        <w:pStyle w:val="StandaardSV"/>
      </w:pPr>
    </w:p>
    <w:p w:rsidR="00BB0E52" w:rsidRDefault="00152AE1" w:rsidP="00152AE1">
      <w:pPr>
        <w:pStyle w:val="StandaardSV"/>
        <w:numPr>
          <w:ilvl w:val="0"/>
          <w:numId w:val="28"/>
        </w:numPr>
        <w:rPr>
          <w:b/>
        </w:rPr>
      </w:pPr>
      <w:r>
        <w:rPr>
          <w:b/>
        </w:rPr>
        <w:t>B</w:t>
      </w:r>
      <w:r w:rsidR="00BB0E52" w:rsidRPr="00BB0E52">
        <w:rPr>
          <w:b/>
        </w:rPr>
        <w:t xml:space="preserve">ij het IWT ingediende projecten, aangebracht via de </w:t>
      </w:r>
      <w:r>
        <w:rPr>
          <w:b/>
        </w:rPr>
        <w:t>I</w:t>
      </w:r>
      <w:r w:rsidR="00BB0E52" w:rsidRPr="00BB0E52">
        <w:rPr>
          <w:b/>
        </w:rPr>
        <w:t>nnovatiecentra</w:t>
      </w:r>
    </w:p>
    <w:p w:rsidR="001E77B2" w:rsidRDefault="001E77B2" w:rsidP="00BB0E52">
      <w:pPr>
        <w:pStyle w:val="StandaardSV"/>
        <w:rPr>
          <w:b/>
        </w:rPr>
      </w:pPr>
    </w:p>
    <w:p w:rsidR="0077675F" w:rsidRDefault="0077675F" w:rsidP="00BB0E52">
      <w:pPr>
        <w:pStyle w:val="StandaardSV"/>
      </w:pPr>
      <w:r>
        <w:t>Vanuit hun frontoffice functie voor het IWT informeren en begeleiden de Innovatiecentra bedrijven bij IWT-subsidiedossiers. Deze activiteiten hebben vooral een wervend karakter: het zijn vooral bedrijven die de weg naar het IWT nog niet zo goed kennen die via deze activiteiten moeten geholpen worden.</w:t>
      </w:r>
      <w:r w:rsidRPr="00D36695">
        <w:t xml:space="preserve"> </w:t>
      </w:r>
      <w:r>
        <w:br/>
        <w:t>Onderstaande tabel geeft de gevraagde cijfers. Deze cijfers leren ons onder</w:t>
      </w:r>
      <w:r w:rsidR="00152AE1">
        <w:t xml:space="preserve"> </w:t>
      </w:r>
      <w:r>
        <w:t xml:space="preserve">meer dat de Innovatiecentra </w:t>
      </w:r>
      <w:r w:rsidR="00B43096">
        <w:t>tussen de 30</w:t>
      </w:r>
      <w:r w:rsidR="00152AE1">
        <w:t>%</w:t>
      </w:r>
      <w:r w:rsidR="00B43096">
        <w:t xml:space="preserve"> (jaren 2007</w:t>
      </w:r>
      <w:r w:rsidR="00152AE1">
        <w:t xml:space="preserve"> en </w:t>
      </w:r>
      <w:r w:rsidR="00B43096">
        <w:t>2008) en de 40% (jaar 2011)</w:t>
      </w:r>
      <w:r>
        <w:t xml:space="preserve"> van de dossiers die </w:t>
      </w:r>
      <w:r w:rsidR="00152AE1">
        <w:t>binnen</w:t>
      </w:r>
      <w:r>
        <w:t xml:space="preserve"> het </w:t>
      </w:r>
      <w:r w:rsidR="00152AE1">
        <w:t>kmo</w:t>
      </w:r>
      <w:r>
        <w:t xml:space="preserve">-programma van het IWT </w:t>
      </w:r>
      <w:r w:rsidR="00152AE1">
        <w:t xml:space="preserve">worden </w:t>
      </w:r>
      <w:r>
        <w:t>ingediend</w:t>
      </w:r>
      <w:r w:rsidR="00152AE1">
        <w:t>,</w:t>
      </w:r>
      <w:r>
        <w:t xml:space="preserve"> begeleiden.</w:t>
      </w:r>
      <w:r w:rsidR="00B43096">
        <w:t xml:space="preserve"> Ongeveer 70% van de begeleide bedrijven zijn nieuwe klanten voor het IWT (61%) of hadden nooit eerder steun genoten (9%). </w:t>
      </w:r>
    </w:p>
    <w:p w:rsidR="0077675F" w:rsidRDefault="0077675F" w:rsidP="00BB0E52">
      <w:pPr>
        <w:pStyle w:val="StandaardSV"/>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716"/>
        <w:gridCol w:w="716"/>
        <w:gridCol w:w="766"/>
        <w:gridCol w:w="716"/>
        <w:gridCol w:w="716"/>
      </w:tblGrid>
      <w:tr w:rsidR="0077675F" w:rsidRPr="00152AE1" w:rsidTr="00152AE1">
        <w:tc>
          <w:tcPr>
            <w:tcW w:w="1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BC1C61">
            <w:pPr>
              <w:pStyle w:val="StandaardSV"/>
              <w:rPr>
                <w:sz w:val="20"/>
              </w:rPr>
            </w:pPr>
          </w:p>
        </w:tc>
        <w:tc>
          <w:tcPr>
            <w:tcW w:w="716" w:type="dxa"/>
            <w:tcBorders>
              <w:top w:val="single" w:sz="4" w:space="0" w:color="000000"/>
              <w:left w:val="single" w:sz="4" w:space="0" w:color="000000"/>
              <w:bottom w:val="single" w:sz="4" w:space="0" w:color="000000"/>
              <w:right w:val="single" w:sz="4" w:space="0" w:color="000000"/>
            </w:tcBorders>
            <w:hideMark/>
          </w:tcPr>
          <w:p w:rsidR="0077675F" w:rsidRPr="00152AE1" w:rsidRDefault="0077675F" w:rsidP="00152AE1">
            <w:pPr>
              <w:pStyle w:val="StandaardSV"/>
              <w:jc w:val="right"/>
              <w:rPr>
                <w:sz w:val="20"/>
              </w:rPr>
            </w:pPr>
            <w:r w:rsidRPr="00152AE1">
              <w:rPr>
                <w:sz w:val="20"/>
              </w:rPr>
              <w:t>2007</w:t>
            </w:r>
          </w:p>
        </w:tc>
        <w:tc>
          <w:tcPr>
            <w:tcW w:w="716" w:type="dxa"/>
            <w:tcBorders>
              <w:top w:val="single" w:sz="4" w:space="0" w:color="000000"/>
              <w:left w:val="single" w:sz="4" w:space="0" w:color="000000"/>
              <w:bottom w:val="single" w:sz="4" w:space="0" w:color="000000"/>
              <w:right w:val="single" w:sz="4" w:space="0" w:color="000000"/>
            </w:tcBorders>
            <w:hideMark/>
          </w:tcPr>
          <w:p w:rsidR="0077675F" w:rsidRPr="00152AE1" w:rsidRDefault="0077675F" w:rsidP="00152AE1">
            <w:pPr>
              <w:pStyle w:val="StandaardSV"/>
              <w:jc w:val="right"/>
              <w:rPr>
                <w:sz w:val="20"/>
              </w:rPr>
            </w:pPr>
            <w:r w:rsidRPr="00152AE1">
              <w:rPr>
                <w:sz w:val="20"/>
              </w:rPr>
              <w:t>2008</w:t>
            </w:r>
          </w:p>
        </w:tc>
        <w:tc>
          <w:tcPr>
            <w:tcW w:w="766" w:type="dxa"/>
            <w:tcBorders>
              <w:top w:val="single" w:sz="4" w:space="0" w:color="000000"/>
              <w:left w:val="single" w:sz="4" w:space="0" w:color="000000"/>
              <w:bottom w:val="single" w:sz="4" w:space="0" w:color="000000"/>
              <w:right w:val="single" w:sz="4" w:space="0" w:color="000000"/>
            </w:tcBorders>
            <w:hideMark/>
          </w:tcPr>
          <w:p w:rsidR="0077675F" w:rsidRPr="00152AE1" w:rsidRDefault="0077675F" w:rsidP="00152AE1">
            <w:pPr>
              <w:pStyle w:val="StandaardSV"/>
              <w:jc w:val="right"/>
              <w:rPr>
                <w:sz w:val="20"/>
              </w:rPr>
            </w:pPr>
            <w:r w:rsidRPr="00152AE1">
              <w:rPr>
                <w:sz w:val="20"/>
              </w:rPr>
              <w:t xml:space="preserve">2009 </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2010</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2011</w:t>
            </w:r>
          </w:p>
        </w:tc>
      </w:tr>
      <w:tr w:rsidR="0077675F" w:rsidRPr="00152AE1" w:rsidTr="00152AE1">
        <w:trPr>
          <w:trHeight w:val="70"/>
        </w:trPr>
        <w:tc>
          <w:tcPr>
            <w:tcW w:w="1716" w:type="dxa"/>
            <w:tcBorders>
              <w:top w:val="single" w:sz="4" w:space="0" w:color="000000"/>
              <w:left w:val="single" w:sz="4" w:space="0" w:color="000000"/>
              <w:bottom w:val="single" w:sz="4" w:space="0" w:color="000000"/>
              <w:right w:val="single" w:sz="4" w:space="0" w:color="000000"/>
            </w:tcBorders>
            <w:hideMark/>
          </w:tcPr>
          <w:p w:rsidR="0077675F" w:rsidRPr="00152AE1" w:rsidRDefault="0077675F" w:rsidP="00BC1C61">
            <w:pPr>
              <w:pStyle w:val="StandaardSV"/>
              <w:rPr>
                <w:sz w:val="20"/>
              </w:rPr>
            </w:pPr>
            <w:r w:rsidRPr="00152AE1">
              <w:rPr>
                <w:sz w:val="20"/>
              </w:rPr>
              <w:t>West-Vlaanderen</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18</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19</w:t>
            </w:r>
          </w:p>
        </w:tc>
        <w:tc>
          <w:tcPr>
            <w:tcW w:w="76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34</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23</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17</w:t>
            </w:r>
          </w:p>
        </w:tc>
      </w:tr>
      <w:tr w:rsidR="0077675F"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77675F" w:rsidRPr="00152AE1" w:rsidRDefault="0077675F" w:rsidP="00BC1C61">
            <w:pPr>
              <w:pStyle w:val="StandaardSV"/>
              <w:rPr>
                <w:sz w:val="20"/>
              </w:rPr>
            </w:pPr>
            <w:r w:rsidRPr="00152AE1">
              <w:rPr>
                <w:sz w:val="20"/>
              </w:rPr>
              <w:t>Oost-Vlaanderen</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22</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23</w:t>
            </w:r>
          </w:p>
        </w:tc>
        <w:tc>
          <w:tcPr>
            <w:tcW w:w="76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36</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33</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27</w:t>
            </w:r>
          </w:p>
        </w:tc>
      </w:tr>
      <w:tr w:rsidR="0077675F"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77675F" w:rsidRPr="00152AE1" w:rsidRDefault="0077675F" w:rsidP="00BC1C61">
            <w:pPr>
              <w:pStyle w:val="StandaardSV"/>
              <w:rPr>
                <w:sz w:val="20"/>
              </w:rPr>
            </w:pPr>
            <w:r w:rsidRPr="00152AE1">
              <w:rPr>
                <w:sz w:val="20"/>
              </w:rPr>
              <w:t>Antwerpen</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26</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20</w:t>
            </w:r>
          </w:p>
        </w:tc>
        <w:tc>
          <w:tcPr>
            <w:tcW w:w="76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38</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33</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36</w:t>
            </w:r>
          </w:p>
        </w:tc>
      </w:tr>
      <w:tr w:rsidR="0077675F"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77675F" w:rsidRPr="00152AE1" w:rsidRDefault="0077675F" w:rsidP="00BC1C61">
            <w:pPr>
              <w:pStyle w:val="StandaardSV"/>
              <w:rPr>
                <w:sz w:val="20"/>
              </w:rPr>
            </w:pPr>
            <w:r w:rsidRPr="00152AE1">
              <w:rPr>
                <w:sz w:val="20"/>
              </w:rPr>
              <w:t>Limburg</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18</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22</w:t>
            </w:r>
          </w:p>
        </w:tc>
        <w:tc>
          <w:tcPr>
            <w:tcW w:w="76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33</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28</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23</w:t>
            </w:r>
          </w:p>
        </w:tc>
      </w:tr>
      <w:tr w:rsidR="0077675F"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77675F" w:rsidRPr="00152AE1" w:rsidRDefault="0077675F" w:rsidP="00BC1C61">
            <w:pPr>
              <w:pStyle w:val="StandaardSV"/>
              <w:rPr>
                <w:sz w:val="20"/>
              </w:rPr>
            </w:pPr>
            <w:r w:rsidRPr="00152AE1">
              <w:rPr>
                <w:sz w:val="20"/>
              </w:rPr>
              <w:t>Vlaams-Brabant</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15</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77675F" w:rsidP="00152AE1">
            <w:pPr>
              <w:pStyle w:val="StandaardSV"/>
              <w:jc w:val="right"/>
              <w:rPr>
                <w:sz w:val="20"/>
              </w:rPr>
            </w:pPr>
            <w:r w:rsidRPr="00152AE1">
              <w:rPr>
                <w:sz w:val="20"/>
              </w:rPr>
              <w:t>20</w:t>
            </w:r>
          </w:p>
        </w:tc>
        <w:tc>
          <w:tcPr>
            <w:tcW w:w="76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29</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BC1C61" w:rsidP="00152AE1">
            <w:pPr>
              <w:pStyle w:val="StandaardSV"/>
              <w:jc w:val="right"/>
              <w:rPr>
                <w:sz w:val="20"/>
              </w:rPr>
            </w:pPr>
            <w:r w:rsidRPr="00152AE1">
              <w:rPr>
                <w:sz w:val="20"/>
              </w:rPr>
              <w:t>26</w:t>
            </w:r>
          </w:p>
        </w:tc>
        <w:tc>
          <w:tcPr>
            <w:tcW w:w="716" w:type="dxa"/>
            <w:tcBorders>
              <w:top w:val="single" w:sz="4" w:space="0" w:color="000000"/>
              <w:left w:val="single" w:sz="4" w:space="0" w:color="000000"/>
              <w:bottom w:val="single" w:sz="4" w:space="0" w:color="000000"/>
              <w:right w:val="single" w:sz="4" w:space="0" w:color="000000"/>
            </w:tcBorders>
          </w:tcPr>
          <w:p w:rsidR="0077675F" w:rsidRPr="00152AE1" w:rsidRDefault="005C1F94" w:rsidP="00152AE1">
            <w:pPr>
              <w:pStyle w:val="StandaardSV"/>
              <w:jc w:val="right"/>
              <w:rPr>
                <w:sz w:val="20"/>
              </w:rPr>
            </w:pPr>
            <w:r w:rsidRPr="00152AE1">
              <w:rPr>
                <w:sz w:val="20"/>
              </w:rPr>
              <w:t>24</w:t>
            </w:r>
          </w:p>
        </w:tc>
      </w:tr>
    </w:tbl>
    <w:p w:rsidR="0077675F" w:rsidRDefault="0077675F" w:rsidP="00BB0E52">
      <w:pPr>
        <w:pStyle w:val="StandaardSV"/>
        <w:rPr>
          <w:b/>
        </w:rPr>
      </w:pPr>
    </w:p>
    <w:p w:rsidR="0033547C" w:rsidRDefault="001E77B2" w:rsidP="00152AE1">
      <w:pPr>
        <w:pStyle w:val="StandaardSV"/>
        <w:numPr>
          <w:ilvl w:val="0"/>
          <w:numId w:val="28"/>
        </w:numPr>
        <w:rPr>
          <w:b/>
        </w:rPr>
      </w:pPr>
      <w:r>
        <w:rPr>
          <w:b/>
        </w:rPr>
        <w:t>D</w:t>
      </w:r>
      <w:r w:rsidR="00B43096" w:rsidRPr="00B43096">
        <w:rPr>
          <w:b/>
        </w:rPr>
        <w:t xml:space="preserve">oor </w:t>
      </w:r>
      <w:r w:rsidR="00152AE1">
        <w:rPr>
          <w:b/>
        </w:rPr>
        <w:t xml:space="preserve">het </w:t>
      </w:r>
      <w:r w:rsidR="00B43096" w:rsidRPr="00B43096">
        <w:rPr>
          <w:b/>
        </w:rPr>
        <w:t xml:space="preserve">IWT goedgekeurde projecten, aangebracht via de </w:t>
      </w:r>
      <w:r w:rsidR="00152AE1">
        <w:rPr>
          <w:b/>
        </w:rPr>
        <w:t>I</w:t>
      </w:r>
      <w:r w:rsidR="00B43096" w:rsidRPr="00B43096">
        <w:rPr>
          <w:b/>
        </w:rPr>
        <w:t>nnovatiecentra</w:t>
      </w:r>
    </w:p>
    <w:p w:rsidR="001E77B2" w:rsidRDefault="001E77B2" w:rsidP="00BB0E52">
      <w:pPr>
        <w:pStyle w:val="StandaardSV"/>
      </w:pPr>
    </w:p>
    <w:p w:rsidR="00B43096" w:rsidRDefault="00B43096" w:rsidP="00BB0E52">
      <w:pPr>
        <w:pStyle w:val="StandaardSV"/>
        <w:rPr>
          <w:b/>
        </w:rPr>
      </w:pPr>
      <w:r>
        <w:t>Ondanks het feit dat de Innovatiecentra hier vooral die bedrijven helpen die de weg naar het IWT nog niet zo goed kennen</w:t>
      </w:r>
      <w:r w:rsidR="00152AE1">
        <w:t>,</w:t>
      </w:r>
      <w:r>
        <w:t xml:space="preserve"> slagen zij erin om het </w:t>
      </w:r>
      <w:r w:rsidR="00152AE1">
        <w:t>“</w:t>
      </w:r>
      <w:r>
        <w:t>slaagpercentage</w:t>
      </w:r>
      <w:r w:rsidR="00152AE1">
        <w:t>”</w:t>
      </w:r>
      <w:r>
        <w:t xml:space="preserve"> van </w:t>
      </w:r>
      <w:r w:rsidR="00152AE1">
        <w:t>“</w:t>
      </w:r>
      <w:r>
        <w:t>ervaren</w:t>
      </w:r>
      <w:r w:rsidR="00152AE1">
        <w:t>”</w:t>
      </w:r>
      <w:r>
        <w:t xml:space="preserve"> bedrijven te evenaren. </w:t>
      </w:r>
    </w:p>
    <w:p w:rsidR="00B43096" w:rsidRDefault="00B43096" w:rsidP="00BB0E52">
      <w:pPr>
        <w:pStyle w:val="StandaardSV"/>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716"/>
        <w:gridCol w:w="716"/>
        <w:gridCol w:w="766"/>
        <w:gridCol w:w="716"/>
        <w:gridCol w:w="716"/>
      </w:tblGrid>
      <w:tr w:rsidR="00B43096" w:rsidRPr="00152AE1" w:rsidTr="00152AE1">
        <w:tc>
          <w:tcPr>
            <w:tcW w:w="1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C769AD">
            <w:pPr>
              <w:pStyle w:val="StandaardSV"/>
              <w:rPr>
                <w:sz w:val="20"/>
              </w:rPr>
            </w:pPr>
          </w:p>
        </w:tc>
        <w:tc>
          <w:tcPr>
            <w:tcW w:w="716" w:type="dxa"/>
            <w:tcBorders>
              <w:top w:val="single" w:sz="4" w:space="0" w:color="000000"/>
              <w:left w:val="single" w:sz="4" w:space="0" w:color="000000"/>
              <w:bottom w:val="single" w:sz="4" w:space="0" w:color="000000"/>
              <w:right w:val="single" w:sz="4" w:space="0" w:color="000000"/>
            </w:tcBorders>
            <w:hideMark/>
          </w:tcPr>
          <w:p w:rsidR="00B43096" w:rsidRPr="00152AE1" w:rsidRDefault="00B43096" w:rsidP="00152AE1">
            <w:pPr>
              <w:pStyle w:val="StandaardSV"/>
              <w:jc w:val="right"/>
              <w:rPr>
                <w:sz w:val="20"/>
              </w:rPr>
            </w:pPr>
            <w:r w:rsidRPr="00152AE1">
              <w:rPr>
                <w:sz w:val="20"/>
              </w:rPr>
              <w:t>2007</w:t>
            </w:r>
          </w:p>
        </w:tc>
        <w:tc>
          <w:tcPr>
            <w:tcW w:w="716" w:type="dxa"/>
            <w:tcBorders>
              <w:top w:val="single" w:sz="4" w:space="0" w:color="000000"/>
              <w:left w:val="single" w:sz="4" w:space="0" w:color="000000"/>
              <w:bottom w:val="single" w:sz="4" w:space="0" w:color="000000"/>
              <w:right w:val="single" w:sz="4" w:space="0" w:color="000000"/>
            </w:tcBorders>
            <w:hideMark/>
          </w:tcPr>
          <w:p w:rsidR="00B43096" w:rsidRPr="00152AE1" w:rsidRDefault="00B43096" w:rsidP="00152AE1">
            <w:pPr>
              <w:pStyle w:val="StandaardSV"/>
              <w:jc w:val="right"/>
              <w:rPr>
                <w:sz w:val="20"/>
              </w:rPr>
            </w:pPr>
            <w:r w:rsidRPr="00152AE1">
              <w:rPr>
                <w:sz w:val="20"/>
              </w:rPr>
              <w:t>2008</w:t>
            </w:r>
          </w:p>
        </w:tc>
        <w:tc>
          <w:tcPr>
            <w:tcW w:w="766" w:type="dxa"/>
            <w:tcBorders>
              <w:top w:val="single" w:sz="4" w:space="0" w:color="000000"/>
              <w:left w:val="single" w:sz="4" w:space="0" w:color="000000"/>
              <w:bottom w:val="single" w:sz="4" w:space="0" w:color="000000"/>
              <w:right w:val="single" w:sz="4" w:space="0" w:color="000000"/>
            </w:tcBorders>
            <w:hideMark/>
          </w:tcPr>
          <w:p w:rsidR="00B43096" w:rsidRPr="00152AE1" w:rsidRDefault="00B43096" w:rsidP="00152AE1">
            <w:pPr>
              <w:pStyle w:val="StandaardSV"/>
              <w:jc w:val="right"/>
              <w:rPr>
                <w:sz w:val="20"/>
              </w:rPr>
            </w:pPr>
            <w:r w:rsidRPr="00152AE1">
              <w:rPr>
                <w:sz w:val="20"/>
              </w:rPr>
              <w:t xml:space="preserve">2009 </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2010</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2011</w:t>
            </w:r>
          </w:p>
        </w:tc>
      </w:tr>
      <w:tr w:rsidR="00B43096"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B43096" w:rsidRPr="00152AE1" w:rsidRDefault="00B43096" w:rsidP="00C769AD">
            <w:pPr>
              <w:pStyle w:val="StandaardSV"/>
              <w:rPr>
                <w:sz w:val="20"/>
              </w:rPr>
            </w:pPr>
            <w:r w:rsidRPr="00152AE1">
              <w:rPr>
                <w:sz w:val="20"/>
              </w:rPr>
              <w:t>West-Vlaanderen</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w:t>
            </w:r>
            <w:r w:rsidR="00BE6901" w:rsidRPr="00152AE1">
              <w:rPr>
                <w:sz w:val="20"/>
              </w:rPr>
              <w:t>4</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w:t>
            </w:r>
            <w:r w:rsidR="00932E84" w:rsidRPr="00152AE1">
              <w:rPr>
                <w:sz w:val="20"/>
              </w:rPr>
              <w:t>6</w:t>
            </w:r>
          </w:p>
        </w:tc>
        <w:tc>
          <w:tcPr>
            <w:tcW w:w="76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25</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12</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13</w:t>
            </w:r>
          </w:p>
        </w:tc>
      </w:tr>
      <w:tr w:rsidR="00B43096"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B43096" w:rsidRPr="00152AE1" w:rsidRDefault="00B43096" w:rsidP="00C769AD">
            <w:pPr>
              <w:pStyle w:val="StandaardSV"/>
              <w:rPr>
                <w:sz w:val="20"/>
              </w:rPr>
            </w:pPr>
            <w:r w:rsidRPr="00152AE1">
              <w:rPr>
                <w:sz w:val="20"/>
              </w:rPr>
              <w:t>Oost-Vlaanderen</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16</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18</w:t>
            </w:r>
          </w:p>
        </w:tc>
        <w:tc>
          <w:tcPr>
            <w:tcW w:w="76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24</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25</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18</w:t>
            </w:r>
          </w:p>
        </w:tc>
      </w:tr>
      <w:tr w:rsidR="00B43096"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B43096" w:rsidRPr="00152AE1" w:rsidRDefault="00B43096" w:rsidP="00C769AD">
            <w:pPr>
              <w:pStyle w:val="StandaardSV"/>
              <w:rPr>
                <w:sz w:val="20"/>
              </w:rPr>
            </w:pPr>
            <w:r w:rsidRPr="00152AE1">
              <w:rPr>
                <w:sz w:val="20"/>
              </w:rPr>
              <w:t>Antwerpen</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17</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9</w:t>
            </w:r>
          </w:p>
        </w:tc>
        <w:tc>
          <w:tcPr>
            <w:tcW w:w="76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24</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19</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25</w:t>
            </w:r>
          </w:p>
        </w:tc>
      </w:tr>
      <w:tr w:rsidR="00B43096"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B43096" w:rsidRPr="00152AE1" w:rsidRDefault="00B43096" w:rsidP="00C769AD">
            <w:pPr>
              <w:pStyle w:val="StandaardSV"/>
              <w:rPr>
                <w:sz w:val="20"/>
              </w:rPr>
            </w:pPr>
            <w:r w:rsidRPr="00152AE1">
              <w:rPr>
                <w:sz w:val="20"/>
              </w:rPr>
              <w:t>Limburg</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13</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18</w:t>
            </w:r>
          </w:p>
        </w:tc>
        <w:tc>
          <w:tcPr>
            <w:tcW w:w="76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26</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21</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12</w:t>
            </w:r>
          </w:p>
        </w:tc>
      </w:tr>
      <w:tr w:rsidR="00B43096"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B43096" w:rsidRPr="00152AE1" w:rsidRDefault="00B43096" w:rsidP="00C769AD">
            <w:pPr>
              <w:pStyle w:val="StandaardSV"/>
              <w:rPr>
                <w:sz w:val="20"/>
              </w:rPr>
            </w:pPr>
            <w:r w:rsidRPr="00152AE1">
              <w:rPr>
                <w:sz w:val="20"/>
              </w:rPr>
              <w:t>Vlaams-Brabant</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9</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14</w:t>
            </w:r>
          </w:p>
        </w:tc>
        <w:tc>
          <w:tcPr>
            <w:tcW w:w="76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17</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18</w:t>
            </w:r>
          </w:p>
        </w:tc>
        <w:tc>
          <w:tcPr>
            <w:tcW w:w="716" w:type="dxa"/>
            <w:tcBorders>
              <w:top w:val="single" w:sz="4" w:space="0" w:color="000000"/>
              <w:left w:val="single" w:sz="4" w:space="0" w:color="000000"/>
              <w:bottom w:val="single" w:sz="4" w:space="0" w:color="000000"/>
              <w:right w:val="single" w:sz="4" w:space="0" w:color="000000"/>
            </w:tcBorders>
          </w:tcPr>
          <w:p w:rsidR="00B43096" w:rsidRPr="00152AE1" w:rsidRDefault="00B43096" w:rsidP="00152AE1">
            <w:pPr>
              <w:pStyle w:val="StandaardSV"/>
              <w:jc w:val="right"/>
              <w:rPr>
                <w:sz w:val="20"/>
              </w:rPr>
            </w:pPr>
            <w:r w:rsidRPr="00152AE1">
              <w:rPr>
                <w:sz w:val="20"/>
              </w:rPr>
              <w:t>17</w:t>
            </w:r>
          </w:p>
        </w:tc>
      </w:tr>
    </w:tbl>
    <w:p w:rsidR="00B43096" w:rsidRDefault="00B43096" w:rsidP="00B43096">
      <w:pPr>
        <w:pStyle w:val="StandaardSV"/>
        <w:rPr>
          <w:b/>
        </w:rPr>
      </w:pPr>
    </w:p>
    <w:p w:rsidR="00F305C9" w:rsidRDefault="00F305C9" w:rsidP="00B43096">
      <w:pPr>
        <w:pStyle w:val="StandaardSV"/>
        <w:rPr>
          <w:b/>
        </w:rPr>
      </w:pPr>
      <w:r w:rsidRPr="00F305C9">
        <w:rPr>
          <w:b/>
        </w:rPr>
        <w:t>10</w:t>
      </w:r>
      <w:r w:rsidR="00152AE1">
        <w:rPr>
          <w:b/>
        </w:rPr>
        <w:t>&amp;</w:t>
      </w:r>
      <w:r w:rsidR="00174AE4">
        <w:rPr>
          <w:b/>
        </w:rPr>
        <w:t>11</w:t>
      </w:r>
      <w:r w:rsidRPr="00F305C9">
        <w:rPr>
          <w:b/>
        </w:rPr>
        <w:t xml:space="preserve">. </w:t>
      </w:r>
      <w:r w:rsidR="001E77B2">
        <w:rPr>
          <w:b/>
        </w:rPr>
        <w:t>T</w:t>
      </w:r>
      <w:r w:rsidRPr="00F305C9">
        <w:rPr>
          <w:b/>
        </w:rPr>
        <w:t>oegekende subsidies</w:t>
      </w:r>
      <w:r w:rsidR="00E20B04">
        <w:rPr>
          <w:b/>
        </w:rPr>
        <w:t xml:space="preserve"> </w:t>
      </w:r>
      <w:r w:rsidRPr="00F305C9">
        <w:rPr>
          <w:b/>
        </w:rPr>
        <w:t xml:space="preserve">voor projecten begeleid door </w:t>
      </w:r>
      <w:r w:rsidR="00152AE1">
        <w:rPr>
          <w:b/>
        </w:rPr>
        <w:t>de I</w:t>
      </w:r>
      <w:r w:rsidRPr="00F305C9">
        <w:rPr>
          <w:b/>
        </w:rPr>
        <w:t>nnovatiecentra.</w:t>
      </w:r>
    </w:p>
    <w:p w:rsidR="0033547C" w:rsidRDefault="0033547C" w:rsidP="00B43096">
      <w:pPr>
        <w:pStyle w:val="StandaardSV"/>
      </w:pPr>
    </w:p>
    <w:p w:rsidR="00174AE4" w:rsidRDefault="00174AE4" w:rsidP="00B43096">
      <w:pPr>
        <w:pStyle w:val="StandaardSV"/>
      </w:pPr>
      <w:r>
        <w:t xml:space="preserve">We merken op dat de Innovatiecentra vanuit hun frontoffice functie vooral moeten proberen om zoveel mogelijk bedrijven te bewegen tot innovatie en wel op </w:t>
      </w:r>
      <w:r w:rsidR="00152AE1">
        <w:t>e</w:t>
      </w:r>
      <w:r>
        <w:t xml:space="preserve">en </w:t>
      </w:r>
      <w:r w:rsidR="00152AE1">
        <w:t xml:space="preserve">dusdanige </w:t>
      </w:r>
      <w:r>
        <w:t xml:space="preserve">manier dat innoveren deel gaat uitmaken van hun bedrijfscultuur en een duurzaam proces wordt. De subsidiebedragen die door het IWT worden toegekend aan de projecten zijn voor de Innovatiecentra van ondergeschikt belang. </w:t>
      </w:r>
      <w:r>
        <w:lastRenderedPageBreak/>
        <w:t xml:space="preserve">Het is zeker niet de bedoeling dat de innovatieadviseurs zich bij hun begeleiding zouden focussen op dossiers met een zwaar budget: </w:t>
      </w:r>
      <w:r w:rsidR="00152AE1">
        <w:t>“</w:t>
      </w:r>
      <w:r>
        <w:t>kleine</w:t>
      </w:r>
      <w:r w:rsidR="00152AE1">
        <w:t>”</w:t>
      </w:r>
      <w:r>
        <w:t xml:space="preserve"> projecten verdienen evenzeer begeleid te worden</w:t>
      </w:r>
      <w:r w:rsidR="009217D1">
        <w:t>.</w:t>
      </w:r>
      <w:r>
        <w:t xml:space="preserve"> De Innovatiecentra begeleiden vooral die dossiers waar hun toegevoegde waarde het grootst is.</w:t>
      </w:r>
      <w:r w:rsidR="0094173C">
        <w:t xml:space="preserve"> </w:t>
      </w:r>
    </w:p>
    <w:p w:rsidR="0094173C" w:rsidRDefault="0094173C" w:rsidP="00B43096">
      <w:pPr>
        <w:pStyle w:val="StandaardSV"/>
      </w:pPr>
    </w:p>
    <w:p w:rsidR="00F305C9" w:rsidRDefault="0094173C" w:rsidP="00F305C9">
      <w:pPr>
        <w:pStyle w:val="StandaardSV"/>
        <w:rPr>
          <w:b/>
        </w:rPr>
      </w:pPr>
      <w:r>
        <w:t>Onderstaande tabel geeft de totale toegekende subsidie en leningen (bedragen tussen haakjes) voor dossiers waarin de Innovatiecentra begeleid hebben (per jaar en per Innovatiecentrum).</w:t>
      </w:r>
      <w:r>
        <w:br/>
      </w:r>
    </w:p>
    <w:p w:rsidR="00F305C9" w:rsidRDefault="00F305C9" w:rsidP="00F305C9">
      <w:pPr>
        <w:pStyle w:val="StandaardSV"/>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240"/>
        <w:gridCol w:w="1107"/>
        <w:gridCol w:w="1107"/>
        <w:gridCol w:w="1107"/>
        <w:gridCol w:w="1107"/>
      </w:tblGrid>
      <w:tr w:rsidR="00F305C9" w:rsidRPr="00152AE1" w:rsidTr="00152AE1">
        <w:tc>
          <w:tcPr>
            <w:tcW w:w="1716" w:type="dxa"/>
            <w:tcBorders>
              <w:top w:val="single" w:sz="4" w:space="0" w:color="000000"/>
              <w:left w:val="single" w:sz="4" w:space="0" w:color="000000"/>
              <w:bottom w:val="single" w:sz="4" w:space="0" w:color="000000"/>
              <w:right w:val="single" w:sz="4" w:space="0" w:color="000000"/>
            </w:tcBorders>
          </w:tcPr>
          <w:p w:rsidR="00F305C9" w:rsidRPr="00152AE1" w:rsidRDefault="00F305C9" w:rsidP="00F305C9">
            <w:pPr>
              <w:pStyle w:val="StandaardSV"/>
              <w:rPr>
                <w:sz w:val="20"/>
              </w:rPr>
            </w:pPr>
          </w:p>
        </w:tc>
        <w:tc>
          <w:tcPr>
            <w:tcW w:w="1240" w:type="dxa"/>
            <w:tcBorders>
              <w:top w:val="single" w:sz="4" w:space="0" w:color="000000"/>
              <w:left w:val="single" w:sz="4" w:space="0" w:color="000000"/>
              <w:bottom w:val="single" w:sz="4" w:space="0" w:color="000000"/>
              <w:right w:val="single" w:sz="4" w:space="0" w:color="000000"/>
            </w:tcBorders>
            <w:hideMark/>
          </w:tcPr>
          <w:p w:rsidR="00F305C9" w:rsidRPr="00152AE1" w:rsidRDefault="00F305C9" w:rsidP="00DA65E5">
            <w:pPr>
              <w:pStyle w:val="StandaardSV"/>
              <w:jc w:val="right"/>
              <w:rPr>
                <w:sz w:val="20"/>
              </w:rPr>
            </w:pPr>
            <w:r w:rsidRPr="00152AE1">
              <w:rPr>
                <w:sz w:val="20"/>
              </w:rPr>
              <w:t>2007</w:t>
            </w:r>
          </w:p>
        </w:tc>
        <w:tc>
          <w:tcPr>
            <w:tcW w:w="1107" w:type="dxa"/>
            <w:tcBorders>
              <w:top w:val="single" w:sz="4" w:space="0" w:color="000000"/>
              <w:left w:val="single" w:sz="4" w:space="0" w:color="000000"/>
              <w:bottom w:val="single" w:sz="4" w:space="0" w:color="000000"/>
              <w:right w:val="single" w:sz="4" w:space="0" w:color="000000"/>
            </w:tcBorders>
            <w:hideMark/>
          </w:tcPr>
          <w:p w:rsidR="00F305C9" w:rsidRPr="00152AE1" w:rsidRDefault="00F305C9" w:rsidP="00DA65E5">
            <w:pPr>
              <w:pStyle w:val="StandaardSV"/>
              <w:jc w:val="right"/>
              <w:rPr>
                <w:sz w:val="20"/>
              </w:rPr>
            </w:pPr>
            <w:r w:rsidRPr="00152AE1">
              <w:rPr>
                <w:sz w:val="20"/>
              </w:rPr>
              <w:t>2008</w:t>
            </w:r>
          </w:p>
        </w:tc>
        <w:tc>
          <w:tcPr>
            <w:tcW w:w="1107" w:type="dxa"/>
            <w:tcBorders>
              <w:top w:val="single" w:sz="4" w:space="0" w:color="000000"/>
              <w:left w:val="single" w:sz="4" w:space="0" w:color="000000"/>
              <w:bottom w:val="single" w:sz="4" w:space="0" w:color="000000"/>
              <w:right w:val="single" w:sz="4" w:space="0" w:color="000000"/>
            </w:tcBorders>
            <w:hideMark/>
          </w:tcPr>
          <w:p w:rsidR="00F305C9" w:rsidRPr="00152AE1" w:rsidRDefault="00F305C9" w:rsidP="00DA65E5">
            <w:pPr>
              <w:pStyle w:val="StandaardSV"/>
              <w:jc w:val="right"/>
              <w:rPr>
                <w:sz w:val="20"/>
              </w:rPr>
            </w:pPr>
            <w:r w:rsidRPr="00152AE1">
              <w:rPr>
                <w:sz w:val="20"/>
              </w:rPr>
              <w:t xml:space="preserve">2009 </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F305C9" w:rsidP="00DA65E5">
            <w:pPr>
              <w:pStyle w:val="StandaardSV"/>
              <w:jc w:val="right"/>
              <w:rPr>
                <w:sz w:val="20"/>
              </w:rPr>
            </w:pPr>
            <w:r w:rsidRPr="00152AE1">
              <w:rPr>
                <w:sz w:val="20"/>
              </w:rPr>
              <w:t>2010</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F305C9" w:rsidP="00DA65E5">
            <w:pPr>
              <w:pStyle w:val="StandaardSV"/>
              <w:jc w:val="right"/>
              <w:rPr>
                <w:sz w:val="20"/>
              </w:rPr>
            </w:pPr>
            <w:r w:rsidRPr="00152AE1">
              <w:rPr>
                <w:sz w:val="20"/>
              </w:rPr>
              <w:t>2011</w:t>
            </w:r>
          </w:p>
        </w:tc>
      </w:tr>
      <w:tr w:rsidR="00F305C9"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F305C9" w:rsidRPr="00152AE1" w:rsidRDefault="00F305C9" w:rsidP="00F305C9">
            <w:pPr>
              <w:pStyle w:val="StandaardSV"/>
              <w:rPr>
                <w:sz w:val="20"/>
              </w:rPr>
            </w:pPr>
            <w:r w:rsidRPr="00152AE1">
              <w:rPr>
                <w:sz w:val="20"/>
              </w:rPr>
              <w:t>West-Vlaanderen</w:t>
            </w:r>
          </w:p>
        </w:tc>
        <w:tc>
          <w:tcPr>
            <w:tcW w:w="1240" w:type="dxa"/>
            <w:tcBorders>
              <w:top w:val="single" w:sz="4" w:space="0" w:color="000000"/>
              <w:left w:val="single" w:sz="4" w:space="0" w:color="000000"/>
              <w:bottom w:val="single" w:sz="4" w:space="0" w:color="000000"/>
              <w:right w:val="single" w:sz="4" w:space="0" w:color="000000"/>
            </w:tcBorders>
          </w:tcPr>
          <w:p w:rsidR="00F305C9" w:rsidRPr="00152AE1" w:rsidRDefault="00BE6901" w:rsidP="00DA65E5">
            <w:pPr>
              <w:pStyle w:val="StandaardSV"/>
              <w:jc w:val="right"/>
              <w:rPr>
                <w:sz w:val="20"/>
              </w:rPr>
            </w:pPr>
            <w:r w:rsidRPr="00152AE1">
              <w:rPr>
                <w:sz w:val="20"/>
              </w:rPr>
              <w:t>580.355</w:t>
            </w:r>
          </w:p>
          <w:p w:rsidR="00BE6901" w:rsidRPr="00152AE1" w:rsidRDefault="00BE6901" w:rsidP="00DA65E5">
            <w:pPr>
              <w:pStyle w:val="StandaardSV"/>
              <w:jc w:val="right"/>
              <w:rPr>
                <w:sz w:val="20"/>
              </w:rPr>
            </w:pPr>
            <w:r w:rsidRPr="00152AE1">
              <w:rPr>
                <w:sz w:val="20"/>
              </w:rPr>
              <w:t>(62.957)</w:t>
            </w:r>
          </w:p>
          <w:p w:rsidR="00F305C9" w:rsidRPr="00152AE1" w:rsidRDefault="00F305C9" w:rsidP="00DA65E5">
            <w:pPr>
              <w:pStyle w:val="StandaardSV"/>
              <w:jc w:val="right"/>
              <w:rPr>
                <w:sz w:val="20"/>
              </w:rPr>
            </w:pP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83248E" w:rsidP="00DA65E5">
            <w:pPr>
              <w:pStyle w:val="StandaardSV"/>
              <w:jc w:val="right"/>
              <w:rPr>
                <w:sz w:val="20"/>
              </w:rPr>
            </w:pPr>
            <w:r w:rsidRPr="00152AE1">
              <w:rPr>
                <w:sz w:val="20"/>
              </w:rPr>
              <w:t>1.264.907</w:t>
            </w:r>
          </w:p>
          <w:p w:rsidR="0083248E" w:rsidRPr="00152AE1" w:rsidRDefault="0083248E" w:rsidP="00DA65E5">
            <w:pPr>
              <w:pStyle w:val="StandaardSV"/>
              <w:jc w:val="right"/>
              <w:rPr>
                <w:sz w:val="20"/>
              </w:rPr>
            </w:pPr>
            <w:r w:rsidRPr="00152AE1">
              <w:rPr>
                <w:sz w:val="20"/>
              </w:rPr>
              <w:t>(0)</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650D84" w:rsidP="00DA65E5">
            <w:pPr>
              <w:pStyle w:val="StandaardSV"/>
              <w:jc w:val="right"/>
              <w:rPr>
                <w:sz w:val="20"/>
              </w:rPr>
            </w:pPr>
            <w:r w:rsidRPr="00152AE1">
              <w:rPr>
                <w:sz w:val="20"/>
              </w:rPr>
              <w:t>2.454.692</w:t>
            </w:r>
          </w:p>
          <w:p w:rsidR="00650D84" w:rsidRPr="00152AE1" w:rsidRDefault="00650D84" w:rsidP="00DA65E5">
            <w:pPr>
              <w:pStyle w:val="StandaardSV"/>
              <w:jc w:val="right"/>
              <w:rPr>
                <w:sz w:val="20"/>
              </w:rPr>
            </w:pPr>
            <w:r w:rsidRPr="00152AE1">
              <w:rPr>
                <w:sz w:val="20"/>
              </w:rPr>
              <w:t>(44.000)</w:t>
            </w:r>
          </w:p>
          <w:p w:rsidR="00F305C9" w:rsidRPr="00152AE1" w:rsidRDefault="00F305C9" w:rsidP="00DA65E5">
            <w:pPr>
              <w:pStyle w:val="StandaardSV"/>
              <w:jc w:val="right"/>
              <w:rPr>
                <w:sz w:val="20"/>
              </w:rPr>
            </w:pP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B905C0" w:rsidP="00DA65E5">
            <w:pPr>
              <w:pStyle w:val="StandaardSV"/>
              <w:jc w:val="right"/>
              <w:rPr>
                <w:sz w:val="20"/>
              </w:rPr>
            </w:pPr>
            <w:r w:rsidRPr="00152AE1">
              <w:rPr>
                <w:sz w:val="20"/>
              </w:rPr>
              <w:t>1.267.292</w:t>
            </w:r>
          </w:p>
          <w:p w:rsidR="00B905C0" w:rsidRPr="00152AE1" w:rsidRDefault="00B905C0" w:rsidP="00DA65E5">
            <w:pPr>
              <w:pStyle w:val="StandaardSV"/>
              <w:jc w:val="right"/>
              <w:rPr>
                <w:sz w:val="20"/>
              </w:rPr>
            </w:pPr>
            <w:r w:rsidRPr="00152AE1">
              <w:rPr>
                <w:sz w:val="20"/>
              </w:rPr>
              <w:t>(38.155)</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B905C0" w:rsidP="00DA65E5">
            <w:pPr>
              <w:pStyle w:val="StandaardSV"/>
              <w:jc w:val="right"/>
              <w:rPr>
                <w:sz w:val="20"/>
              </w:rPr>
            </w:pPr>
            <w:r w:rsidRPr="00152AE1">
              <w:rPr>
                <w:sz w:val="20"/>
              </w:rPr>
              <w:t>986.744</w:t>
            </w:r>
          </w:p>
          <w:p w:rsidR="00B905C0" w:rsidRPr="00152AE1" w:rsidRDefault="00B905C0" w:rsidP="00DA65E5">
            <w:pPr>
              <w:pStyle w:val="StandaardSV"/>
              <w:jc w:val="right"/>
              <w:rPr>
                <w:sz w:val="20"/>
              </w:rPr>
            </w:pPr>
            <w:r w:rsidRPr="00152AE1">
              <w:rPr>
                <w:sz w:val="20"/>
              </w:rPr>
              <w:t>(0)</w:t>
            </w:r>
          </w:p>
        </w:tc>
      </w:tr>
      <w:tr w:rsidR="00F305C9"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F305C9" w:rsidRPr="00152AE1" w:rsidRDefault="00F305C9" w:rsidP="00F305C9">
            <w:pPr>
              <w:pStyle w:val="StandaardSV"/>
              <w:rPr>
                <w:sz w:val="20"/>
              </w:rPr>
            </w:pPr>
            <w:r w:rsidRPr="00152AE1">
              <w:rPr>
                <w:sz w:val="20"/>
              </w:rPr>
              <w:t>Oost-Vlaanderen</w:t>
            </w:r>
          </w:p>
        </w:tc>
        <w:tc>
          <w:tcPr>
            <w:tcW w:w="1240" w:type="dxa"/>
            <w:tcBorders>
              <w:top w:val="single" w:sz="4" w:space="0" w:color="000000"/>
              <w:left w:val="single" w:sz="4" w:space="0" w:color="000000"/>
              <w:bottom w:val="single" w:sz="4" w:space="0" w:color="000000"/>
              <w:right w:val="single" w:sz="4" w:space="0" w:color="000000"/>
            </w:tcBorders>
          </w:tcPr>
          <w:p w:rsidR="00F305C9" w:rsidRPr="00152AE1" w:rsidRDefault="00641BAB" w:rsidP="00DA65E5">
            <w:pPr>
              <w:pStyle w:val="StandaardSV"/>
              <w:jc w:val="right"/>
              <w:rPr>
                <w:sz w:val="20"/>
              </w:rPr>
            </w:pPr>
            <w:r w:rsidRPr="00152AE1">
              <w:rPr>
                <w:sz w:val="20"/>
              </w:rPr>
              <w:t>1.441.464</w:t>
            </w:r>
          </w:p>
          <w:p w:rsidR="00641BAB" w:rsidRPr="00152AE1" w:rsidRDefault="00641BAB" w:rsidP="00DA65E5">
            <w:pPr>
              <w:pStyle w:val="StandaardSV"/>
              <w:jc w:val="right"/>
              <w:rPr>
                <w:sz w:val="20"/>
              </w:rPr>
            </w:pPr>
            <w:r w:rsidRPr="00152AE1">
              <w:rPr>
                <w:sz w:val="20"/>
              </w:rPr>
              <w:t>(598.938)</w:t>
            </w:r>
          </w:p>
          <w:p w:rsidR="00F305C9" w:rsidRPr="00152AE1" w:rsidRDefault="00F305C9" w:rsidP="00DA65E5">
            <w:pPr>
              <w:pStyle w:val="StandaardSV"/>
              <w:jc w:val="right"/>
              <w:rPr>
                <w:sz w:val="20"/>
              </w:rPr>
            </w:pP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100C28" w:rsidP="00DA65E5">
            <w:pPr>
              <w:pStyle w:val="StandaardSV"/>
              <w:jc w:val="right"/>
              <w:rPr>
                <w:sz w:val="20"/>
              </w:rPr>
            </w:pPr>
            <w:r w:rsidRPr="00152AE1">
              <w:rPr>
                <w:sz w:val="20"/>
              </w:rPr>
              <w:t>2.955.478</w:t>
            </w:r>
          </w:p>
          <w:p w:rsidR="00100C28" w:rsidRPr="00152AE1" w:rsidRDefault="00100C28" w:rsidP="00DA65E5">
            <w:pPr>
              <w:pStyle w:val="StandaardSV"/>
              <w:jc w:val="right"/>
              <w:rPr>
                <w:sz w:val="20"/>
              </w:rPr>
            </w:pPr>
            <w:r w:rsidRPr="00152AE1">
              <w:rPr>
                <w:sz w:val="20"/>
              </w:rPr>
              <w:t>(390.614)</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946F24" w:rsidP="00DA65E5">
            <w:pPr>
              <w:pStyle w:val="StandaardSV"/>
              <w:jc w:val="right"/>
              <w:rPr>
                <w:sz w:val="20"/>
              </w:rPr>
            </w:pPr>
            <w:r w:rsidRPr="00152AE1">
              <w:rPr>
                <w:sz w:val="20"/>
              </w:rPr>
              <w:t>4.138.309</w:t>
            </w:r>
          </w:p>
          <w:p w:rsidR="00946F24" w:rsidRPr="00152AE1" w:rsidRDefault="00946F24" w:rsidP="00DA65E5">
            <w:pPr>
              <w:pStyle w:val="StandaardSV"/>
              <w:jc w:val="right"/>
              <w:rPr>
                <w:sz w:val="20"/>
              </w:rPr>
            </w:pPr>
            <w:r w:rsidRPr="00152AE1">
              <w:rPr>
                <w:sz w:val="20"/>
              </w:rPr>
              <w:t>(258.645)</w:t>
            </w:r>
          </w:p>
          <w:p w:rsidR="00F305C9" w:rsidRPr="00152AE1" w:rsidRDefault="00F305C9" w:rsidP="00DA65E5">
            <w:pPr>
              <w:pStyle w:val="StandaardSV"/>
              <w:jc w:val="right"/>
              <w:rPr>
                <w:sz w:val="20"/>
              </w:rPr>
            </w:pP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2D0139" w:rsidP="00DA65E5">
            <w:pPr>
              <w:pStyle w:val="StandaardSV"/>
              <w:jc w:val="right"/>
              <w:rPr>
                <w:sz w:val="20"/>
              </w:rPr>
            </w:pPr>
            <w:r w:rsidRPr="00152AE1">
              <w:rPr>
                <w:sz w:val="20"/>
              </w:rPr>
              <w:t>1.998.924</w:t>
            </w:r>
          </w:p>
          <w:p w:rsidR="002D0139" w:rsidRPr="00152AE1" w:rsidRDefault="002D0139" w:rsidP="00DA65E5">
            <w:pPr>
              <w:pStyle w:val="StandaardSV"/>
              <w:jc w:val="right"/>
              <w:rPr>
                <w:sz w:val="20"/>
              </w:rPr>
            </w:pPr>
            <w:r w:rsidRPr="00152AE1">
              <w:rPr>
                <w:sz w:val="20"/>
              </w:rPr>
              <w:t>(122.700)</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2D0139" w:rsidP="00DA65E5">
            <w:pPr>
              <w:pStyle w:val="StandaardSV"/>
              <w:jc w:val="right"/>
              <w:rPr>
                <w:sz w:val="20"/>
              </w:rPr>
            </w:pPr>
            <w:r w:rsidRPr="00152AE1">
              <w:rPr>
                <w:sz w:val="20"/>
              </w:rPr>
              <w:t>2.009.678</w:t>
            </w:r>
          </w:p>
          <w:p w:rsidR="002D0139" w:rsidRPr="00152AE1" w:rsidRDefault="002D0139" w:rsidP="00DA65E5">
            <w:pPr>
              <w:pStyle w:val="StandaardSV"/>
              <w:jc w:val="right"/>
              <w:rPr>
                <w:sz w:val="20"/>
              </w:rPr>
            </w:pPr>
            <w:r w:rsidRPr="00152AE1">
              <w:rPr>
                <w:sz w:val="20"/>
              </w:rPr>
              <w:t>(0)</w:t>
            </w:r>
          </w:p>
        </w:tc>
      </w:tr>
      <w:tr w:rsidR="00F305C9"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F305C9" w:rsidRPr="00152AE1" w:rsidRDefault="00F305C9" w:rsidP="00F305C9">
            <w:pPr>
              <w:pStyle w:val="StandaardSV"/>
              <w:rPr>
                <w:sz w:val="20"/>
              </w:rPr>
            </w:pPr>
            <w:r w:rsidRPr="00152AE1">
              <w:rPr>
                <w:sz w:val="20"/>
              </w:rPr>
              <w:t>Antwerpen</w:t>
            </w:r>
          </w:p>
        </w:tc>
        <w:tc>
          <w:tcPr>
            <w:tcW w:w="1240" w:type="dxa"/>
            <w:tcBorders>
              <w:top w:val="single" w:sz="4" w:space="0" w:color="000000"/>
              <w:left w:val="single" w:sz="4" w:space="0" w:color="000000"/>
              <w:bottom w:val="single" w:sz="4" w:space="0" w:color="000000"/>
              <w:right w:val="single" w:sz="4" w:space="0" w:color="000000"/>
            </w:tcBorders>
          </w:tcPr>
          <w:p w:rsidR="00F305C9" w:rsidRPr="00152AE1" w:rsidRDefault="00F305C9" w:rsidP="00DA65E5">
            <w:pPr>
              <w:pStyle w:val="StandaardSV"/>
              <w:jc w:val="right"/>
              <w:rPr>
                <w:sz w:val="20"/>
              </w:rPr>
            </w:pPr>
            <w:r w:rsidRPr="00152AE1">
              <w:rPr>
                <w:sz w:val="20"/>
              </w:rPr>
              <w:t>2.</w:t>
            </w:r>
            <w:r w:rsidR="00E55CA3" w:rsidRPr="00152AE1">
              <w:rPr>
                <w:sz w:val="20"/>
              </w:rPr>
              <w:t>914.488</w:t>
            </w:r>
          </w:p>
          <w:p w:rsidR="00F305C9" w:rsidRPr="00152AE1" w:rsidRDefault="00F305C9" w:rsidP="00DA65E5">
            <w:pPr>
              <w:pStyle w:val="StandaardSV"/>
              <w:jc w:val="right"/>
              <w:rPr>
                <w:sz w:val="20"/>
              </w:rPr>
            </w:pPr>
            <w:r w:rsidRPr="00152AE1">
              <w:rPr>
                <w:sz w:val="20"/>
              </w:rPr>
              <w:t>(1.026.272)</w:t>
            </w:r>
          </w:p>
          <w:p w:rsidR="00F305C9" w:rsidRPr="00152AE1" w:rsidRDefault="00F305C9" w:rsidP="00DA65E5">
            <w:pPr>
              <w:pStyle w:val="StandaardSV"/>
              <w:jc w:val="right"/>
              <w:rPr>
                <w:sz w:val="20"/>
              </w:rPr>
            </w:pP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BE6901" w:rsidP="00DA65E5">
            <w:pPr>
              <w:pStyle w:val="StandaardSV"/>
              <w:jc w:val="right"/>
              <w:rPr>
                <w:sz w:val="20"/>
              </w:rPr>
            </w:pPr>
            <w:r w:rsidRPr="00152AE1">
              <w:rPr>
                <w:sz w:val="20"/>
              </w:rPr>
              <w:t>892.456</w:t>
            </w:r>
          </w:p>
          <w:p w:rsidR="00F305C9" w:rsidRPr="00152AE1" w:rsidRDefault="00F305C9" w:rsidP="00DA65E5">
            <w:pPr>
              <w:pStyle w:val="StandaardSV"/>
              <w:jc w:val="right"/>
              <w:rPr>
                <w:sz w:val="20"/>
              </w:rPr>
            </w:pPr>
            <w:r w:rsidRPr="00152AE1">
              <w:rPr>
                <w:sz w:val="20"/>
              </w:rPr>
              <w:t>(112.178)</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F305C9" w:rsidP="00DA65E5">
            <w:pPr>
              <w:pStyle w:val="StandaardSV"/>
              <w:jc w:val="right"/>
              <w:rPr>
                <w:sz w:val="20"/>
              </w:rPr>
            </w:pPr>
            <w:r w:rsidRPr="00152AE1">
              <w:rPr>
                <w:sz w:val="20"/>
              </w:rPr>
              <w:t>1.622.728</w:t>
            </w:r>
          </w:p>
          <w:p w:rsidR="00F305C9" w:rsidRPr="00152AE1" w:rsidRDefault="00F305C9" w:rsidP="00DA65E5">
            <w:pPr>
              <w:pStyle w:val="StandaardSV"/>
              <w:jc w:val="right"/>
              <w:rPr>
                <w:sz w:val="20"/>
              </w:rPr>
            </w:pPr>
            <w:r w:rsidRPr="00152AE1">
              <w:rPr>
                <w:sz w:val="20"/>
              </w:rPr>
              <w:t>(147.250)</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593327" w:rsidP="00DA65E5">
            <w:pPr>
              <w:pStyle w:val="StandaardSV"/>
              <w:jc w:val="right"/>
              <w:rPr>
                <w:sz w:val="20"/>
              </w:rPr>
            </w:pPr>
            <w:r w:rsidRPr="00152AE1">
              <w:rPr>
                <w:sz w:val="20"/>
              </w:rPr>
              <w:t>1.231.029</w:t>
            </w:r>
          </w:p>
          <w:p w:rsidR="00593327" w:rsidRPr="00152AE1" w:rsidRDefault="00593327" w:rsidP="00DA65E5">
            <w:pPr>
              <w:pStyle w:val="StandaardSV"/>
              <w:jc w:val="right"/>
              <w:rPr>
                <w:sz w:val="20"/>
              </w:rPr>
            </w:pPr>
            <w:r w:rsidRPr="00152AE1">
              <w:rPr>
                <w:sz w:val="20"/>
              </w:rPr>
              <w:t>(120.350)</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593327" w:rsidP="00DA65E5">
            <w:pPr>
              <w:pStyle w:val="StandaardSV"/>
              <w:jc w:val="right"/>
              <w:rPr>
                <w:sz w:val="20"/>
              </w:rPr>
            </w:pPr>
            <w:r w:rsidRPr="00152AE1">
              <w:rPr>
                <w:sz w:val="20"/>
              </w:rPr>
              <w:t>1.998.616</w:t>
            </w:r>
          </w:p>
          <w:p w:rsidR="00593327" w:rsidRPr="00152AE1" w:rsidRDefault="00593327" w:rsidP="00DA65E5">
            <w:pPr>
              <w:pStyle w:val="StandaardSV"/>
              <w:jc w:val="right"/>
              <w:rPr>
                <w:sz w:val="20"/>
              </w:rPr>
            </w:pPr>
            <w:r w:rsidRPr="00152AE1">
              <w:rPr>
                <w:sz w:val="20"/>
              </w:rPr>
              <w:t>(0)</w:t>
            </w:r>
          </w:p>
        </w:tc>
      </w:tr>
      <w:tr w:rsidR="00F305C9"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F305C9" w:rsidRPr="00152AE1" w:rsidRDefault="00F305C9" w:rsidP="00F305C9">
            <w:pPr>
              <w:pStyle w:val="StandaardSV"/>
              <w:rPr>
                <w:sz w:val="20"/>
              </w:rPr>
            </w:pPr>
            <w:r w:rsidRPr="00152AE1">
              <w:rPr>
                <w:sz w:val="20"/>
              </w:rPr>
              <w:t>Limburg</w:t>
            </w:r>
          </w:p>
        </w:tc>
        <w:tc>
          <w:tcPr>
            <w:tcW w:w="1240" w:type="dxa"/>
            <w:tcBorders>
              <w:top w:val="single" w:sz="4" w:space="0" w:color="000000"/>
              <w:left w:val="single" w:sz="4" w:space="0" w:color="000000"/>
              <w:bottom w:val="single" w:sz="4" w:space="0" w:color="000000"/>
              <w:right w:val="single" w:sz="4" w:space="0" w:color="000000"/>
            </w:tcBorders>
          </w:tcPr>
          <w:p w:rsidR="00F305C9" w:rsidRPr="00152AE1" w:rsidRDefault="00ED3C29" w:rsidP="00DA65E5">
            <w:pPr>
              <w:pStyle w:val="StandaardSV"/>
              <w:jc w:val="right"/>
              <w:rPr>
                <w:sz w:val="20"/>
              </w:rPr>
            </w:pPr>
            <w:r w:rsidRPr="00152AE1">
              <w:rPr>
                <w:sz w:val="20"/>
              </w:rPr>
              <w:t>1.785.317</w:t>
            </w:r>
          </w:p>
          <w:p w:rsidR="00ED3C29" w:rsidRPr="00152AE1" w:rsidRDefault="00ED3C29" w:rsidP="00DA65E5">
            <w:pPr>
              <w:pStyle w:val="StandaardSV"/>
              <w:jc w:val="right"/>
              <w:rPr>
                <w:sz w:val="20"/>
              </w:rPr>
            </w:pPr>
            <w:r w:rsidRPr="00152AE1">
              <w:rPr>
                <w:sz w:val="20"/>
              </w:rPr>
              <w:t>(0)</w:t>
            </w:r>
          </w:p>
          <w:p w:rsidR="00F305C9" w:rsidRPr="00152AE1" w:rsidRDefault="00F305C9" w:rsidP="00DA65E5">
            <w:pPr>
              <w:pStyle w:val="StandaardSV"/>
              <w:jc w:val="right"/>
              <w:rPr>
                <w:sz w:val="20"/>
              </w:rPr>
            </w:pP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3134B0" w:rsidP="00DA65E5">
            <w:pPr>
              <w:pStyle w:val="StandaardSV"/>
              <w:jc w:val="right"/>
              <w:rPr>
                <w:sz w:val="20"/>
              </w:rPr>
            </w:pPr>
            <w:r w:rsidRPr="00152AE1">
              <w:rPr>
                <w:sz w:val="20"/>
              </w:rPr>
              <w:t>2.569.960</w:t>
            </w:r>
          </w:p>
          <w:p w:rsidR="003134B0" w:rsidRPr="00152AE1" w:rsidRDefault="003134B0" w:rsidP="00DA65E5">
            <w:pPr>
              <w:pStyle w:val="StandaardSV"/>
              <w:jc w:val="right"/>
              <w:rPr>
                <w:sz w:val="20"/>
              </w:rPr>
            </w:pPr>
            <w:r w:rsidRPr="00152AE1">
              <w:rPr>
                <w:sz w:val="20"/>
              </w:rPr>
              <w:t>(285.002)</w:t>
            </w:r>
          </w:p>
        </w:tc>
        <w:tc>
          <w:tcPr>
            <w:tcW w:w="1107" w:type="dxa"/>
            <w:tcBorders>
              <w:top w:val="single" w:sz="4" w:space="0" w:color="000000"/>
              <w:left w:val="single" w:sz="4" w:space="0" w:color="000000"/>
              <w:bottom w:val="single" w:sz="4" w:space="0" w:color="000000"/>
              <w:right w:val="single" w:sz="4" w:space="0" w:color="000000"/>
            </w:tcBorders>
          </w:tcPr>
          <w:p w:rsidR="00FE340F" w:rsidRPr="00152AE1" w:rsidRDefault="00FE340F" w:rsidP="00DA65E5">
            <w:pPr>
              <w:pStyle w:val="StandaardSV"/>
              <w:jc w:val="right"/>
              <w:rPr>
                <w:sz w:val="20"/>
              </w:rPr>
            </w:pPr>
            <w:r w:rsidRPr="00152AE1">
              <w:rPr>
                <w:sz w:val="20"/>
              </w:rPr>
              <w:t>4.785.725</w:t>
            </w:r>
          </w:p>
          <w:p w:rsidR="00F305C9" w:rsidRPr="00152AE1" w:rsidRDefault="00FE340F" w:rsidP="00DA65E5">
            <w:pPr>
              <w:pStyle w:val="StandaardSV"/>
              <w:jc w:val="right"/>
              <w:rPr>
                <w:sz w:val="20"/>
              </w:rPr>
            </w:pPr>
            <w:r w:rsidRPr="00152AE1">
              <w:rPr>
                <w:sz w:val="20"/>
              </w:rPr>
              <w:t>(30.000)</w:t>
            </w:r>
            <w:r w:rsidR="00F305C9" w:rsidRPr="00152AE1">
              <w:rPr>
                <w:sz w:val="20"/>
              </w:rPr>
              <w:t xml:space="preserve"> </w:t>
            </w:r>
          </w:p>
          <w:p w:rsidR="00F305C9" w:rsidRPr="00152AE1" w:rsidRDefault="00F305C9" w:rsidP="00DA65E5">
            <w:pPr>
              <w:pStyle w:val="StandaardSV"/>
              <w:jc w:val="right"/>
              <w:rPr>
                <w:sz w:val="20"/>
              </w:rPr>
            </w:pP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FE340F" w:rsidP="00DA65E5">
            <w:pPr>
              <w:pStyle w:val="StandaardSV"/>
              <w:jc w:val="right"/>
              <w:rPr>
                <w:sz w:val="20"/>
              </w:rPr>
            </w:pPr>
            <w:r w:rsidRPr="00152AE1">
              <w:rPr>
                <w:sz w:val="20"/>
              </w:rPr>
              <w:t>3.811.759</w:t>
            </w:r>
          </w:p>
          <w:p w:rsidR="00FE340F" w:rsidRPr="00152AE1" w:rsidRDefault="00FE340F" w:rsidP="00DA65E5">
            <w:pPr>
              <w:pStyle w:val="StandaardSV"/>
              <w:jc w:val="right"/>
              <w:rPr>
                <w:sz w:val="20"/>
              </w:rPr>
            </w:pPr>
            <w:r w:rsidRPr="00152AE1">
              <w:rPr>
                <w:sz w:val="20"/>
              </w:rPr>
              <w:t>(0)</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085B84" w:rsidP="00DA65E5">
            <w:pPr>
              <w:pStyle w:val="StandaardSV"/>
              <w:jc w:val="right"/>
              <w:rPr>
                <w:sz w:val="20"/>
              </w:rPr>
            </w:pPr>
            <w:r w:rsidRPr="00152AE1">
              <w:rPr>
                <w:sz w:val="20"/>
              </w:rPr>
              <w:t>4.991.047</w:t>
            </w:r>
          </w:p>
          <w:p w:rsidR="00085B84" w:rsidRPr="00152AE1" w:rsidRDefault="00085B84" w:rsidP="00DA65E5">
            <w:pPr>
              <w:pStyle w:val="StandaardSV"/>
              <w:jc w:val="right"/>
              <w:rPr>
                <w:sz w:val="20"/>
              </w:rPr>
            </w:pPr>
            <w:r w:rsidRPr="00152AE1">
              <w:rPr>
                <w:sz w:val="20"/>
              </w:rPr>
              <w:t>(0)</w:t>
            </w:r>
          </w:p>
        </w:tc>
      </w:tr>
      <w:tr w:rsidR="00F305C9" w:rsidRPr="00152AE1" w:rsidTr="00152AE1">
        <w:tc>
          <w:tcPr>
            <w:tcW w:w="1716" w:type="dxa"/>
            <w:tcBorders>
              <w:top w:val="single" w:sz="4" w:space="0" w:color="000000"/>
              <w:left w:val="single" w:sz="4" w:space="0" w:color="000000"/>
              <w:bottom w:val="single" w:sz="4" w:space="0" w:color="000000"/>
              <w:right w:val="single" w:sz="4" w:space="0" w:color="000000"/>
            </w:tcBorders>
            <w:hideMark/>
          </w:tcPr>
          <w:p w:rsidR="00F305C9" w:rsidRPr="00152AE1" w:rsidRDefault="00F305C9" w:rsidP="00F305C9">
            <w:pPr>
              <w:pStyle w:val="StandaardSV"/>
              <w:rPr>
                <w:sz w:val="20"/>
              </w:rPr>
            </w:pPr>
            <w:r w:rsidRPr="00152AE1">
              <w:rPr>
                <w:sz w:val="20"/>
              </w:rPr>
              <w:t>Vlaams-Brabant</w:t>
            </w:r>
          </w:p>
        </w:tc>
        <w:tc>
          <w:tcPr>
            <w:tcW w:w="1240" w:type="dxa"/>
            <w:tcBorders>
              <w:top w:val="single" w:sz="4" w:space="0" w:color="000000"/>
              <w:left w:val="single" w:sz="4" w:space="0" w:color="000000"/>
              <w:bottom w:val="single" w:sz="4" w:space="0" w:color="000000"/>
              <w:right w:val="single" w:sz="4" w:space="0" w:color="000000"/>
            </w:tcBorders>
          </w:tcPr>
          <w:p w:rsidR="00F305C9" w:rsidRPr="00152AE1" w:rsidRDefault="00085B84" w:rsidP="00DA65E5">
            <w:pPr>
              <w:pStyle w:val="StandaardSV"/>
              <w:jc w:val="right"/>
              <w:rPr>
                <w:sz w:val="20"/>
              </w:rPr>
            </w:pPr>
            <w:r w:rsidRPr="00152AE1">
              <w:rPr>
                <w:sz w:val="20"/>
              </w:rPr>
              <w:t>636.811</w:t>
            </w:r>
          </w:p>
          <w:p w:rsidR="00085B84" w:rsidRPr="00152AE1" w:rsidRDefault="00085B84" w:rsidP="00DA65E5">
            <w:pPr>
              <w:pStyle w:val="StandaardSV"/>
              <w:jc w:val="right"/>
              <w:rPr>
                <w:sz w:val="20"/>
              </w:rPr>
            </w:pPr>
            <w:r w:rsidRPr="00152AE1">
              <w:rPr>
                <w:sz w:val="20"/>
              </w:rPr>
              <w:t>(253.032)</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8103BE" w:rsidP="00DA65E5">
            <w:pPr>
              <w:pStyle w:val="StandaardSV"/>
              <w:jc w:val="right"/>
              <w:rPr>
                <w:sz w:val="20"/>
              </w:rPr>
            </w:pPr>
            <w:r w:rsidRPr="00152AE1">
              <w:rPr>
                <w:sz w:val="20"/>
              </w:rPr>
              <w:t>2.327.407</w:t>
            </w:r>
          </w:p>
          <w:p w:rsidR="008103BE" w:rsidRPr="00152AE1" w:rsidRDefault="008103BE" w:rsidP="00DA65E5">
            <w:pPr>
              <w:pStyle w:val="StandaardSV"/>
              <w:jc w:val="right"/>
              <w:rPr>
                <w:sz w:val="20"/>
              </w:rPr>
            </w:pPr>
            <w:r w:rsidRPr="00152AE1">
              <w:rPr>
                <w:sz w:val="20"/>
              </w:rPr>
              <w:t>(128.215)</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233401" w:rsidP="00DA65E5">
            <w:pPr>
              <w:pStyle w:val="StandaardSV"/>
              <w:jc w:val="right"/>
              <w:rPr>
                <w:sz w:val="20"/>
              </w:rPr>
            </w:pPr>
            <w:r w:rsidRPr="00152AE1">
              <w:rPr>
                <w:sz w:val="20"/>
              </w:rPr>
              <w:t>1.443.326</w:t>
            </w:r>
          </w:p>
          <w:p w:rsidR="00233401" w:rsidRPr="00152AE1" w:rsidRDefault="00233401" w:rsidP="00DA65E5">
            <w:pPr>
              <w:pStyle w:val="StandaardSV"/>
              <w:jc w:val="right"/>
              <w:rPr>
                <w:sz w:val="20"/>
              </w:rPr>
            </w:pPr>
            <w:r w:rsidRPr="00152AE1">
              <w:rPr>
                <w:sz w:val="20"/>
              </w:rPr>
              <w:t>(136.932)</w:t>
            </w:r>
          </w:p>
          <w:p w:rsidR="00F305C9" w:rsidRPr="00152AE1" w:rsidRDefault="00F305C9" w:rsidP="00DA65E5">
            <w:pPr>
              <w:pStyle w:val="StandaardSV"/>
              <w:jc w:val="right"/>
              <w:rPr>
                <w:sz w:val="20"/>
              </w:rPr>
            </w:pP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CA2DE6" w:rsidP="00DA65E5">
            <w:pPr>
              <w:pStyle w:val="StandaardSV"/>
              <w:jc w:val="right"/>
              <w:rPr>
                <w:sz w:val="20"/>
              </w:rPr>
            </w:pPr>
            <w:r w:rsidRPr="00152AE1">
              <w:rPr>
                <w:sz w:val="20"/>
              </w:rPr>
              <w:t>1.355.687</w:t>
            </w:r>
          </w:p>
          <w:p w:rsidR="00CA2DE6" w:rsidRPr="00152AE1" w:rsidRDefault="00CA2DE6" w:rsidP="00DA65E5">
            <w:pPr>
              <w:pStyle w:val="StandaardSV"/>
              <w:jc w:val="right"/>
              <w:rPr>
                <w:sz w:val="20"/>
              </w:rPr>
            </w:pPr>
            <w:r w:rsidRPr="00152AE1">
              <w:rPr>
                <w:sz w:val="20"/>
              </w:rPr>
              <w:t>(211.878)</w:t>
            </w:r>
          </w:p>
        </w:tc>
        <w:tc>
          <w:tcPr>
            <w:tcW w:w="1107" w:type="dxa"/>
            <w:tcBorders>
              <w:top w:val="single" w:sz="4" w:space="0" w:color="000000"/>
              <w:left w:val="single" w:sz="4" w:space="0" w:color="000000"/>
              <w:bottom w:val="single" w:sz="4" w:space="0" w:color="000000"/>
              <w:right w:val="single" w:sz="4" w:space="0" w:color="000000"/>
            </w:tcBorders>
          </w:tcPr>
          <w:p w:rsidR="00F305C9" w:rsidRPr="00152AE1" w:rsidRDefault="00CC3CD0" w:rsidP="00DA65E5">
            <w:pPr>
              <w:pStyle w:val="StandaardSV"/>
              <w:jc w:val="right"/>
              <w:rPr>
                <w:sz w:val="20"/>
              </w:rPr>
            </w:pPr>
            <w:r w:rsidRPr="00152AE1">
              <w:rPr>
                <w:sz w:val="20"/>
              </w:rPr>
              <w:t>1.330.477</w:t>
            </w:r>
          </w:p>
          <w:p w:rsidR="00CC3CD0" w:rsidRPr="00152AE1" w:rsidRDefault="00CC3CD0" w:rsidP="00DA65E5">
            <w:pPr>
              <w:pStyle w:val="StandaardSV"/>
              <w:jc w:val="right"/>
              <w:rPr>
                <w:sz w:val="20"/>
              </w:rPr>
            </w:pPr>
            <w:r w:rsidRPr="00152AE1">
              <w:rPr>
                <w:sz w:val="20"/>
              </w:rPr>
              <w:t>(0)</w:t>
            </w:r>
          </w:p>
        </w:tc>
      </w:tr>
    </w:tbl>
    <w:p w:rsidR="00F305C9" w:rsidRDefault="00F305C9" w:rsidP="00F305C9">
      <w:pPr>
        <w:pStyle w:val="StandaardSV"/>
        <w:rPr>
          <w:b/>
        </w:rPr>
      </w:pPr>
    </w:p>
    <w:p w:rsidR="00F305C9" w:rsidRDefault="00F305C9" w:rsidP="00F305C9">
      <w:pPr>
        <w:pStyle w:val="StandaardSV"/>
      </w:pPr>
    </w:p>
    <w:p w:rsidR="007359F2" w:rsidRDefault="007359F2" w:rsidP="00F305C9">
      <w:pPr>
        <w:pStyle w:val="StandaardSV"/>
      </w:pPr>
    </w:p>
    <w:p w:rsidR="007359F2" w:rsidRPr="007359F2" w:rsidRDefault="007359F2" w:rsidP="00F305C9">
      <w:pPr>
        <w:pStyle w:val="StandaardSV"/>
        <w:rPr>
          <w:smallCaps/>
          <w:color w:val="FF0000"/>
          <w:u w:val="single"/>
        </w:rPr>
      </w:pPr>
      <w:r w:rsidRPr="007359F2">
        <w:rPr>
          <w:smallCaps/>
          <w:color w:val="FF0000"/>
          <w:u w:val="single"/>
        </w:rPr>
        <w:t>bijlage</w:t>
      </w:r>
    </w:p>
    <w:p w:rsidR="007359F2" w:rsidRDefault="007359F2" w:rsidP="00F305C9">
      <w:pPr>
        <w:pStyle w:val="StandaardSV"/>
        <w:rPr>
          <w:smallCaps/>
          <w:color w:val="FF0000"/>
        </w:rPr>
      </w:pPr>
    </w:p>
    <w:p w:rsidR="00DD58B9" w:rsidRPr="00CF3379" w:rsidRDefault="007359F2" w:rsidP="00970C64">
      <w:pPr>
        <w:pStyle w:val="StandaardSV"/>
        <w:rPr>
          <w:b/>
        </w:rPr>
      </w:pPr>
      <w:r w:rsidRPr="007359F2">
        <w:t>Details van de collectieve acties in 2011</w:t>
      </w:r>
      <w:bookmarkStart w:id="0" w:name="_GoBack"/>
      <w:bookmarkEnd w:id="0"/>
    </w:p>
    <w:sectPr w:rsidR="00DD58B9" w:rsidRPr="00CF3379" w:rsidSect="009B48C9">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75E1F36"/>
    <w:multiLevelType w:val="hybridMultilevel"/>
    <w:tmpl w:val="19C4E5B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7D03D1E"/>
    <w:multiLevelType w:val="hybridMultilevel"/>
    <w:tmpl w:val="172434E2"/>
    <w:lvl w:ilvl="0" w:tplc="D4C64C86">
      <w:start w:val="2009"/>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3373180"/>
    <w:multiLevelType w:val="hybridMultilevel"/>
    <w:tmpl w:val="215E86B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6AC57BB"/>
    <w:multiLevelType w:val="hybridMultilevel"/>
    <w:tmpl w:val="0FE874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0863CD"/>
    <w:multiLevelType w:val="hybridMultilevel"/>
    <w:tmpl w:val="0F14E37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80A4CCB"/>
    <w:multiLevelType w:val="hybridMultilevel"/>
    <w:tmpl w:val="FD22A3C0"/>
    <w:lvl w:ilvl="0" w:tplc="B78C00F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9BA7181"/>
    <w:multiLevelType w:val="hybridMultilevel"/>
    <w:tmpl w:val="637C22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3870E77"/>
    <w:multiLevelType w:val="hybridMultilevel"/>
    <w:tmpl w:val="B3ECE03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40216BF7"/>
    <w:multiLevelType w:val="hybridMultilevel"/>
    <w:tmpl w:val="190E811C"/>
    <w:lvl w:ilvl="0" w:tplc="3F3A12EA">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E5A0B8A"/>
    <w:multiLevelType w:val="hybridMultilevel"/>
    <w:tmpl w:val="1BBC66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92B04DB"/>
    <w:multiLevelType w:val="hybridMultilevel"/>
    <w:tmpl w:val="1734835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AB05416"/>
    <w:multiLevelType w:val="hybridMultilevel"/>
    <w:tmpl w:val="15ACEE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C2D723C"/>
    <w:multiLevelType w:val="hybridMultilevel"/>
    <w:tmpl w:val="2000E02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628857DA"/>
    <w:multiLevelType w:val="hybridMultilevel"/>
    <w:tmpl w:val="3A6CA430"/>
    <w:lvl w:ilvl="0" w:tplc="E0C0CF02">
      <w:start w:val="1"/>
      <w:numFmt w:val="lowerLetter"/>
      <w:lvlText w:val="%1."/>
      <w:lvlJc w:val="left"/>
      <w:pPr>
        <w:ind w:left="720" w:hanging="360"/>
      </w:pPr>
      <w:rPr>
        <w:rFonts w:ascii="Times New Roman" w:hAnsi="Times New Roman" w:cs="Times New Roman"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72F15518"/>
    <w:multiLevelType w:val="hybridMultilevel"/>
    <w:tmpl w:val="DFA444C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5"/>
  </w:num>
  <w:num w:numId="2">
    <w:abstractNumId w:val="5"/>
  </w:num>
  <w:num w:numId="3">
    <w:abstractNumId w:val="1"/>
  </w:num>
  <w:num w:numId="4">
    <w:abstractNumId w:val="23"/>
  </w:num>
  <w:num w:numId="5">
    <w:abstractNumId w:val="17"/>
  </w:num>
  <w:num w:numId="6">
    <w:abstractNumId w:val="4"/>
  </w:num>
  <w:num w:numId="7">
    <w:abstractNumId w:val="3"/>
  </w:num>
  <w:num w:numId="8">
    <w:abstractNumId w:val="18"/>
  </w:num>
  <w:num w:numId="9">
    <w:abstractNumId w:val="12"/>
  </w:num>
  <w:num w:numId="10">
    <w:abstractNumId w:val="0"/>
  </w:num>
  <w:num w:numId="11">
    <w:abstractNumId w:val="25"/>
  </w:num>
  <w:num w:numId="12">
    <w:abstractNumId w:val="2"/>
  </w:num>
  <w:num w:numId="13">
    <w:abstractNumId w:val="14"/>
  </w:num>
  <w:num w:numId="14">
    <w:abstractNumId w:val="11"/>
  </w:num>
  <w:num w:numId="15">
    <w:abstractNumId w:val="19"/>
  </w:num>
  <w:num w:numId="16">
    <w:abstractNumId w:val="10"/>
  </w:num>
  <w:num w:numId="17">
    <w:abstractNumId w:val="26"/>
  </w:num>
  <w:num w:numId="18">
    <w:abstractNumId w:val="13"/>
  </w:num>
  <w:num w:numId="19">
    <w:abstractNumId w:val="21"/>
  </w:num>
  <w:num w:numId="20">
    <w:abstractNumId w:val="15"/>
  </w:num>
  <w:num w:numId="21">
    <w:abstractNumId w:val="7"/>
  </w:num>
  <w:num w:numId="22">
    <w:abstractNumId w:val="16"/>
  </w:num>
  <w:num w:numId="23">
    <w:abstractNumId w:val="24"/>
  </w:num>
  <w:num w:numId="24">
    <w:abstractNumId w:val="9"/>
  </w:num>
  <w:num w:numId="25">
    <w:abstractNumId w:val="20"/>
  </w:num>
  <w:num w:numId="26">
    <w:abstractNumId w:val="22"/>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36CC5"/>
    <w:rsid w:val="000464A2"/>
    <w:rsid w:val="000575FC"/>
    <w:rsid w:val="00070064"/>
    <w:rsid w:val="00071DA4"/>
    <w:rsid w:val="00080040"/>
    <w:rsid w:val="00085B84"/>
    <w:rsid w:val="000B04EF"/>
    <w:rsid w:val="000E2E36"/>
    <w:rsid w:val="000E54F4"/>
    <w:rsid w:val="00100C28"/>
    <w:rsid w:val="00101739"/>
    <w:rsid w:val="00152AE1"/>
    <w:rsid w:val="00174AE4"/>
    <w:rsid w:val="0017784D"/>
    <w:rsid w:val="00187BFC"/>
    <w:rsid w:val="001A4C55"/>
    <w:rsid w:val="001E4BBA"/>
    <w:rsid w:val="001E77B2"/>
    <w:rsid w:val="001F35F2"/>
    <w:rsid w:val="0022503C"/>
    <w:rsid w:val="00233401"/>
    <w:rsid w:val="002D0139"/>
    <w:rsid w:val="002F115C"/>
    <w:rsid w:val="002F3B58"/>
    <w:rsid w:val="003134B0"/>
    <w:rsid w:val="0033547C"/>
    <w:rsid w:val="00343A8F"/>
    <w:rsid w:val="00344CA7"/>
    <w:rsid w:val="003B526A"/>
    <w:rsid w:val="003D1D40"/>
    <w:rsid w:val="003F61B4"/>
    <w:rsid w:val="00410A44"/>
    <w:rsid w:val="00427E2D"/>
    <w:rsid w:val="00465F5C"/>
    <w:rsid w:val="00472F54"/>
    <w:rsid w:val="00472F64"/>
    <w:rsid w:val="004C61A3"/>
    <w:rsid w:val="004D7979"/>
    <w:rsid w:val="004E1C19"/>
    <w:rsid w:val="005051B9"/>
    <w:rsid w:val="0056488C"/>
    <w:rsid w:val="00593327"/>
    <w:rsid w:val="005A0D53"/>
    <w:rsid w:val="005C1F94"/>
    <w:rsid w:val="0060404D"/>
    <w:rsid w:val="00622DFF"/>
    <w:rsid w:val="00641BAB"/>
    <w:rsid w:val="0064712F"/>
    <w:rsid w:val="00650D84"/>
    <w:rsid w:val="00667CE6"/>
    <w:rsid w:val="00682F48"/>
    <w:rsid w:val="00693743"/>
    <w:rsid w:val="006E5FDC"/>
    <w:rsid w:val="006F29F5"/>
    <w:rsid w:val="006F49EA"/>
    <w:rsid w:val="00710D44"/>
    <w:rsid w:val="0072661B"/>
    <w:rsid w:val="007359F2"/>
    <w:rsid w:val="007433EC"/>
    <w:rsid w:val="0076572D"/>
    <w:rsid w:val="0077675F"/>
    <w:rsid w:val="00781DB2"/>
    <w:rsid w:val="007A7738"/>
    <w:rsid w:val="007E720D"/>
    <w:rsid w:val="008103BE"/>
    <w:rsid w:val="0083248E"/>
    <w:rsid w:val="008326C6"/>
    <w:rsid w:val="0083747B"/>
    <w:rsid w:val="00842F2E"/>
    <w:rsid w:val="00844521"/>
    <w:rsid w:val="008654E2"/>
    <w:rsid w:val="00870ABB"/>
    <w:rsid w:val="00873D40"/>
    <w:rsid w:val="009217D1"/>
    <w:rsid w:val="00932E84"/>
    <w:rsid w:val="00941198"/>
    <w:rsid w:val="0094173C"/>
    <w:rsid w:val="00944961"/>
    <w:rsid w:val="00946F24"/>
    <w:rsid w:val="009616BC"/>
    <w:rsid w:val="00970C64"/>
    <w:rsid w:val="00972E7F"/>
    <w:rsid w:val="00980095"/>
    <w:rsid w:val="009864CE"/>
    <w:rsid w:val="009B450F"/>
    <w:rsid w:val="009B48C9"/>
    <w:rsid w:val="009C170D"/>
    <w:rsid w:val="009C20A0"/>
    <w:rsid w:val="009F10A6"/>
    <w:rsid w:val="009F457A"/>
    <w:rsid w:val="009F5505"/>
    <w:rsid w:val="00A02238"/>
    <w:rsid w:val="00A238E6"/>
    <w:rsid w:val="00A25C41"/>
    <w:rsid w:val="00A277EA"/>
    <w:rsid w:val="00A329CB"/>
    <w:rsid w:val="00A54FF7"/>
    <w:rsid w:val="00AD78E8"/>
    <w:rsid w:val="00AE3470"/>
    <w:rsid w:val="00AF4EEA"/>
    <w:rsid w:val="00B37752"/>
    <w:rsid w:val="00B43096"/>
    <w:rsid w:val="00B47B19"/>
    <w:rsid w:val="00B6547D"/>
    <w:rsid w:val="00B905C0"/>
    <w:rsid w:val="00B974D5"/>
    <w:rsid w:val="00BB0E52"/>
    <w:rsid w:val="00BC0370"/>
    <w:rsid w:val="00BC1C61"/>
    <w:rsid w:val="00BD07FB"/>
    <w:rsid w:val="00BE6901"/>
    <w:rsid w:val="00C51D69"/>
    <w:rsid w:val="00C70018"/>
    <w:rsid w:val="00C75C7E"/>
    <w:rsid w:val="00C769AD"/>
    <w:rsid w:val="00C91F34"/>
    <w:rsid w:val="00CA2DE6"/>
    <w:rsid w:val="00CB4A21"/>
    <w:rsid w:val="00CC3CD0"/>
    <w:rsid w:val="00CC63C8"/>
    <w:rsid w:val="00CD3E87"/>
    <w:rsid w:val="00CF3379"/>
    <w:rsid w:val="00CF4E65"/>
    <w:rsid w:val="00D20C0A"/>
    <w:rsid w:val="00D214D5"/>
    <w:rsid w:val="00D272D8"/>
    <w:rsid w:val="00DA65E5"/>
    <w:rsid w:val="00DD58B9"/>
    <w:rsid w:val="00DF4A88"/>
    <w:rsid w:val="00DF6517"/>
    <w:rsid w:val="00E0521C"/>
    <w:rsid w:val="00E20B04"/>
    <w:rsid w:val="00E47619"/>
    <w:rsid w:val="00E54E0B"/>
    <w:rsid w:val="00E55CA3"/>
    <w:rsid w:val="00E720C9"/>
    <w:rsid w:val="00EC745F"/>
    <w:rsid w:val="00ED3C29"/>
    <w:rsid w:val="00EF296F"/>
    <w:rsid w:val="00F05FF1"/>
    <w:rsid w:val="00F305C9"/>
    <w:rsid w:val="00F500A2"/>
    <w:rsid w:val="00F52CAF"/>
    <w:rsid w:val="00F9490E"/>
    <w:rsid w:val="00FA3969"/>
    <w:rsid w:val="00FC1093"/>
    <w:rsid w:val="00FC489F"/>
    <w:rsid w:val="00FE3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572D"/>
    <w:rPr>
      <w:sz w:val="24"/>
      <w:lang w:val="nl-NL" w:eastAsia="nl-NL"/>
    </w:rPr>
  </w:style>
  <w:style w:type="paragraph" w:styleId="Kop1">
    <w:name w:val="heading 1"/>
    <w:basedOn w:val="Standaard"/>
    <w:next w:val="Standaard"/>
    <w:qFormat/>
    <w:rsid w:val="0076572D"/>
    <w:pPr>
      <w:keepNext/>
      <w:numPr>
        <w:numId w:val="2"/>
      </w:numPr>
      <w:jc w:val="both"/>
      <w:outlineLvl w:val="0"/>
    </w:pPr>
    <w:rPr>
      <w:b/>
      <w:caps/>
    </w:rPr>
  </w:style>
  <w:style w:type="paragraph" w:styleId="Kop2">
    <w:name w:val="heading 2"/>
    <w:basedOn w:val="Standaard"/>
    <w:next w:val="Standaard"/>
    <w:qFormat/>
    <w:rsid w:val="0076572D"/>
    <w:pPr>
      <w:keepNext/>
      <w:tabs>
        <w:tab w:val="num" w:pos="567"/>
      </w:tabs>
      <w:ind w:left="567" w:hanging="567"/>
      <w:outlineLvl w:val="1"/>
    </w:pPr>
    <w:rPr>
      <w:b/>
    </w:rPr>
  </w:style>
  <w:style w:type="paragraph" w:styleId="Kop3">
    <w:name w:val="heading 3"/>
    <w:basedOn w:val="Standaard"/>
    <w:next w:val="Standaard"/>
    <w:qFormat/>
    <w:rsid w:val="0076572D"/>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76572D"/>
    <w:pPr>
      <w:framePr w:w="7920" w:h="1980" w:hRule="exact" w:hSpace="141" w:wrap="auto" w:hAnchor="page" w:xAlign="center" w:yAlign="bottom"/>
      <w:ind w:left="2880"/>
    </w:pPr>
  </w:style>
  <w:style w:type="paragraph" w:styleId="Afzender">
    <w:name w:val="envelope return"/>
    <w:basedOn w:val="Standaard"/>
    <w:rsid w:val="0076572D"/>
  </w:style>
  <w:style w:type="paragraph" w:styleId="Inhopg1">
    <w:name w:val="toc 1"/>
    <w:basedOn w:val="Standaard"/>
    <w:next w:val="Standaard"/>
    <w:autoRedefine/>
    <w:semiHidden/>
    <w:rsid w:val="0076572D"/>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76572D"/>
    <w:pPr>
      <w:tabs>
        <w:tab w:val="right" w:leader="dot" w:pos="9741"/>
      </w:tabs>
      <w:spacing w:before="80" w:after="80"/>
      <w:ind w:left="1134" w:hanging="567"/>
    </w:pPr>
    <w:rPr>
      <w:noProof/>
    </w:rPr>
  </w:style>
  <w:style w:type="paragraph" w:styleId="Inhopg3">
    <w:name w:val="toc 3"/>
    <w:basedOn w:val="Standaard"/>
    <w:next w:val="Standaard"/>
    <w:autoRedefine/>
    <w:semiHidden/>
    <w:rsid w:val="0076572D"/>
    <w:pPr>
      <w:tabs>
        <w:tab w:val="right" w:leader="dot" w:pos="9741"/>
      </w:tabs>
      <w:spacing w:before="40" w:after="40"/>
      <w:ind w:left="1701" w:hanging="567"/>
    </w:pPr>
    <w:rPr>
      <w:i/>
    </w:rPr>
  </w:style>
  <w:style w:type="paragraph" w:styleId="Plattetekst2">
    <w:name w:val="Body Text 2"/>
    <w:basedOn w:val="Standaard"/>
    <w:rsid w:val="0076572D"/>
    <w:pPr>
      <w:jc w:val="both"/>
    </w:pPr>
    <w:rPr>
      <w:i/>
      <w:sz w:val="22"/>
    </w:rPr>
  </w:style>
  <w:style w:type="paragraph" w:styleId="Ballontekst">
    <w:name w:val="Balloon Text"/>
    <w:basedOn w:val="Standaard"/>
    <w:link w:val="BallontekstChar"/>
    <w:rsid w:val="003F61B4"/>
    <w:rPr>
      <w:rFonts w:ascii="Tahoma" w:hAnsi="Tahoma"/>
      <w:sz w:val="16"/>
      <w:szCs w:val="16"/>
    </w:rPr>
  </w:style>
  <w:style w:type="paragraph" w:customStyle="1" w:styleId="SVVlaamsParlement">
    <w:name w:val="SV Vlaams Parlement"/>
    <w:basedOn w:val="Standaard"/>
    <w:rsid w:val="0076572D"/>
    <w:pPr>
      <w:jc w:val="both"/>
    </w:pPr>
    <w:rPr>
      <w:b/>
      <w:smallCaps/>
      <w:sz w:val="22"/>
    </w:rPr>
  </w:style>
  <w:style w:type="paragraph" w:customStyle="1" w:styleId="SVTitel">
    <w:name w:val="SV Titel"/>
    <w:basedOn w:val="Standaard"/>
    <w:rsid w:val="0076572D"/>
    <w:pPr>
      <w:jc w:val="both"/>
    </w:pPr>
    <w:rPr>
      <w:i/>
      <w:sz w:val="22"/>
    </w:rPr>
  </w:style>
  <w:style w:type="paragraph" w:customStyle="1" w:styleId="StandaardSV">
    <w:name w:val="Standaard SV"/>
    <w:basedOn w:val="Standaard"/>
    <w:rsid w:val="0076572D"/>
    <w:pPr>
      <w:jc w:val="both"/>
    </w:pPr>
    <w:rPr>
      <w:sz w:val="22"/>
    </w:rPr>
  </w:style>
  <w:style w:type="character" w:customStyle="1" w:styleId="BallontekstChar">
    <w:name w:val="Ballontekst Char"/>
    <w:link w:val="Ballontekst"/>
    <w:rsid w:val="003F61B4"/>
    <w:rPr>
      <w:rFonts w:ascii="Tahoma" w:hAnsi="Tahoma" w:cs="Tahoma"/>
      <w:sz w:val="16"/>
      <w:szCs w:val="16"/>
      <w:lang w:val="nl-NL" w:eastAsia="nl-NL"/>
    </w:rPr>
  </w:style>
  <w:style w:type="paragraph" w:styleId="Lijstalinea">
    <w:name w:val="List Paragraph"/>
    <w:basedOn w:val="Standaard"/>
    <w:uiPriority w:val="34"/>
    <w:qFormat/>
    <w:rsid w:val="003F61B4"/>
    <w:pPr>
      <w:ind w:left="708"/>
    </w:pPr>
  </w:style>
  <w:style w:type="table" w:styleId="Tabelraster">
    <w:name w:val="Table Grid"/>
    <w:basedOn w:val="Standaardtabel"/>
    <w:uiPriority w:val="59"/>
    <w:rsid w:val="002F115C"/>
    <w:rPr>
      <w:rFonts w:ascii="Verdana" w:eastAsia="Calibri" w:hAnsi="Verdana"/>
      <w:sz w:val="1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72661B"/>
    <w:rPr>
      <w:color w:val="0000FF"/>
      <w:u w:val="single"/>
    </w:rPr>
  </w:style>
  <w:style w:type="paragraph" w:customStyle="1" w:styleId="Default">
    <w:name w:val="Default"/>
    <w:rsid w:val="00DD58B9"/>
    <w:pPr>
      <w:autoSpaceDE w:val="0"/>
      <w:autoSpaceDN w:val="0"/>
      <w:adjustRightInd w:val="0"/>
    </w:pPr>
    <w:rPr>
      <w:rFonts w:ascii="Verdana" w:hAnsi="Verdana" w:cs="Verdana"/>
      <w:color w:val="000000"/>
      <w:sz w:val="24"/>
      <w:szCs w:val="24"/>
    </w:rPr>
  </w:style>
  <w:style w:type="paragraph" w:customStyle="1" w:styleId="headingc">
    <w:name w:val="heading c"/>
    <w:basedOn w:val="Standaard"/>
    <w:uiPriority w:val="99"/>
    <w:rsid w:val="00472F64"/>
    <w:pPr>
      <w:keepNext/>
      <w:spacing w:before="480"/>
    </w:pPr>
    <w:rPr>
      <w:b/>
      <w:sz w:val="22"/>
      <w:lang w:val="nl-BE" w:eastAsia="en-US"/>
    </w:rPr>
  </w:style>
  <w:style w:type="paragraph" w:customStyle="1" w:styleId="Rapport1">
    <w:name w:val="Rapport1"/>
    <w:basedOn w:val="Standaard"/>
    <w:link w:val="Rapport1Char"/>
    <w:rsid w:val="00472F64"/>
    <w:pPr>
      <w:spacing w:before="180"/>
      <w:ind w:left="709"/>
    </w:pPr>
    <w:rPr>
      <w:sz w:val="22"/>
      <w:lang w:val="nl-BE" w:eastAsia="en-US"/>
    </w:rPr>
  </w:style>
  <w:style w:type="character" w:customStyle="1" w:styleId="Rapport1Char">
    <w:name w:val="Rapport1 Char"/>
    <w:basedOn w:val="Standaardalinea-lettertype"/>
    <w:link w:val="Rapport1"/>
    <w:rsid w:val="00472F64"/>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572D"/>
    <w:rPr>
      <w:sz w:val="24"/>
      <w:lang w:val="nl-NL" w:eastAsia="nl-NL"/>
    </w:rPr>
  </w:style>
  <w:style w:type="paragraph" w:styleId="Kop1">
    <w:name w:val="heading 1"/>
    <w:basedOn w:val="Standaard"/>
    <w:next w:val="Standaard"/>
    <w:qFormat/>
    <w:rsid w:val="0076572D"/>
    <w:pPr>
      <w:keepNext/>
      <w:numPr>
        <w:numId w:val="2"/>
      </w:numPr>
      <w:jc w:val="both"/>
      <w:outlineLvl w:val="0"/>
    </w:pPr>
    <w:rPr>
      <w:b/>
      <w:caps/>
    </w:rPr>
  </w:style>
  <w:style w:type="paragraph" w:styleId="Kop2">
    <w:name w:val="heading 2"/>
    <w:basedOn w:val="Standaard"/>
    <w:next w:val="Standaard"/>
    <w:qFormat/>
    <w:rsid w:val="0076572D"/>
    <w:pPr>
      <w:keepNext/>
      <w:tabs>
        <w:tab w:val="num" w:pos="567"/>
      </w:tabs>
      <w:ind w:left="567" w:hanging="567"/>
      <w:outlineLvl w:val="1"/>
    </w:pPr>
    <w:rPr>
      <w:b/>
    </w:rPr>
  </w:style>
  <w:style w:type="paragraph" w:styleId="Kop3">
    <w:name w:val="heading 3"/>
    <w:basedOn w:val="Standaard"/>
    <w:next w:val="Standaard"/>
    <w:qFormat/>
    <w:rsid w:val="0076572D"/>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76572D"/>
    <w:pPr>
      <w:framePr w:w="7920" w:h="1980" w:hRule="exact" w:hSpace="141" w:wrap="auto" w:hAnchor="page" w:xAlign="center" w:yAlign="bottom"/>
      <w:ind w:left="2880"/>
    </w:pPr>
  </w:style>
  <w:style w:type="paragraph" w:styleId="Afzender">
    <w:name w:val="envelope return"/>
    <w:basedOn w:val="Standaard"/>
    <w:rsid w:val="0076572D"/>
  </w:style>
  <w:style w:type="paragraph" w:styleId="Inhopg1">
    <w:name w:val="toc 1"/>
    <w:basedOn w:val="Standaard"/>
    <w:next w:val="Standaard"/>
    <w:autoRedefine/>
    <w:semiHidden/>
    <w:rsid w:val="0076572D"/>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76572D"/>
    <w:pPr>
      <w:tabs>
        <w:tab w:val="right" w:leader="dot" w:pos="9741"/>
      </w:tabs>
      <w:spacing w:before="80" w:after="80"/>
      <w:ind w:left="1134" w:hanging="567"/>
    </w:pPr>
    <w:rPr>
      <w:noProof/>
    </w:rPr>
  </w:style>
  <w:style w:type="paragraph" w:styleId="Inhopg3">
    <w:name w:val="toc 3"/>
    <w:basedOn w:val="Standaard"/>
    <w:next w:val="Standaard"/>
    <w:autoRedefine/>
    <w:semiHidden/>
    <w:rsid w:val="0076572D"/>
    <w:pPr>
      <w:tabs>
        <w:tab w:val="right" w:leader="dot" w:pos="9741"/>
      </w:tabs>
      <w:spacing w:before="40" w:after="40"/>
      <w:ind w:left="1701" w:hanging="567"/>
    </w:pPr>
    <w:rPr>
      <w:i/>
    </w:rPr>
  </w:style>
  <w:style w:type="paragraph" w:styleId="Plattetekst2">
    <w:name w:val="Body Text 2"/>
    <w:basedOn w:val="Standaard"/>
    <w:rsid w:val="0076572D"/>
    <w:pPr>
      <w:jc w:val="both"/>
    </w:pPr>
    <w:rPr>
      <w:i/>
      <w:sz w:val="22"/>
    </w:rPr>
  </w:style>
  <w:style w:type="paragraph" w:styleId="Ballontekst">
    <w:name w:val="Balloon Text"/>
    <w:basedOn w:val="Standaard"/>
    <w:link w:val="BallontekstChar"/>
    <w:rsid w:val="003F61B4"/>
    <w:rPr>
      <w:rFonts w:ascii="Tahoma" w:hAnsi="Tahoma"/>
      <w:sz w:val="16"/>
      <w:szCs w:val="16"/>
    </w:rPr>
  </w:style>
  <w:style w:type="paragraph" w:customStyle="1" w:styleId="SVVlaamsParlement">
    <w:name w:val="SV Vlaams Parlement"/>
    <w:basedOn w:val="Standaard"/>
    <w:rsid w:val="0076572D"/>
    <w:pPr>
      <w:jc w:val="both"/>
    </w:pPr>
    <w:rPr>
      <w:b/>
      <w:smallCaps/>
      <w:sz w:val="22"/>
    </w:rPr>
  </w:style>
  <w:style w:type="paragraph" w:customStyle="1" w:styleId="SVTitel">
    <w:name w:val="SV Titel"/>
    <w:basedOn w:val="Standaard"/>
    <w:rsid w:val="0076572D"/>
    <w:pPr>
      <w:jc w:val="both"/>
    </w:pPr>
    <w:rPr>
      <w:i/>
      <w:sz w:val="22"/>
    </w:rPr>
  </w:style>
  <w:style w:type="paragraph" w:customStyle="1" w:styleId="StandaardSV">
    <w:name w:val="Standaard SV"/>
    <w:basedOn w:val="Standaard"/>
    <w:rsid w:val="0076572D"/>
    <w:pPr>
      <w:jc w:val="both"/>
    </w:pPr>
    <w:rPr>
      <w:sz w:val="22"/>
    </w:rPr>
  </w:style>
  <w:style w:type="character" w:customStyle="1" w:styleId="BallontekstChar">
    <w:name w:val="Ballontekst Char"/>
    <w:link w:val="Ballontekst"/>
    <w:rsid w:val="003F61B4"/>
    <w:rPr>
      <w:rFonts w:ascii="Tahoma" w:hAnsi="Tahoma" w:cs="Tahoma"/>
      <w:sz w:val="16"/>
      <w:szCs w:val="16"/>
      <w:lang w:val="nl-NL" w:eastAsia="nl-NL"/>
    </w:rPr>
  </w:style>
  <w:style w:type="paragraph" w:styleId="Lijstalinea">
    <w:name w:val="List Paragraph"/>
    <w:basedOn w:val="Standaard"/>
    <w:uiPriority w:val="34"/>
    <w:qFormat/>
    <w:rsid w:val="003F61B4"/>
    <w:pPr>
      <w:ind w:left="708"/>
    </w:pPr>
  </w:style>
  <w:style w:type="table" w:styleId="Tabelraster">
    <w:name w:val="Table Grid"/>
    <w:basedOn w:val="Standaardtabel"/>
    <w:uiPriority w:val="59"/>
    <w:rsid w:val="002F115C"/>
    <w:rPr>
      <w:rFonts w:ascii="Verdana" w:eastAsia="Calibri" w:hAnsi="Verdana"/>
      <w:sz w:val="1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72661B"/>
    <w:rPr>
      <w:color w:val="0000FF"/>
      <w:u w:val="single"/>
    </w:rPr>
  </w:style>
  <w:style w:type="paragraph" w:customStyle="1" w:styleId="Default">
    <w:name w:val="Default"/>
    <w:rsid w:val="00DD58B9"/>
    <w:pPr>
      <w:autoSpaceDE w:val="0"/>
      <w:autoSpaceDN w:val="0"/>
      <w:adjustRightInd w:val="0"/>
    </w:pPr>
    <w:rPr>
      <w:rFonts w:ascii="Verdana" w:hAnsi="Verdana" w:cs="Verdana"/>
      <w:color w:val="000000"/>
      <w:sz w:val="24"/>
      <w:szCs w:val="24"/>
    </w:rPr>
  </w:style>
  <w:style w:type="paragraph" w:customStyle="1" w:styleId="headingc">
    <w:name w:val="heading c"/>
    <w:basedOn w:val="Standaard"/>
    <w:uiPriority w:val="99"/>
    <w:rsid w:val="00472F64"/>
    <w:pPr>
      <w:keepNext/>
      <w:spacing w:before="480"/>
    </w:pPr>
    <w:rPr>
      <w:b/>
      <w:sz w:val="22"/>
      <w:lang w:val="nl-BE" w:eastAsia="en-US"/>
    </w:rPr>
  </w:style>
  <w:style w:type="paragraph" w:customStyle="1" w:styleId="Rapport1">
    <w:name w:val="Rapport1"/>
    <w:basedOn w:val="Standaard"/>
    <w:link w:val="Rapport1Char"/>
    <w:rsid w:val="00472F64"/>
    <w:pPr>
      <w:spacing w:before="180"/>
      <w:ind w:left="709"/>
    </w:pPr>
    <w:rPr>
      <w:sz w:val="22"/>
      <w:lang w:val="nl-BE" w:eastAsia="en-US"/>
    </w:rPr>
  </w:style>
  <w:style w:type="character" w:customStyle="1" w:styleId="Rapport1Char">
    <w:name w:val="Rapport1 Char"/>
    <w:basedOn w:val="Standaardalinea-lettertype"/>
    <w:link w:val="Rapport1"/>
    <w:rsid w:val="00472F6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2618">
      <w:bodyDiv w:val="1"/>
      <w:marLeft w:val="0"/>
      <w:marRight w:val="0"/>
      <w:marTop w:val="0"/>
      <w:marBottom w:val="0"/>
      <w:divBdr>
        <w:top w:val="none" w:sz="0" w:space="0" w:color="auto"/>
        <w:left w:val="none" w:sz="0" w:space="0" w:color="auto"/>
        <w:bottom w:val="none" w:sz="0" w:space="0" w:color="auto"/>
        <w:right w:val="none" w:sz="0" w:space="0" w:color="auto"/>
      </w:divBdr>
    </w:div>
    <w:div w:id="521667214">
      <w:bodyDiv w:val="1"/>
      <w:marLeft w:val="0"/>
      <w:marRight w:val="0"/>
      <w:marTop w:val="0"/>
      <w:marBottom w:val="0"/>
      <w:divBdr>
        <w:top w:val="none" w:sz="0" w:space="0" w:color="auto"/>
        <w:left w:val="none" w:sz="0" w:space="0" w:color="auto"/>
        <w:bottom w:val="none" w:sz="0" w:space="0" w:color="auto"/>
        <w:right w:val="none" w:sz="0" w:space="0" w:color="auto"/>
      </w:divBdr>
    </w:div>
    <w:div w:id="707799999">
      <w:bodyDiv w:val="1"/>
      <w:marLeft w:val="0"/>
      <w:marRight w:val="0"/>
      <w:marTop w:val="0"/>
      <w:marBottom w:val="0"/>
      <w:divBdr>
        <w:top w:val="none" w:sz="0" w:space="0" w:color="auto"/>
        <w:left w:val="none" w:sz="0" w:space="0" w:color="auto"/>
        <w:bottom w:val="none" w:sz="0" w:space="0" w:color="auto"/>
        <w:right w:val="none" w:sz="0" w:space="0" w:color="auto"/>
      </w:divBdr>
    </w:div>
    <w:div w:id="819729353">
      <w:bodyDiv w:val="1"/>
      <w:marLeft w:val="0"/>
      <w:marRight w:val="0"/>
      <w:marTop w:val="0"/>
      <w:marBottom w:val="0"/>
      <w:divBdr>
        <w:top w:val="none" w:sz="0" w:space="0" w:color="auto"/>
        <w:left w:val="none" w:sz="0" w:space="0" w:color="auto"/>
        <w:bottom w:val="none" w:sz="0" w:space="0" w:color="auto"/>
        <w:right w:val="none" w:sz="0" w:space="0" w:color="auto"/>
      </w:divBdr>
    </w:div>
    <w:div w:id="855653774">
      <w:bodyDiv w:val="1"/>
      <w:marLeft w:val="0"/>
      <w:marRight w:val="0"/>
      <w:marTop w:val="0"/>
      <w:marBottom w:val="0"/>
      <w:divBdr>
        <w:top w:val="none" w:sz="0" w:space="0" w:color="auto"/>
        <w:left w:val="none" w:sz="0" w:space="0" w:color="auto"/>
        <w:bottom w:val="none" w:sz="0" w:space="0" w:color="auto"/>
        <w:right w:val="none" w:sz="0" w:space="0" w:color="auto"/>
      </w:divBdr>
    </w:div>
    <w:div w:id="968438919">
      <w:bodyDiv w:val="1"/>
      <w:marLeft w:val="0"/>
      <w:marRight w:val="0"/>
      <w:marTop w:val="0"/>
      <w:marBottom w:val="0"/>
      <w:divBdr>
        <w:top w:val="none" w:sz="0" w:space="0" w:color="auto"/>
        <w:left w:val="none" w:sz="0" w:space="0" w:color="auto"/>
        <w:bottom w:val="none" w:sz="0" w:space="0" w:color="auto"/>
        <w:right w:val="none" w:sz="0" w:space="0" w:color="auto"/>
      </w:divBdr>
    </w:div>
    <w:div w:id="1150488332">
      <w:bodyDiv w:val="1"/>
      <w:marLeft w:val="0"/>
      <w:marRight w:val="0"/>
      <w:marTop w:val="0"/>
      <w:marBottom w:val="0"/>
      <w:divBdr>
        <w:top w:val="none" w:sz="0" w:space="0" w:color="auto"/>
        <w:left w:val="none" w:sz="0" w:space="0" w:color="auto"/>
        <w:bottom w:val="none" w:sz="0" w:space="0" w:color="auto"/>
        <w:right w:val="none" w:sz="0" w:space="0" w:color="auto"/>
      </w:divBdr>
    </w:div>
    <w:div w:id="1266813668">
      <w:bodyDiv w:val="1"/>
      <w:marLeft w:val="0"/>
      <w:marRight w:val="0"/>
      <w:marTop w:val="0"/>
      <w:marBottom w:val="0"/>
      <w:divBdr>
        <w:top w:val="none" w:sz="0" w:space="0" w:color="auto"/>
        <w:left w:val="none" w:sz="0" w:space="0" w:color="auto"/>
        <w:bottom w:val="none" w:sz="0" w:space="0" w:color="auto"/>
        <w:right w:val="none" w:sz="0" w:space="0" w:color="auto"/>
      </w:divBdr>
    </w:div>
    <w:div w:id="1671982542">
      <w:bodyDiv w:val="1"/>
      <w:marLeft w:val="0"/>
      <w:marRight w:val="0"/>
      <w:marTop w:val="0"/>
      <w:marBottom w:val="0"/>
      <w:divBdr>
        <w:top w:val="none" w:sz="0" w:space="0" w:color="auto"/>
        <w:left w:val="none" w:sz="0" w:space="0" w:color="auto"/>
        <w:bottom w:val="none" w:sz="0" w:space="0" w:color="auto"/>
        <w:right w:val="none" w:sz="0" w:space="0" w:color="auto"/>
      </w:divBdr>
    </w:div>
    <w:div w:id="1765417157">
      <w:bodyDiv w:val="1"/>
      <w:marLeft w:val="0"/>
      <w:marRight w:val="0"/>
      <w:marTop w:val="0"/>
      <w:marBottom w:val="0"/>
      <w:divBdr>
        <w:top w:val="none" w:sz="0" w:space="0" w:color="auto"/>
        <w:left w:val="none" w:sz="0" w:space="0" w:color="auto"/>
        <w:bottom w:val="none" w:sz="0" w:space="0" w:color="auto"/>
        <w:right w:val="none" w:sz="0" w:space="0" w:color="auto"/>
      </w:divBdr>
    </w:div>
    <w:div w:id="1869759248">
      <w:bodyDiv w:val="1"/>
      <w:marLeft w:val="0"/>
      <w:marRight w:val="0"/>
      <w:marTop w:val="0"/>
      <w:marBottom w:val="0"/>
      <w:divBdr>
        <w:top w:val="none" w:sz="0" w:space="0" w:color="auto"/>
        <w:left w:val="none" w:sz="0" w:space="0" w:color="auto"/>
        <w:bottom w:val="none" w:sz="0" w:space="0" w:color="auto"/>
        <w:right w:val="none" w:sz="0" w:space="0" w:color="auto"/>
      </w:divBdr>
    </w:div>
    <w:div w:id="21125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3733</Words>
  <Characters>22746</Characters>
  <Application>Microsoft Office Word</Application>
  <DocSecurity>0</DocSecurity>
  <Lines>189</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3</cp:revision>
  <cp:lastPrinted>2012-05-31T14:12:00Z</cp:lastPrinted>
  <dcterms:created xsi:type="dcterms:W3CDTF">2012-05-31T14:16:00Z</dcterms:created>
  <dcterms:modified xsi:type="dcterms:W3CDTF">2012-05-31T14:30:00Z</dcterms:modified>
</cp:coreProperties>
</file>