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43" w:rsidRDefault="000B4043" w:rsidP="00455438">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sidR="00E40807">
        <w:rPr>
          <w:rFonts w:ascii="Times New Roman Vet" w:hAnsi="Times New Roman Vet"/>
          <w:b/>
          <w:smallCaps/>
          <w:sz w:val="22"/>
          <w:szCs w:val="22"/>
          <w:lang w:val="nl-BE"/>
        </w:rPr>
        <w:t xml:space="preserve"> </w:t>
      </w:r>
      <w:bookmarkStart w:id="0" w:name="_GoBack"/>
      <w:bookmarkEnd w:id="0"/>
      <w:proofErr w:type="spellStart"/>
      <w:r>
        <w:rPr>
          <w:rFonts w:ascii="Times New Roman Vet" w:hAnsi="Times New Roman Vet"/>
          <w:b/>
          <w:smallCaps/>
          <w:sz w:val="22"/>
          <w:szCs w:val="22"/>
          <w:lang w:val="nl-BE"/>
        </w:rPr>
        <w:t>muyters</w:t>
      </w:r>
      <w:proofErr w:type="spellEnd"/>
    </w:p>
    <w:p w:rsidR="000B4043" w:rsidRDefault="000B4043" w:rsidP="00455438">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rsidR="000B4043" w:rsidRDefault="000B4043" w:rsidP="00455438">
      <w:pPr>
        <w:pStyle w:val="StandaardSV"/>
        <w:pBdr>
          <w:bottom w:val="single" w:sz="4" w:space="1" w:color="auto"/>
        </w:pBdr>
        <w:rPr>
          <w:lang w:val="nl-BE"/>
        </w:rPr>
      </w:pPr>
    </w:p>
    <w:p w:rsidR="000B4043" w:rsidRDefault="000B4043" w:rsidP="00455438">
      <w:pPr>
        <w:jc w:val="both"/>
        <w:rPr>
          <w:sz w:val="22"/>
        </w:rPr>
      </w:pPr>
    </w:p>
    <w:p w:rsidR="000B4043" w:rsidRDefault="000B4043" w:rsidP="00455438">
      <w:pPr>
        <w:jc w:val="both"/>
        <w:rPr>
          <w:rFonts w:ascii="Times New Roman Vet" w:hAnsi="Times New Roman Vet"/>
          <w:b/>
          <w:smallCaps/>
          <w:sz w:val="22"/>
        </w:rPr>
      </w:pPr>
      <w:r>
        <w:rPr>
          <w:rFonts w:ascii="Times New Roman Vet" w:hAnsi="Times New Roman Vet"/>
          <w:b/>
          <w:smallCaps/>
          <w:sz w:val="22"/>
        </w:rPr>
        <w:t>antwoord</w:t>
      </w:r>
    </w:p>
    <w:p w:rsidR="000B4043" w:rsidRDefault="000B4043" w:rsidP="00455438">
      <w:pPr>
        <w:jc w:val="both"/>
        <w:rPr>
          <w:sz w:val="22"/>
        </w:rPr>
      </w:pPr>
      <w:r>
        <w:rPr>
          <w:sz w:val="22"/>
        </w:rPr>
        <w:t>op vraag nr. 568 van 19 april 2012</w:t>
      </w:r>
    </w:p>
    <w:p w:rsidR="000B4043" w:rsidRDefault="000B4043" w:rsidP="00455438">
      <w:pPr>
        <w:jc w:val="both"/>
        <w:rPr>
          <w:b/>
          <w:sz w:val="22"/>
        </w:rPr>
      </w:pPr>
      <w:r>
        <w:rPr>
          <w:sz w:val="22"/>
        </w:rPr>
        <w:t xml:space="preserve">van </w:t>
      </w:r>
      <w:proofErr w:type="spellStart"/>
      <w:r>
        <w:rPr>
          <w:b/>
          <w:smallCaps/>
          <w:sz w:val="22"/>
        </w:rPr>
        <w:t>lydia</w:t>
      </w:r>
      <w:proofErr w:type="spellEnd"/>
      <w:r>
        <w:rPr>
          <w:b/>
          <w:smallCaps/>
          <w:sz w:val="22"/>
        </w:rPr>
        <w:t xml:space="preserve"> </w:t>
      </w:r>
      <w:proofErr w:type="spellStart"/>
      <w:r>
        <w:rPr>
          <w:b/>
          <w:smallCaps/>
          <w:sz w:val="22"/>
        </w:rPr>
        <w:t>peeters</w:t>
      </w:r>
      <w:proofErr w:type="spellEnd"/>
    </w:p>
    <w:p w:rsidR="000B4043" w:rsidRDefault="000B4043" w:rsidP="00455438">
      <w:pPr>
        <w:pBdr>
          <w:bottom w:val="single" w:sz="4" w:space="1" w:color="auto"/>
        </w:pBdr>
        <w:jc w:val="both"/>
        <w:rPr>
          <w:sz w:val="22"/>
        </w:rPr>
      </w:pPr>
    </w:p>
    <w:p w:rsidR="000B4043" w:rsidRDefault="000B4043" w:rsidP="00455438">
      <w:pPr>
        <w:pStyle w:val="StandaardSV"/>
      </w:pPr>
    </w:p>
    <w:p w:rsidR="000B4043" w:rsidRDefault="000B4043" w:rsidP="00455438">
      <w:pPr>
        <w:pStyle w:val="StandaardSV"/>
      </w:pPr>
    </w:p>
    <w:p w:rsidR="000B4043" w:rsidRPr="007E53D9" w:rsidRDefault="000B4043" w:rsidP="00455438">
      <w:pPr>
        <w:pStyle w:val="StandaardSV"/>
        <w:numPr>
          <w:ilvl w:val="0"/>
          <w:numId w:val="1"/>
        </w:numPr>
      </w:pPr>
      <w:r w:rsidRPr="007E53D9">
        <w:rPr>
          <w:szCs w:val="22"/>
        </w:rPr>
        <w:t>In 2011 beëindigden 28 tijdelijke werklozen om economische redenen hun opleiding</w:t>
      </w:r>
      <w:r>
        <w:rPr>
          <w:szCs w:val="22"/>
        </w:rPr>
        <w:t xml:space="preserve"> bij VDAB</w:t>
      </w:r>
      <w:r w:rsidRPr="007E53D9">
        <w:rPr>
          <w:szCs w:val="22"/>
        </w:rPr>
        <w:t xml:space="preserve"> (die ze volgden </w:t>
      </w:r>
      <w:r>
        <w:rPr>
          <w:szCs w:val="22"/>
        </w:rPr>
        <w:t xml:space="preserve">op eigen verzoek), waarvan </w:t>
      </w:r>
      <w:smartTag w:uri="urn:schemas-microsoft-com:office:smarttags" w:element="metricconverter">
        <w:smartTagPr>
          <w:attr w:name="ProductID" w:val="2 in"/>
        </w:smartTagPr>
        <w:r>
          <w:rPr>
            <w:szCs w:val="22"/>
          </w:rPr>
          <w:t>2</w:t>
        </w:r>
        <w:r w:rsidRPr="007E53D9">
          <w:rPr>
            <w:szCs w:val="22"/>
          </w:rPr>
          <w:t xml:space="preserve"> in</w:t>
        </w:r>
      </w:smartTag>
      <w:r w:rsidRPr="007E53D9">
        <w:rPr>
          <w:szCs w:val="22"/>
        </w:rPr>
        <w:t xml:space="preserve"> de </w:t>
      </w:r>
      <w:r>
        <w:rPr>
          <w:szCs w:val="22"/>
        </w:rPr>
        <w:t>tweede helft van 2011</w:t>
      </w:r>
      <w:r w:rsidRPr="007E53D9">
        <w:rPr>
          <w:szCs w:val="22"/>
        </w:rPr>
        <w:t xml:space="preserve">. Bijlage 1 geeft een overzicht van de tijdelijke werklozen die op eigen verzoek een opleiding volgden, opgesplitst </w:t>
      </w:r>
      <w:r>
        <w:rPr>
          <w:szCs w:val="22"/>
        </w:rPr>
        <w:t>eerste en tweede helft</w:t>
      </w:r>
      <w:r w:rsidRPr="007E53D9">
        <w:rPr>
          <w:szCs w:val="22"/>
        </w:rPr>
        <w:t xml:space="preserve"> 2011 en dit</w:t>
      </w:r>
      <w:r>
        <w:rPr>
          <w:szCs w:val="22"/>
        </w:rPr>
        <w:t xml:space="preserve"> per provincie en per opleiding</w:t>
      </w:r>
      <w:r w:rsidRPr="007E53D9">
        <w:rPr>
          <w:szCs w:val="22"/>
        </w:rPr>
        <w:t>.</w:t>
      </w:r>
    </w:p>
    <w:p w:rsidR="000B4043" w:rsidRDefault="000B4043" w:rsidP="00455438">
      <w:pPr>
        <w:pStyle w:val="StandaardSV"/>
      </w:pPr>
    </w:p>
    <w:p w:rsidR="000B4043" w:rsidRDefault="000B4043" w:rsidP="00455438">
      <w:pPr>
        <w:pStyle w:val="StandaardSV"/>
        <w:numPr>
          <w:ilvl w:val="0"/>
          <w:numId w:val="1"/>
        </w:numPr>
      </w:pPr>
      <w:r>
        <w:t>VDAB beschikt niet over een overzicht van de sectorale acties. Bij de actie “Loop voorop” die de metaalsector opzette werd VDAB geconsulteerd over de inhoud van het opleidingsprogramma. Deze actie eindigde in 2011. De sectorale acties werden in kaart gebracht in het HIVA onderzoek waar u naar verwijst.</w:t>
      </w:r>
    </w:p>
    <w:p w:rsidR="000B4043" w:rsidRDefault="000B4043" w:rsidP="00455438">
      <w:pPr>
        <w:pStyle w:val="StandaardSV"/>
      </w:pPr>
    </w:p>
    <w:p w:rsidR="000B4043" w:rsidRPr="007E53D9" w:rsidRDefault="000B4043" w:rsidP="007E53D9">
      <w:pPr>
        <w:pStyle w:val="StandaardSV"/>
        <w:numPr>
          <w:ilvl w:val="0"/>
          <w:numId w:val="1"/>
        </w:numPr>
      </w:pPr>
      <w:r w:rsidRPr="007E53D9">
        <w:t xml:space="preserve">De bevoegde instantie die over alle gegevens beschikt is de RVA. VDAB kan dus maar gegevens verzamelen van de mensen die zich vrijwillig bij </w:t>
      </w:r>
      <w:r>
        <w:t>hen</w:t>
      </w:r>
      <w:r w:rsidRPr="007E53D9">
        <w:t xml:space="preserve"> aanbieden om gedurende deze periode een opleiding te volgen. Een volledig beeld vormen en de groep in kaart brengen is vooralsnog niet mogelijk. VDAB baseert zich voor de beoordeling dus op de federale gegevens hierover</w:t>
      </w:r>
      <w:r w:rsidRPr="0045352E">
        <w:rPr>
          <w:i/>
        </w:rPr>
        <w:t>.</w:t>
      </w:r>
    </w:p>
    <w:p w:rsidR="000B4043" w:rsidRDefault="000B4043" w:rsidP="00455438">
      <w:pPr>
        <w:pStyle w:val="StandaardSV"/>
      </w:pPr>
    </w:p>
    <w:p w:rsidR="000B4043" w:rsidRPr="007E53D9" w:rsidRDefault="000B4043" w:rsidP="007E53D9">
      <w:pPr>
        <w:pStyle w:val="StandaardSV"/>
        <w:numPr>
          <w:ilvl w:val="0"/>
          <w:numId w:val="1"/>
        </w:numPr>
      </w:pPr>
      <w:r w:rsidRPr="007E53D9">
        <w:t>De studie toont inderdaad aan dat er slechts zeer gering gebruik is gemaakt van de mogelijkheden tot opleiding in de periode van economische werkloosheid.</w:t>
      </w:r>
    </w:p>
    <w:p w:rsidR="000B4043" w:rsidRPr="007E53D9" w:rsidRDefault="000B4043" w:rsidP="0020433E">
      <w:pPr>
        <w:pStyle w:val="StandaardSV"/>
        <w:ind w:left="360"/>
      </w:pPr>
      <w:r w:rsidRPr="007E53D9">
        <w:t>De VDAB werkt momenteel</w:t>
      </w:r>
      <w:r>
        <w:t>,</w:t>
      </w:r>
      <w:r w:rsidRPr="007E53D9">
        <w:t xml:space="preserve"> zoals in de aanbevelingen van de studie staat, een draaiboek uit om in de toekomst efficiënter te kunnen inspelen op de specifieke noden van deze bedrijven en werknemers. Zij wil hierbij haar dienstverlening </w:t>
      </w:r>
      <w:r w:rsidRPr="007E53D9">
        <w:rPr>
          <w:lang w:val="nl-BE"/>
        </w:rPr>
        <w:t xml:space="preserve">beter afstemmen op de economische situatie van het bedrijf én de behoeften van de tijdelijke werkloze. </w:t>
      </w:r>
      <w:r w:rsidRPr="007E53D9">
        <w:t>Dit draaiboek zal na interne goedkeuring door de bestuurders, in nauw overleg met de sectorfondsen worden gedetailleerd en afgetoetst met de stakeholders op het werkveld.</w:t>
      </w:r>
    </w:p>
    <w:p w:rsidR="000B4043" w:rsidRDefault="000B4043" w:rsidP="00455438">
      <w:pPr>
        <w:pStyle w:val="StandaardSV"/>
      </w:pPr>
    </w:p>
    <w:p w:rsidR="000B4043" w:rsidRDefault="000B4043" w:rsidP="00107E59">
      <w:pPr>
        <w:pStyle w:val="StandaardSV"/>
        <w:numPr>
          <w:ilvl w:val="0"/>
          <w:numId w:val="1"/>
        </w:numPr>
      </w:pPr>
      <w:r>
        <w:t>a)</w:t>
      </w:r>
      <w:r>
        <w:tab/>
        <w:t xml:space="preserve">Hierover heeft geen overleg plaatsgevonden. </w:t>
      </w:r>
    </w:p>
    <w:p w:rsidR="000B4043" w:rsidRDefault="000B4043" w:rsidP="001A1C31">
      <w:pPr>
        <w:pStyle w:val="StandaardSV"/>
        <w:ind w:left="360"/>
      </w:pPr>
    </w:p>
    <w:p w:rsidR="000B4043" w:rsidRDefault="000B4043" w:rsidP="00107E59">
      <w:pPr>
        <w:pStyle w:val="StandaardSV"/>
        <w:numPr>
          <w:ilvl w:val="0"/>
          <w:numId w:val="17"/>
        </w:numPr>
      </w:pPr>
      <w:r>
        <w:t>De federale Minister van Werk en de RVA beslisten tijdens de economische crisis dat opleidingen op initiatief van de werkgever of op initiatief van de bevoegde openbare dienst voor beroepsopleiding of van een opleidingsinstelling in samenwerking met de werkgever, tijdelijk werden toegelaten, waardoor deze persoon zijn uitkering niet verloor. Dit was inderdaad een tijdelijke maatregel. De RVA geeft wel aan dat bij het volgen van een opleiding, los van de onderneming, het recht op een uitkering voor de tijdelijke werkloze, ook vandaag behouden blijft. E</w:t>
      </w:r>
      <w:r w:rsidRPr="007E53D9">
        <w:t xml:space="preserve">lke werknemer </w:t>
      </w:r>
      <w:r>
        <w:t xml:space="preserve">kan dus nog steeds </w:t>
      </w:r>
      <w:r w:rsidRPr="007E53D9">
        <w:t xml:space="preserve">op eigen verzoek een gratis opleiding bij VDAB aanvragen tijdens economische werkloosheid, dit incl. </w:t>
      </w:r>
      <w:proofErr w:type="spellStart"/>
      <w:r w:rsidRPr="007E53D9">
        <w:t>webleren</w:t>
      </w:r>
      <w:proofErr w:type="spellEnd"/>
      <w:r>
        <w:t>. Het volgen van opleiding tijdens periodes van tijdelijke werkloosheid op initiatief van het individu, zullen wij vanuit Vlaanderen dus verder blijven stimuleren.</w:t>
      </w:r>
    </w:p>
    <w:p w:rsidR="000B4043" w:rsidRPr="00E50B11" w:rsidRDefault="000B4043" w:rsidP="00681224">
      <w:pPr>
        <w:pStyle w:val="StandaardSV"/>
        <w:ind w:left="360"/>
        <w:rPr>
          <w:i/>
        </w:rPr>
      </w:pPr>
    </w:p>
    <w:p w:rsidR="000B4043" w:rsidRDefault="000B4043" w:rsidP="00105359">
      <w:pPr>
        <w:pStyle w:val="StandaardSV"/>
        <w:numPr>
          <w:ilvl w:val="0"/>
          <w:numId w:val="1"/>
        </w:numPr>
      </w:pPr>
      <w:r>
        <w:t xml:space="preserve">Uit de studie van het HIVA blijkt dat er heel wat drempels zijn om personen te stimuleren om een opleiding te volgen in periodes van tijdelijke werkloosheid en dat enkel het geven van financiële incentives of het opleggen van extra voorwaarden onvoldoende inspeelt op de belangrijkste drempels. Vandaar dat ik in eerste instantie wil inzetten op het uitwerken van een gedragen draaiboek met de belangrijkste stakeholders en wil voorzien in een gepast en flexibel aanbod voor werknemers die op eigen initiatief een opleiding wensen te volgen in periodes van tijdelijke werkloosheid. Aanvullend wil ik ook in het kader van het Loopbaanakkoord de werkgevers verder stimuleren en ondersteunen om werk te maken van een strategisch competentie– en </w:t>
      </w:r>
      <w:r>
        <w:lastRenderedPageBreak/>
        <w:t xml:space="preserve">loopbaanbeleid in hun onderneming. Dit betekent dat zij ook investeren in het up </w:t>
      </w:r>
      <w:proofErr w:type="spellStart"/>
      <w:r>
        <w:t>to</w:t>
      </w:r>
      <w:proofErr w:type="spellEnd"/>
      <w:r>
        <w:t xml:space="preserve"> date houden of gericht ontwikkelen van de competenties van hun werknemers (ook in tijden van economische crisis) en dat zij hen tegelijk ook warm maken om tijdens periodes van tijdelijke werkloosheid deze gelegenheid aangrijpen tot competentieontwikkeling. </w:t>
      </w:r>
    </w:p>
    <w:p w:rsidR="000B4043" w:rsidRDefault="000B4043" w:rsidP="00105359">
      <w:pPr>
        <w:pStyle w:val="StandaardSV"/>
      </w:pPr>
    </w:p>
    <w:p w:rsidR="000B4043" w:rsidRDefault="000B4043" w:rsidP="00105359">
      <w:pPr>
        <w:pStyle w:val="StandaardSV"/>
      </w:pPr>
    </w:p>
    <w:p w:rsidR="000B4043" w:rsidRPr="00107E59" w:rsidRDefault="000B4043" w:rsidP="00105359">
      <w:pPr>
        <w:pStyle w:val="StandaardSV"/>
        <w:rPr>
          <w:rFonts w:ascii="Times New Roman Vet" w:hAnsi="Times New Roman Vet"/>
          <w:b/>
          <w:smallCaps/>
          <w:color w:val="FF0000"/>
        </w:rPr>
      </w:pPr>
      <w:r>
        <w:rPr>
          <w:rFonts w:ascii="Times New Roman Vet" w:hAnsi="Times New Roman Vet"/>
          <w:b/>
          <w:smallCaps/>
          <w:color w:val="FF0000"/>
        </w:rPr>
        <w:t>bijlage</w:t>
      </w:r>
    </w:p>
    <w:p w:rsidR="000B4043" w:rsidRDefault="000B4043" w:rsidP="00105359">
      <w:pPr>
        <w:pStyle w:val="StandaardSV"/>
      </w:pPr>
    </w:p>
    <w:p w:rsidR="000B4043" w:rsidRDefault="000B4043" w:rsidP="00105359">
      <w:pPr>
        <w:pStyle w:val="StandaardSV"/>
      </w:pPr>
      <w:r>
        <w:t>Opleiding op verzoek van werknemer in periode van tijdelijke werkloosheid omwille van economische redenen</w:t>
      </w:r>
    </w:p>
    <w:sectPr w:rsidR="000B4043" w:rsidSect="000A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2212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D2D2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CAB0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B85F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F4B0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EA9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604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8A6D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6833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B2A63E"/>
    <w:lvl w:ilvl="0">
      <w:start w:val="1"/>
      <w:numFmt w:val="bullet"/>
      <w:lvlText w:val=""/>
      <w:lvlJc w:val="left"/>
      <w:pPr>
        <w:tabs>
          <w:tab w:val="num" w:pos="360"/>
        </w:tabs>
        <w:ind w:left="360" w:hanging="360"/>
      </w:pPr>
      <w:rPr>
        <w:rFonts w:ascii="Symbol" w:hAnsi="Symbol" w:hint="default"/>
      </w:rPr>
    </w:lvl>
  </w:abstractNum>
  <w:abstractNum w:abstractNumId="10">
    <w:nsid w:val="07A46050"/>
    <w:multiLevelType w:val="multilevel"/>
    <w:tmpl w:val="6FFC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41ABE"/>
    <w:multiLevelType w:val="hybridMultilevel"/>
    <w:tmpl w:val="E34EE31A"/>
    <w:lvl w:ilvl="0" w:tplc="08130017">
      <w:start w:val="1"/>
      <w:numFmt w:val="lowerLetter"/>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2">
    <w:nsid w:val="25932E81"/>
    <w:multiLevelType w:val="hybridMultilevel"/>
    <w:tmpl w:val="23D04CE6"/>
    <w:lvl w:ilvl="0" w:tplc="14FA1400">
      <w:start w:val="2"/>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63D26B4"/>
    <w:multiLevelType w:val="hybridMultilevel"/>
    <w:tmpl w:val="0D7A74BC"/>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14">
    <w:nsid w:val="33A3234F"/>
    <w:multiLevelType w:val="hybridMultilevel"/>
    <w:tmpl w:val="9BB2870E"/>
    <w:lvl w:ilvl="0" w:tplc="4776CB00">
      <w:start w:val="1"/>
      <w:numFmt w:val="bullet"/>
      <w:lvlText w:val=""/>
      <w:lvlJc w:val="left"/>
      <w:pPr>
        <w:tabs>
          <w:tab w:val="num" w:pos="987"/>
        </w:tabs>
        <w:ind w:left="987" w:hanging="283"/>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15">
    <w:nsid w:val="4E5A0B1E"/>
    <w:multiLevelType w:val="hybridMultilevel"/>
    <w:tmpl w:val="E34EE31A"/>
    <w:lvl w:ilvl="0" w:tplc="08130017">
      <w:start w:val="1"/>
      <w:numFmt w:val="lowerLetter"/>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438"/>
    <w:rsid w:val="00004650"/>
    <w:rsid w:val="0002598B"/>
    <w:rsid w:val="000A7B0A"/>
    <w:rsid w:val="000B4043"/>
    <w:rsid w:val="000C623C"/>
    <w:rsid w:val="00105359"/>
    <w:rsid w:val="00107E59"/>
    <w:rsid w:val="0017573B"/>
    <w:rsid w:val="00193E68"/>
    <w:rsid w:val="001A1C31"/>
    <w:rsid w:val="001D3B7E"/>
    <w:rsid w:val="001E26D3"/>
    <w:rsid w:val="0020433E"/>
    <w:rsid w:val="002B4D80"/>
    <w:rsid w:val="002E69ED"/>
    <w:rsid w:val="00311028"/>
    <w:rsid w:val="003613AE"/>
    <w:rsid w:val="00385AF7"/>
    <w:rsid w:val="00393AE6"/>
    <w:rsid w:val="0041607C"/>
    <w:rsid w:val="0045352E"/>
    <w:rsid w:val="0045361A"/>
    <w:rsid w:val="00455438"/>
    <w:rsid w:val="00461CE1"/>
    <w:rsid w:val="004D05E5"/>
    <w:rsid w:val="004E35C4"/>
    <w:rsid w:val="005169E9"/>
    <w:rsid w:val="005A092E"/>
    <w:rsid w:val="005D3FF6"/>
    <w:rsid w:val="00600005"/>
    <w:rsid w:val="00610D56"/>
    <w:rsid w:val="00645133"/>
    <w:rsid w:val="00681224"/>
    <w:rsid w:val="006C3D13"/>
    <w:rsid w:val="006D4487"/>
    <w:rsid w:val="00744644"/>
    <w:rsid w:val="00774AE4"/>
    <w:rsid w:val="007E4B3E"/>
    <w:rsid w:val="007E53D9"/>
    <w:rsid w:val="00800787"/>
    <w:rsid w:val="00873604"/>
    <w:rsid w:val="00892F02"/>
    <w:rsid w:val="009739CA"/>
    <w:rsid w:val="009806CF"/>
    <w:rsid w:val="00995EF7"/>
    <w:rsid w:val="0099636C"/>
    <w:rsid w:val="009D0888"/>
    <w:rsid w:val="00AC2787"/>
    <w:rsid w:val="00AC328E"/>
    <w:rsid w:val="00AD68A5"/>
    <w:rsid w:val="00AE4F24"/>
    <w:rsid w:val="00B47526"/>
    <w:rsid w:val="00C4299B"/>
    <w:rsid w:val="00C453DD"/>
    <w:rsid w:val="00C56721"/>
    <w:rsid w:val="00D14051"/>
    <w:rsid w:val="00D66C78"/>
    <w:rsid w:val="00DC6B8F"/>
    <w:rsid w:val="00E119D3"/>
    <w:rsid w:val="00E35D2C"/>
    <w:rsid w:val="00E40807"/>
    <w:rsid w:val="00E4530E"/>
    <w:rsid w:val="00E50B11"/>
    <w:rsid w:val="00EA66A5"/>
    <w:rsid w:val="00EF4799"/>
    <w:rsid w:val="00F57261"/>
    <w:rsid w:val="00F62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5438"/>
    <w:rPr>
      <w:rFonts w:ascii="Times New Roman" w:eastAsia="Times New Roman" w:hAnsi="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455438"/>
    <w:pPr>
      <w:jc w:val="both"/>
    </w:pPr>
    <w:rPr>
      <w:b/>
      <w:smallCaps/>
      <w:sz w:val="22"/>
    </w:rPr>
  </w:style>
  <w:style w:type="paragraph" w:customStyle="1" w:styleId="StandaardSV">
    <w:name w:val="Standaard SV"/>
    <w:basedOn w:val="Standaard"/>
    <w:uiPriority w:val="99"/>
    <w:rsid w:val="00455438"/>
    <w:pPr>
      <w:jc w:val="both"/>
    </w:pPr>
    <w:rPr>
      <w:sz w:val="22"/>
    </w:rPr>
  </w:style>
  <w:style w:type="paragraph" w:styleId="Normaalweb">
    <w:name w:val="Normal (Web)"/>
    <w:basedOn w:val="Standaard"/>
    <w:uiPriority w:val="99"/>
    <w:semiHidden/>
    <w:rsid w:val="00681224"/>
    <w:pPr>
      <w:spacing w:before="100" w:beforeAutospacing="1" w:after="100" w:afterAutospacing="1"/>
    </w:pPr>
    <w:rPr>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85">
      <w:marLeft w:val="0"/>
      <w:marRight w:val="0"/>
      <w:marTop w:val="0"/>
      <w:marBottom w:val="0"/>
      <w:divBdr>
        <w:top w:val="none" w:sz="0" w:space="0" w:color="auto"/>
        <w:left w:val="none" w:sz="0" w:space="0" w:color="auto"/>
        <w:bottom w:val="none" w:sz="0" w:space="0" w:color="auto"/>
        <w:right w:val="none" w:sz="0" w:space="0" w:color="auto"/>
      </w:divBdr>
    </w:div>
    <w:div w:id="669390">
      <w:marLeft w:val="0"/>
      <w:marRight w:val="0"/>
      <w:marTop w:val="0"/>
      <w:marBottom w:val="0"/>
      <w:divBdr>
        <w:top w:val="none" w:sz="0" w:space="0" w:color="auto"/>
        <w:left w:val="none" w:sz="0" w:space="0" w:color="auto"/>
        <w:bottom w:val="none" w:sz="0" w:space="0" w:color="auto"/>
        <w:right w:val="none" w:sz="0" w:space="0" w:color="auto"/>
      </w:divBdr>
      <w:divsChild>
        <w:div w:id="669386">
          <w:marLeft w:val="0"/>
          <w:marRight w:val="0"/>
          <w:marTop w:val="0"/>
          <w:marBottom w:val="0"/>
          <w:divBdr>
            <w:top w:val="none" w:sz="0" w:space="0" w:color="auto"/>
            <w:left w:val="none" w:sz="0" w:space="0" w:color="auto"/>
            <w:bottom w:val="none" w:sz="0" w:space="0" w:color="auto"/>
            <w:right w:val="none" w:sz="0" w:space="0" w:color="auto"/>
          </w:divBdr>
          <w:divsChild>
            <w:div w:id="669389">
              <w:marLeft w:val="0"/>
              <w:marRight w:val="0"/>
              <w:marTop w:val="0"/>
              <w:marBottom w:val="0"/>
              <w:divBdr>
                <w:top w:val="none" w:sz="0" w:space="0" w:color="auto"/>
                <w:left w:val="none" w:sz="0" w:space="0" w:color="auto"/>
                <w:bottom w:val="none" w:sz="0" w:space="0" w:color="auto"/>
                <w:right w:val="none" w:sz="0" w:space="0" w:color="auto"/>
              </w:divBdr>
              <w:divsChild>
                <w:div w:id="669394">
                  <w:marLeft w:val="0"/>
                  <w:marRight w:val="0"/>
                  <w:marTop w:val="0"/>
                  <w:marBottom w:val="0"/>
                  <w:divBdr>
                    <w:top w:val="none" w:sz="0" w:space="0" w:color="auto"/>
                    <w:left w:val="none" w:sz="0" w:space="0" w:color="auto"/>
                    <w:bottom w:val="none" w:sz="0" w:space="0" w:color="auto"/>
                    <w:right w:val="none" w:sz="0" w:space="0" w:color="auto"/>
                  </w:divBdr>
                  <w:divsChild>
                    <w:div w:id="669387">
                      <w:marLeft w:val="0"/>
                      <w:marRight w:val="0"/>
                      <w:marTop w:val="0"/>
                      <w:marBottom w:val="0"/>
                      <w:divBdr>
                        <w:top w:val="none" w:sz="0" w:space="0" w:color="auto"/>
                        <w:left w:val="none" w:sz="0" w:space="0" w:color="auto"/>
                        <w:bottom w:val="none" w:sz="0" w:space="0" w:color="auto"/>
                        <w:right w:val="none" w:sz="0" w:space="0" w:color="auto"/>
                      </w:divBdr>
                      <w:divsChild>
                        <w:div w:id="669388">
                          <w:marLeft w:val="0"/>
                          <w:marRight w:val="0"/>
                          <w:marTop w:val="0"/>
                          <w:marBottom w:val="0"/>
                          <w:divBdr>
                            <w:top w:val="none" w:sz="0" w:space="0" w:color="auto"/>
                            <w:left w:val="none" w:sz="0" w:space="0" w:color="auto"/>
                            <w:bottom w:val="none" w:sz="0" w:space="0" w:color="auto"/>
                            <w:right w:val="none" w:sz="0" w:space="0" w:color="auto"/>
                          </w:divBdr>
                          <w:divsChild>
                            <w:div w:id="669383">
                              <w:marLeft w:val="0"/>
                              <w:marRight w:val="0"/>
                              <w:marTop w:val="0"/>
                              <w:marBottom w:val="0"/>
                              <w:divBdr>
                                <w:top w:val="none" w:sz="0" w:space="0" w:color="auto"/>
                                <w:left w:val="none" w:sz="0" w:space="0" w:color="auto"/>
                                <w:bottom w:val="none" w:sz="0" w:space="0" w:color="auto"/>
                                <w:right w:val="none" w:sz="0" w:space="0" w:color="auto"/>
                              </w:divBdr>
                              <w:divsChild>
                                <w:div w:id="669384">
                                  <w:marLeft w:val="0"/>
                                  <w:marRight w:val="0"/>
                                  <w:marTop w:val="0"/>
                                  <w:marBottom w:val="0"/>
                                  <w:divBdr>
                                    <w:top w:val="none" w:sz="0" w:space="0" w:color="auto"/>
                                    <w:left w:val="none" w:sz="0" w:space="0" w:color="auto"/>
                                    <w:bottom w:val="none" w:sz="0" w:space="0" w:color="auto"/>
                                    <w:right w:val="none" w:sz="0" w:space="0" w:color="auto"/>
                                  </w:divBdr>
                                  <w:divsChild>
                                    <w:div w:id="669393">
                                      <w:marLeft w:val="0"/>
                                      <w:marRight w:val="0"/>
                                      <w:marTop w:val="0"/>
                                      <w:marBottom w:val="0"/>
                                      <w:divBdr>
                                        <w:top w:val="none" w:sz="0" w:space="0" w:color="auto"/>
                                        <w:left w:val="none" w:sz="0" w:space="0" w:color="auto"/>
                                        <w:bottom w:val="none" w:sz="0" w:space="0" w:color="auto"/>
                                        <w:right w:val="none" w:sz="0" w:space="0" w:color="auto"/>
                                      </w:divBdr>
                                      <w:divsChild>
                                        <w:div w:id="669391">
                                          <w:marLeft w:val="0"/>
                                          <w:marRight w:val="0"/>
                                          <w:marTop w:val="0"/>
                                          <w:marBottom w:val="0"/>
                                          <w:divBdr>
                                            <w:top w:val="none" w:sz="0" w:space="0" w:color="auto"/>
                                            <w:left w:val="none" w:sz="0" w:space="0" w:color="auto"/>
                                            <w:bottom w:val="none" w:sz="0" w:space="0" w:color="auto"/>
                                            <w:right w:val="none" w:sz="0" w:space="0" w:color="auto"/>
                                          </w:divBdr>
                                          <w:divsChild>
                                            <w:div w:id="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Vlaamse Overheid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Lambrechts, Silvie</dc:creator>
  <cp:keywords/>
  <dc:description/>
  <cp:lastModifiedBy>wro</cp:lastModifiedBy>
  <cp:revision>5</cp:revision>
  <cp:lastPrinted>2012-05-03T12:07:00Z</cp:lastPrinted>
  <dcterms:created xsi:type="dcterms:W3CDTF">2012-05-14T09:51:00Z</dcterms:created>
  <dcterms:modified xsi:type="dcterms:W3CDTF">2012-06-18T13:41:00Z</dcterms:modified>
</cp:coreProperties>
</file>