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A4" w:rsidRPr="00033F73" w:rsidRDefault="002769A4" w:rsidP="00033F73">
      <w:pPr>
        <w:rPr>
          <w:b/>
          <w:smallCaps/>
          <w:sz w:val="22"/>
          <w:szCs w:val="22"/>
        </w:rPr>
      </w:pPr>
      <w:r w:rsidRPr="00033F73">
        <w:rPr>
          <w:b/>
          <w:smallCaps/>
          <w:sz w:val="22"/>
          <w:szCs w:val="22"/>
        </w:rPr>
        <w:t>ingrid lieten</w:t>
      </w:r>
    </w:p>
    <w:p w:rsidR="002769A4" w:rsidRPr="00033F73" w:rsidRDefault="002769A4" w:rsidP="00033F73">
      <w:pPr>
        <w:pStyle w:val="StandaardSV"/>
        <w:rPr>
          <w:smallCaps/>
          <w:szCs w:val="22"/>
        </w:rPr>
      </w:pPr>
      <w:r w:rsidRPr="00033F73">
        <w:rPr>
          <w:smallCaps/>
          <w:szCs w:val="22"/>
        </w:rPr>
        <w:t>viceminister-president van de vlaamse regering, vlaams minister van innovatie, overheidsinvesteringen, media en armoedebestrijding</w:t>
      </w:r>
    </w:p>
    <w:p w:rsidR="002769A4" w:rsidRPr="00033F73" w:rsidRDefault="002769A4" w:rsidP="00033F73">
      <w:pPr>
        <w:pBdr>
          <w:bottom w:val="single" w:sz="4" w:space="1" w:color="auto"/>
        </w:pBdr>
        <w:rPr>
          <w:sz w:val="22"/>
          <w:szCs w:val="22"/>
        </w:rPr>
      </w:pPr>
    </w:p>
    <w:p w:rsidR="002769A4" w:rsidRPr="00033F73" w:rsidRDefault="002769A4" w:rsidP="00033F73">
      <w:pPr>
        <w:rPr>
          <w:sz w:val="22"/>
          <w:szCs w:val="22"/>
        </w:rPr>
      </w:pPr>
    </w:p>
    <w:p w:rsidR="002769A4" w:rsidRPr="00033F73" w:rsidRDefault="002769A4" w:rsidP="00033F73">
      <w:pPr>
        <w:rPr>
          <w:b/>
          <w:smallCaps/>
          <w:sz w:val="22"/>
          <w:szCs w:val="22"/>
        </w:rPr>
      </w:pPr>
      <w:r w:rsidRPr="00033F73">
        <w:rPr>
          <w:b/>
          <w:smallCaps/>
          <w:sz w:val="22"/>
          <w:szCs w:val="22"/>
        </w:rPr>
        <w:t>antwoord</w:t>
      </w:r>
    </w:p>
    <w:p w:rsidR="002769A4" w:rsidRPr="00033F73" w:rsidRDefault="002769A4" w:rsidP="00033F73">
      <w:pPr>
        <w:rPr>
          <w:sz w:val="22"/>
          <w:szCs w:val="22"/>
        </w:rPr>
      </w:pPr>
      <w:r w:rsidRPr="00033F73">
        <w:rPr>
          <w:sz w:val="22"/>
          <w:szCs w:val="22"/>
        </w:rPr>
        <w:t>op vraag nr. 264 van 19 april 2012</w:t>
      </w:r>
    </w:p>
    <w:p w:rsidR="002769A4" w:rsidRPr="00033F73" w:rsidRDefault="002769A4" w:rsidP="00033F73">
      <w:pPr>
        <w:rPr>
          <w:sz w:val="22"/>
          <w:szCs w:val="22"/>
        </w:rPr>
      </w:pPr>
      <w:r w:rsidRPr="00033F73">
        <w:rPr>
          <w:sz w:val="22"/>
          <w:szCs w:val="22"/>
        </w:rPr>
        <w:t xml:space="preserve">van </w:t>
      </w:r>
      <w:r w:rsidRPr="00033F73">
        <w:rPr>
          <w:b/>
          <w:smallCaps/>
          <w:sz w:val="22"/>
          <w:szCs w:val="22"/>
        </w:rPr>
        <w:t>matthias diependaele</w:t>
      </w:r>
    </w:p>
    <w:p w:rsidR="002769A4" w:rsidRPr="00033F73" w:rsidRDefault="002769A4" w:rsidP="00033F73">
      <w:pPr>
        <w:pBdr>
          <w:bottom w:val="single" w:sz="4" w:space="1" w:color="auto"/>
        </w:pBdr>
        <w:jc w:val="both"/>
        <w:rPr>
          <w:sz w:val="22"/>
          <w:szCs w:val="22"/>
        </w:rPr>
      </w:pPr>
    </w:p>
    <w:p w:rsidR="002769A4" w:rsidRPr="00033F73" w:rsidRDefault="002769A4" w:rsidP="004F628F">
      <w:pPr>
        <w:pStyle w:val="SVTitel"/>
        <w:jc w:val="left"/>
        <w:rPr>
          <w:i w:val="0"/>
          <w:szCs w:val="22"/>
        </w:rPr>
      </w:pPr>
    </w:p>
    <w:p w:rsidR="002769A4" w:rsidRPr="00033F73" w:rsidRDefault="002769A4" w:rsidP="004F628F">
      <w:pPr>
        <w:pStyle w:val="SVTitel"/>
        <w:jc w:val="left"/>
        <w:rPr>
          <w:i w:val="0"/>
          <w:szCs w:val="22"/>
        </w:rPr>
      </w:pPr>
    </w:p>
    <w:p w:rsidR="002769A4" w:rsidRPr="00033F73" w:rsidRDefault="002769A4" w:rsidP="00001C1C">
      <w:pPr>
        <w:numPr>
          <w:ilvl w:val="0"/>
          <w:numId w:val="28"/>
        </w:numPr>
        <w:jc w:val="both"/>
        <w:rPr>
          <w:sz w:val="22"/>
          <w:szCs w:val="22"/>
        </w:rPr>
      </w:pPr>
      <w:r w:rsidRPr="00033F73">
        <w:rPr>
          <w:sz w:val="22"/>
          <w:szCs w:val="22"/>
        </w:rPr>
        <w:t xml:space="preserve">het oog op </w:t>
      </w:r>
      <w:r>
        <w:rPr>
          <w:sz w:val="22"/>
          <w:szCs w:val="22"/>
        </w:rPr>
        <w:t>de opmaak</w:t>
      </w:r>
      <w:r w:rsidRPr="00033F73">
        <w:rPr>
          <w:sz w:val="22"/>
          <w:szCs w:val="22"/>
        </w:rPr>
        <w:t xml:space="preserve"> van een nieuw</w:t>
      </w:r>
      <w:r>
        <w:rPr>
          <w:sz w:val="22"/>
          <w:szCs w:val="22"/>
        </w:rPr>
        <w:t>e</w:t>
      </w:r>
      <w:r w:rsidRPr="00033F73">
        <w:rPr>
          <w:sz w:val="22"/>
          <w:szCs w:val="22"/>
        </w:rPr>
        <w:t xml:space="preserve"> convenant voor de periode 2012-2016 werd IMEC in de eerste helft van 2011 aan een grondige evaluatie onderworpen. De evaluatie werd uitgevoerd conform het decreet van 30 april 2009 betreffende de organisatie en financiering van het wetenschaps- en innovatiebeleid. </w:t>
      </w:r>
    </w:p>
    <w:p w:rsidR="002769A4" w:rsidRPr="00033F73" w:rsidRDefault="002769A4" w:rsidP="00001C1C">
      <w:pPr>
        <w:jc w:val="both"/>
        <w:rPr>
          <w:sz w:val="22"/>
          <w:szCs w:val="22"/>
        </w:rPr>
      </w:pPr>
    </w:p>
    <w:p w:rsidR="002769A4" w:rsidRPr="00033F73" w:rsidRDefault="002769A4" w:rsidP="00001C1C">
      <w:pPr>
        <w:ind w:left="426"/>
        <w:jc w:val="both"/>
        <w:rPr>
          <w:sz w:val="22"/>
          <w:szCs w:val="22"/>
        </w:rPr>
      </w:pPr>
      <w:r w:rsidRPr="00033F73">
        <w:rPr>
          <w:sz w:val="22"/>
          <w:szCs w:val="22"/>
        </w:rPr>
        <w:t xml:space="preserve">Bij de evaluatie werd nagegaan in welke mate IMEC de in de beheersovereenkomst </w:t>
      </w:r>
      <w:r>
        <w:rPr>
          <w:sz w:val="22"/>
          <w:szCs w:val="22"/>
        </w:rPr>
        <w:t xml:space="preserve">2007-2011 </w:t>
      </w:r>
      <w:r w:rsidRPr="00033F73">
        <w:rPr>
          <w:sz w:val="22"/>
          <w:szCs w:val="22"/>
        </w:rPr>
        <w:t xml:space="preserve">opgesomde strategische en operationele doelstellingen en </w:t>
      </w:r>
      <w:r>
        <w:rPr>
          <w:sz w:val="22"/>
          <w:szCs w:val="22"/>
        </w:rPr>
        <w:t xml:space="preserve">de </w:t>
      </w:r>
      <w:r w:rsidRPr="00033F73">
        <w:rPr>
          <w:sz w:val="22"/>
          <w:szCs w:val="22"/>
        </w:rPr>
        <w:t>vooropgestelde prestatie-indicatoren</w:t>
      </w:r>
      <w:r>
        <w:rPr>
          <w:sz w:val="22"/>
          <w:szCs w:val="22"/>
        </w:rPr>
        <w:t xml:space="preserve"> (KPI’s) h</w:t>
      </w:r>
      <w:r w:rsidRPr="00033F73">
        <w:rPr>
          <w:sz w:val="22"/>
          <w:szCs w:val="22"/>
        </w:rPr>
        <w:t xml:space="preserve">eeft gehaald </w:t>
      </w:r>
      <w:r>
        <w:rPr>
          <w:sz w:val="22"/>
          <w:szCs w:val="22"/>
        </w:rPr>
        <w:t>e</w:t>
      </w:r>
      <w:r w:rsidRPr="00033F73">
        <w:rPr>
          <w:sz w:val="22"/>
          <w:szCs w:val="22"/>
        </w:rPr>
        <w:t>n welke maatschappelijke en economische baten er zijn voor Vlaanderen. Ook werden de zwakke en sterke punten in de werking van IMEC geïdentificeerd. De evaluatie was gebaseerd op:</w:t>
      </w:r>
    </w:p>
    <w:p w:rsidR="002769A4" w:rsidRPr="00033F73" w:rsidRDefault="002769A4" w:rsidP="00001C1C">
      <w:pPr>
        <w:numPr>
          <w:ilvl w:val="0"/>
          <w:numId w:val="31"/>
        </w:numPr>
        <w:jc w:val="both"/>
        <w:rPr>
          <w:sz w:val="22"/>
          <w:szCs w:val="22"/>
        </w:rPr>
      </w:pPr>
      <w:r w:rsidRPr="00033F73">
        <w:rPr>
          <w:sz w:val="22"/>
          <w:szCs w:val="22"/>
        </w:rPr>
        <w:t>een analyse van de jaarlijkse verslaggeving;</w:t>
      </w:r>
    </w:p>
    <w:p w:rsidR="002769A4" w:rsidRPr="00033F73" w:rsidRDefault="002769A4" w:rsidP="00001C1C">
      <w:pPr>
        <w:numPr>
          <w:ilvl w:val="0"/>
          <w:numId w:val="31"/>
        </w:numPr>
        <w:ind w:left="709" w:hanging="283"/>
        <w:jc w:val="both"/>
        <w:rPr>
          <w:sz w:val="22"/>
          <w:szCs w:val="22"/>
        </w:rPr>
      </w:pPr>
      <w:r w:rsidRPr="00033F73">
        <w:rPr>
          <w:sz w:val="22"/>
          <w:szCs w:val="22"/>
        </w:rPr>
        <w:t>een bibliometrische analyse (</w:t>
      </w:r>
      <w:r>
        <w:rPr>
          <w:sz w:val="22"/>
          <w:szCs w:val="22"/>
        </w:rPr>
        <w:t xml:space="preserve">uitgevoerd door het </w:t>
      </w:r>
      <w:r w:rsidRPr="00033F73">
        <w:rPr>
          <w:sz w:val="22"/>
          <w:szCs w:val="22"/>
        </w:rPr>
        <w:t xml:space="preserve">Expertisecentrum Onderzoek en Ontwikkelingsmonitoring </w:t>
      </w:r>
      <w:r>
        <w:rPr>
          <w:sz w:val="22"/>
          <w:szCs w:val="22"/>
        </w:rPr>
        <w:t xml:space="preserve">– </w:t>
      </w:r>
      <w:r w:rsidRPr="00033F73">
        <w:rPr>
          <w:sz w:val="22"/>
          <w:szCs w:val="22"/>
        </w:rPr>
        <w:t>ECOOM);</w:t>
      </w:r>
    </w:p>
    <w:p w:rsidR="002769A4" w:rsidRPr="00033F73" w:rsidRDefault="002769A4" w:rsidP="00001C1C">
      <w:pPr>
        <w:numPr>
          <w:ilvl w:val="0"/>
          <w:numId w:val="31"/>
        </w:numPr>
        <w:jc w:val="both"/>
        <w:rPr>
          <w:sz w:val="22"/>
          <w:szCs w:val="22"/>
        </w:rPr>
      </w:pPr>
      <w:r w:rsidRPr="00033F73">
        <w:rPr>
          <w:sz w:val="22"/>
          <w:szCs w:val="22"/>
        </w:rPr>
        <w:t>een beoordeling door een internationaal panel van deskundigen;</w:t>
      </w:r>
    </w:p>
    <w:p w:rsidR="002769A4" w:rsidRPr="00033F73" w:rsidRDefault="002769A4" w:rsidP="00001C1C">
      <w:pPr>
        <w:numPr>
          <w:ilvl w:val="0"/>
          <w:numId w:val="31"/>
        </w:numPr>
        <w:jc w:val="both"/>
        <w:rPr>
          <w:sz w:val="22"/>
          <w:szCs w:val="22"/>
        </w:rPr>
      </w:pPr>
      <w:r w:rsidRPr="00033F73">
        <w:rPr>
          <w:sz w:val="22"/>
          <w:szCs w:val="22"/>
        </w:rPr>
        <w:t>een benchmarking met gelijkaardige instellingen;</w:t>
      </w:r>
    </w:p>
    <w:p w:rsidR="002769A4" w:rsidRPr="00033F73" w:rsidRDefault="002769A4" w:rsidP="00001C1C">
      <w:pPr>
        <w:numPr>
          <w:ilvl w:val="0"/>
          <w:numId w:val="31"/>
        </w:numPr>
        <w:jc w:val="both"/>
        <w:rPr>
          <w:sz w:val="22"/>
          <w:szCs w:val="22"/>
        </w:rPr>
      </w:pPr>
      <w:r w:rsidRPr="00033F73">
        <w:rPr>
          <w:sz w:val="22"/>
          <w:szCs w:val="22"/>
        </w:rPr>
        <w:t>een impactanalyse;</w:t>
      </w:r>
    </w:p>
    <w:p w:rsidR="002769A4" w:rsidRPr="00033F73" w:rsidRDefault="002769A4" w:rsidP="00001C1C">
      <w:pPr>
        <w:numPr>
          <w:ilvl w:val="0"/>
          <w:numId w:val="31"/>
        </w:numPr>
        <w:jc w:val="both"/>
        <w:rPr>
          <w:sz w:val="22"/>
          <w:szCs w:val="22"/>
        </w:rPr>
      </w:pPr>
      <w:r w:rsidRPr="00033F73">
        <w:rPr>
          <w:sz w:val="22"/>
          <w:szCs w:val="22"/>
        </w:rPr>
        <w:t>een zelfevaluatie;</w:t>
      </w:r>
    </w:p>
    <w:p w:rsidR="002769A4" w:rsidRPr="00033F73" w:rsidRDefault="002769A4" w:rsidP="00001C1C">
      <w:pPr>
        <w:numPr>
          <w:ilvl w:val="0"/>
          <w:numId w:val="31"/>
        </w:numPr>
        <w:jc w:val="both"/>
        <w:rPr>
          <w:sz w:val="22"/>
          <w:szCs w:val="22"/>
        </w:rPr>
      </w:pPr>
      <w:r w:rsidRPr="00033F73">
        <w:rPr>
          <w:sz w:val="22"/>
          <w:szCs w:val="22"/>
        </w:rPr>
        <w:t>gesprekken met bevoorrechte getuigen en stakeholders;</w:t>
      </w:r>
    </w:p>
    <w:p w:rsidR="002769A4" w:rsidRPr="00033F73" w:rsidRDefault="002769A4" w:rsidP="00001C1C">
      <w:pPr>
        <w:numPr>
          <w:ilvl w:val="0"/>
          <w:numId w:val="31"/>
        </w:numPr>
        <w:jc w:val="both"/>
        <w:rPr>
          <w:sz w:val="22"/>
          <w:szCs w:val="22"/>
        </w:rPr>
      </w:pPr>
      <w:r w:rsidRPr="00033F73">
        <w:rPr>
          <w:sz w:val="22"/>
          <w:szCs w:val="22"/>
        </w:rPr>
        <w:t>een beleidsplan voor de periode 2012-2016</w:t>
      </w:r>
      <w:r>
        <w:rPr>
          <w:sz w:val="22"/>
          <w:szCs w:val="22"/>
        </w:rPr>
        <w:t>.</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sidRPr="00033F73">
        <w:rPr>
          <w:sz w:val="22"/>
          <w:szCs w:val="22"/>
        </w:rPr>
        <w:t>De evaluatie werd uitgevoerd onder begeleiding van een externe consulent.</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sidRPr="00033F73">
        <w:rPr>
          <w:sz w:val="22"/>
          <w:szCs w:val="22"/>
        </w:rPr>
        <w:t>De voornaamste conclusie uit de evaluatie is dat IMEC zijn eerste strategische doelstelling</w:t>
      </w:r>
      <w:r>
        <w:rPr>
          <w:sz w:val="22"/>
          <w:szCs w:val="22"/>
        </w:rPr>
        <w:t xml:space="preserve">, </w:t>
      </w:r>
      <w:r w:rsidRPr="00033F73">
        <w:rPr>
          <w:i/>
          <w:sz w:val="22"/>
          <w:szCs w:val="22"/>
        </w:rPr>
        <w:t>“een excellentiecentrum zijn in het onderzoeksdomein van halfgeleidertechnologie, nano-elektronica, nanotechnologie, ontwerpmethodes en technologieën voor ICT-systemen”</w:t>
      </w:r>
      <w:r w:rsidRPr="00033F73">
        <w:rPr>
          <w:sz w:val="22"/>
          <w:szCs w:val="22"/>
        </w:rPr>
        <w:t xml:space="preserve">, heeft bereikt. Uit de evaluatie blijkt ook dat IMEC zijn internationale positie als centrum van excellentie heeft behouden en verstevigd. </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sidRPr="00033F73">
        <w:rPr>
          <w:sz w:val="22"/>
          <w:szCs w:val="22"/>
        </w:rPr>
        <w:t xml:space="preserve">De tweede strategische doelstelling, </w:t>
      </w:r>
      <w:r w:rsidRPr="00033F73">
        <w:rPr>
          <w:i/>
          <w:sz w:val="22"/>
          <w:szCs w:val="22"/>
        </w:rPr>
        <w:t>“een optimale impact genereren op het Vlaamse economische en maatschappelijke weefsel, met bijzondere aandacht voor kmo’s met onderzoeksaffiniteit”</w:t>
      </w:r>
      <w:r w:rsidRPr="00033F73">
        <w:rPr>
          <w:sz w:val="22"/>
          <w:szCs w:val="22"/>
        </w:rPr>
        <w:t>,</w:t>
      </w:r>
      <w:r>
        <w:rPr>
          <w:sz w:val="22"/>
          <w:szCs w:val="22"/>
        </w:rPr>
        <w:t xml:space="preserve"> heeft IMEC eveneens weten te behalen</w:t>
      </w:r>
      <w:r w:rsidRPr="00033F73">
        <w:rPr>
          <w:sz w:val="22"/>
          <w:szCs w:val="22"/>
        </w:rPr>
        <w:t>. IMEC heeft zijn positie als industriegericht onderzoekscentrum in de periode 2007-2011 nog weten te versterken en heeft daarnaast significante spill-overs naar het Vlaamse maatschappelijke en economische weefsel gegenereerd.</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sidRPr="00033F73">
        <w:rPr>
          <w:sz w:val="22"/>
          <w:szCs w:val="22"/>
        </w:rPr>
        <w:t xml:space="preserve">De evaluatie van IMEC was dus globaal gezien zeer positief voor IMEC zodat een nieuw convenant voor de periode 2012 -2016 werd afgesloten. Bij de voorbereiding van de nieuwe overeenkomst werd uiteraard rekening gehouden met de resultaten van de evaluatie. De aandachtspunten hierbij waren de uitdagingen en aanbevelingen naar de toekomst toe. </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sidRPr="00033F73">
        <w:rPr>
          <w:sz w:val="22"/>
          <w:szCs w:val="22"/>
        </w:rPr>
        <w:t xml:space="preserve">Uit de evaluatie </w:t>
      </w:r>
      <w:r>
        <w:rPr>
          <w:sz w:val="22"/>
          <w:szCs w:val="22"/>
        </w:rPr>
        <w:t>van de werkingsperiode 2007-2011 blijkt</w:t>
      </w:r>
      <w:r w:rsidRPr="00033F73">
        <w:rPr>
          <w:sz w:val="22"/>
          <w:szCs w:val="22"/>
        </w:rPr>
        <w:t xml:space="preserve"> dat IMEC de aanbevelingen uit </w:t>
      </w:r>
      <w:r>
        <w:rPr>
          <w:sz w:val="22"/>
          <w:szCs w:val="22"/>
        </w:rPr>
        <w:t xml:space="preserve">de </w:t>
      </w:r>
      <w:r w:rsidRPr="00033F73">
        <w:rPr>
          <w:sz w:val="22"/>
          <w:szCs w:val="22"/>
        </w:rPr>
        <w:t xml:space="preserve">vorige evaluaties ter harte heeft genomen. </w:t>
      </w:r>
      <w:r>
        <w:rPr>
          <w:sz w:val="22"/>
          <w:szCs w:val="22"/>
        </w:rPr>
        <w:t>IMEC</w:t>
      </w:r>
      <w:r w:rsidRPr="00033F73">
        <w:rPr>
          <w:sz w:val="22"/>
          <w:szCs w:val="22"/>
        </w:rPr>
        <w:t xml:space="preserve"> versterkte zijn tweeledige strategie: enerzijds willen ze een sterke speler blijven in </w:t>
      </w:r>
      <w:r>
        <w:rPr>
          <w:sz w:val="22"/>
          <w:szCs w:val="22"/>
        </w:rPr>
        <w:t xml:space="preserve">het </w:t>
      </w:r>
      <w:r w:rsidRPr="00033F73">
        <w:rPr>
          <w:sz w:val="22"/>
          <w:szCs w:val="22"/>
        </w:rPr>
        <w:t>onderzoek naar Complementaire Metaaloxide Halfgeleiders (CMOS) (MM</w:t>
      </w:r>
      <w:r>
        <w:rPr>
          <w:rStyle w:val="FootnoteReference"/>
          <w:sz w:val="22"/>
          <w:szCs w:val="22"/>
        </w:rPr>
        <w:footnoteReference w:id="1"/>
      </w:r>
      <w:r w:rsidRPr="00033F73">
        <w:rPr>
          <w:sz w:val="22"/>
          <w:szCs w:val="22"/>
        </w:rPr>
        <w:t>-domein) en anderzijds willen ze ook in de MtM</w:t>
      </w:r>
      <w:r>
        <w:rPr>
          <w:rStyle w:val="FootnoteReference"/>
          <w:sz w:val="22"/>
          <w:szCs w:val="22"/>
        </w:rPr>
        <w:footnoteReference w:id="2"/>
      </w:r>
      <w:r w:rsidRPr="00033F73">
        <w:rPr>
          <w:sz w:val="22"/>
          <w:szCs w:val="22"/>
        </w:rPr>
        <w:t xml:space="preserve">-segmenten een wereldspeler worden. Hoewel het MM-programma in termen van patenten nog steeds domineert, was het aantal publicaties in het MtM-domein groter dan in het MM-domein. De samenwerking met </w:t>
      </w:r>
      <w:r>
        <w:rPr>
          <w:sz w:val="22"/>
          <w:szCs w:val="22"/>
        </w:rPr>
        <w:t xml:space="preserve">de </w:t>
      </w:r>
      <w:r w:rsidRPr="00033F73">
        <w:rPr>
          <w:sz w:val="22"/>
          <w:szCs w:val="22"/>
        </w:rPr>
        <w:t xml:space="preserve">Vlaamse universiteiten werd de laatste jaren </w:t>
      </w:r>
      <w:r>
        <w:rPr>
          <w:sz w:val="22"/>
          <w:szCs w:val="22"/>
        </w:rPr>
        <w:t>al</w:t>
      </w:r>
      <w:r w:rsidRPr="00033F73">
        <w:rPr>
          <w:sz w:val="22"/>
          <w:szCs w:val="22"/>
        </w:rPr>
        <w:t xml:space="preserve"> versterkt, beter gestructureerd en beter afgestemd, wat bijdraagt tot de hernieuwing van de onderzoekspijplijn, vooral wat betreft </w:t>
      </w:r>
      <w:r>
        <w:rPr>
          <w:sz w:val="22"/>
          <w:szCs w:val="22"/>
        </w:rPr>
        <w:t>h</w:t>
      </w:r>
      <w:r w:rsidRPr="00033F73">
        <w:rPr>
          <w:sz w:val="22"/>
          <w:szCs w:val="22"/>
        </w:rPr>
        <w:t xml:space="preserve">et MtM-domein. </w:t>
      </w:r>
    </w:p>
    <w:p w:rsidR="002769A4" w:rsidRPr="00033F73" w:rsidRDefault="002769A4" w:rsidP="00001C1C">
      <w:pPr>
        <w:ind w:left="426"/>
        <w:jc w:val="both"/>
        <w:rPr>
          <w:sz w:val="22"/>
          <w:szCs w:val="22"/>
        </w:rPr>
      </w:pPr>
    </w:p>
    <w:p w:rsidR="002769A4" w:rsidRPr="00033F73" w:rsidRDefault="002769A4" w:rsidP="00001C1C">
      <w:pPr>
        <w:autoSpaceDE w:val="0"/>
        <w:autoSpaceDN w:val="0"/>
        <w:adjustRightInd w:val="0"/>
        <w:ind w:left="426"/>
        <w:jc w:val="both"/>
        <w:rPr>
          <w:sz w:val="22"/>
          <w:szCs w:val="22"/>
          <w:lang w:val="nl-BE" w:eastAsia="en-GB"/>
        </w:rPr>
      </w:pPr>
      <w:r w:rsidRPr="00033F73">
        <w:rPr>
          <w:sz w:val="22"/>
          <w:szCs w:val="22"/>
        </w:rPr>
        <w:t>Er zijn uiteraard ook uitdagingen voor de toekomst. Denken we hierbij aan de verschuiving van het MM</w:t>
      </w:r>
      <w:r>
        <w:rPr>
          <w:sz w:val="22"/>
          <w:szCs w:val="22"/>
        </w:rPr>
        <w:t>-</w:t>
      </w:r>
      <w:r w:rsidRPr="00033F73">
        <w:rPr>
          <w:sz w:val="22"/>
          <w:szCs w:val="22"/>
        </w:rPr>
        <w:t>domein naar het MtM</w:t>
      </w:r>
      <w:r>
        <w:rPr>
          <w:sz w:val="22"/>
          <w:szCs w:val="22"/>
        </w:rPr>
        <w:t>-domein, w</w:t>
      </w:r>
      <w:r w:rsidRPr="00033F73">
        <w:rPr>
          <w:sz w:val="22"/>
          <w:szCs w:val="22"/>
        </w:rPr>
        <w:t>at een veranderingstraject is op lange termijn. IMEC heeft een zeer sterke reputatie in het MM-domein. Het zal de nodige tijd vragen om ook een de</w:t>
      </w:r>
      <w:r>
        <w:rPr>
          <w:sz w:val="22"/>
          <w:szCs w:val="22"/>
        </w:rPr>
        <w:t>r</w:t>
      </w:r>
      <w:r w:rsidRPr="00033F73">
        <w:rPr>
          <w:sz w:val="22"/>
          <w:szCs w:val="22"/>
        </w:rPr>
        <w:t>gelijke reputatie uit te bouwen in het MtM-domein. Een ander aandachtspunt is de toekomstige deelname van IMEC aan Europese O&amp;O-programma’s (</w:t>
      </w:r>
      <w:r>
        <w:rPr>
          <w:sz w:val="22"/>
          <w:szCs w:val="22"/>
        </w:rPr>
        <w:t>o.a.</w:t>
      </w:r>
      <w:r w:rsidRPr="00033F73">
        <w:rPr>
          <w:sz w:val="22"/>
          <w:szCs w:val="22"/>
        </w:rPr>
        <w:t xml:space="preserve"> de </w:t>
      </w:r>
      <w:r w:rsidRPr="00033F73">
        <w:rPr>
          <w:sz w:val="22"/>
          <w:szCs w:val="22"/>
          <w:lang w:val="nl-BE" w:eastAsia="en-GB"/>
        </w:rPr>
        <w:t xml:space="preserve">Joint Technology Initiatives </w:t>
      </w:r>
      <w:r>
        <w:rPr>
          <w:rFonts w:ascii="Calibri" w:hAnsi="Calibri" w:cs="Calibri"/>
          <w:sz w:val="22"/>
          <w:szCs w:val="22"/>
          <w:lang w:val="nl-BE" w:eastAsia="en-GB"/>
        </w:rPr>
        <w:t>[</w:t>
      </w:r>
      <w:r w:rsidRPr="00033F73">
        <w:rPr>
          <w:sz w:val="22"/>
          <w:szCs w:val="22"/>
          <w:lang w:val="nl-BE" w:eastAsia="en-GB"/>
        </w:rPr>
        <w:t>ENIAC, ARTEMIS</w:t>
      </w:r>
      <w:r>
        <w:rPr>
          <w:rFonts w:ascii="Calibri" w:hAnsi="Calibri" w:cs="Calibri"/>
          <w:sz w:val="22"/>
          <w:szCs w:val="22"/>
          <w:lang w:val="nl-BE" w:eastAsia="en-GB"/>
        </w:rPr>
        <w:t>]</w:t>
      </w:r>
      <w:r w:rsidRPr="00033F73">
        <w:rPr>
          <w:sz w:val="22"/>
          <w:szCs w:val="22"/>
        </w:rPr>
        <w:t>). Meer en meer worden deze Europese programma’s uitgebouwd met cofinanciering van de regio</w:t>
      </w:r>
      <w:r>
        <w:rPr>
          <w:sz w:val="22"/>
          <w:szCs w:val="22"/>
        </w:rPr>
        <w:t>’s</w:t>
      </w:r>
      <w:r w:rsidRPr="00033F73">
        <w:rPr>
          <w:sz w:val="22"/>
          <w:szCs w:val="22"/>
        </w:rPr>
        <w:t xml:space="preserve"> of </w:t>
      </w:r>
      <w:r>
        <w:rPr>
          <w:sz w:val="22"/>
          <w:szCs w:val="22"/>
        </w:rPr>
        <w:t xml:space="preserve">de </w:t>
      </w:r>
      <w:r w:rsidRPr="00033F73">
        <w:rPr>
          <w:sz w:val="22"/>
          <w:szCs w:val="22"/>
        </w:rPr>
        <w:t>lidstaten</w:t>
      </w:r>
      <w:r>
        <w:rPr>
          <w:sz w:val="22"/>
          <w:szCs w:val="22"/>
        </w:rPr>
        <w:t>.</w:t>
      </w:r>
    </w:p>
    <w:p w:rsidR="002769A4" w:rsidRPr="00033F73" w:rsidRDefault="002769A4" w:rsidP="00001C1C">
      <w:pPr>
        <w:ind w:left="426"/>
        <w:jc w:val="both"/>
        <w:rPr>
          <w:color w:val="000000"/>
          <w:sz w:val="22"/>
          <w:szCs w:val="22"/>
        </w:rPr>
      </w:pPr>
    </w:p>
    <w:p w:rsidR="002769A4" w:rsidRPr="00033F73" w:rsidRDefault="002769A4" w:rsidP="00001C1C">
      <w:pPr>
        <w:ind w:left="426"/>
        <w:jc w:val="both"/>
        <w:rPr>
          <w:color w:val="000000"/>
          <w:sz w:val="22"/>
          <w:szCs w:val="22"/>
          <w:lang w:val="nl-BE" w:eastAsia="nl-BE"/>
        </w:rPr>
      </w:pPr>
      <w:r w:rsidRPr="00033F73">
        <w:rPr>
          <w:color w:val="000000"/>
          <w:sz w:val="22"/>
          <w:szCs w:val="22"/>
        </w:rPr>
        <w:t xml:space="preserve">De aanbevelingen van het panel van deskundigen waren vooral gericht naar IMEC zelf met het oog op het behouden of het behalen van een top 3-positie in de geselecteerde onderzoeksdomeinen. Verder worden er in het eindrapport vijf aanbevelingen geformuleerd die gericht zijn naar de Vlaamse overheid. Deze aanbevelingen betreffen </w:t>
      </w:r>
      <w:r>
        <w:rPr>
          <w:color w:val="000000"/>
          <w:sz w:val="22"/>
          <w:szCs w:val="22"/>
        </w:rPr>
        <w:t>o/a</w:t>
      </w:r>
      <w:r w:rsidRPr="00033F73">
        <w:rPr>
          <w:color w:val="000000"/>
          <w:sz w:val="22"/>
          <w:szCs w:val="22"/>
        </w:rPr>
        <w:t xml:space="preserve"> het belang en de verdere uitbouw van samenwerkingsverbanden met universitaire partners, de deelname van IMEC in Europese projecten en het belang van state</w:t>
      </w:r>
      <w:r>
        <w:rPr>
          <w:color w:val="000000"/>
          <w:sz w:val="22"/>
          <w:szCs w:val="22"/>
        </w:rPr>
        <w:t>-</w:t>
      </w:r>
      <w:r w:rsidRPr="00033F73">
        <w:rPr>
          <w:color w:val="000000"/>
          <w:sz w:val="22"/>
          <w:szCs w:val="22"/>
        </w:rPr>
        <w:t>of</w:t>
      </w:r>
      <w:r>
        <w:rPr>
          <w:color w:val="000000"/>
          <w:sz w:val="22"/>
          <w:szCs w:val="22"/>
        </w:rPr>
        <w:t>-</w:t>
      </w:r>
      <w:r w:rsidRPr="00033F73">
        <w:rPr>
          <w:color w:val="000000"/>
          <w:sz w:val="22"/>
          <w:szCs w:val="22"/>
        </w:rPr>
        <w:t>the</w:t>
      </w:r>
      <w:r>
        <w:rPr>
          <w:color w:val="000000"/>
          <w:sz w:val="22"/>
          <w:szCs w:val="22"/>
        </w:rPr>
        <w:t>-</w:t>
      </w:r>
      <w:r w:rsidRPr="00033F73">
        <w:rPr>
          <w:color w:val="000000"/>
          <w:sz w:val="22"/>
          <w:szCs w:val="22"/>
        </w:rPr>
        <w:t>art infrastructuur.</w:t>
      </w:r>
    </w:p>
    <w:p w:rsidR="002769A4" w:rsidRPr="00FB4825" w:rsidRDefault="002769A4" w:rsidP="00001C1C">
      <w:pPr>
        <w:ind w:left="426"/>
        <w:jc w:val="both"/>
        <w:rPr>
          <w:color w:val="000000"/>
          <w:sz w:val="22"/>
          <w:szCs w:val="22"/>
          <w:lang w:val="nl-BE"/>
        </w:rPr>
      </w:pPr>
    </w:p>
    <w:p w:rsidR="002769A4" w:rsidRPr="00033F73" w:rsidRDefault="002769A4" w:rsidP="00001C1C">
      <w:pPr>
        <w:autoSpaceDE w:val="0"/>
        <w:autoSpaceDN w:val="0"/>
        <w:adjustRightInd w:val="0"/>
        <w:ind w:left="426"/>
        <w:jc w:val="both"/>
        <w:rPr>
          <w:sz w:val="22"/>
          <w:szCs w:val="22"/>
          <w:lang w:val="nl-BE" w:eastAsia="nl-BE"/>
        </w:rPr>
      </w:pPr>
      <w:r>
        <w:rPr>
          <w:sz w:val="22"/>
          <w:szCs w:val="22"/>
        </w:rPr>
        <w:t>Voor</w:t>
      </w:r>
      <w:r w:rsidRPr="00033F73">
        <w:rPr>
          <w:sz w:val="22"/>
          <w:szCs w:val="22"/>
        </w:rPr>
        <w:t xml:space="preserve"> zover de aanbevelingen betrekking hebben op de operationele werking of opvolging van </w:t>
      </w:r>
      <w:r>
        <w:rPr>
          <w:sz w:val="22"/>
          <w:szCs w:val="22"/>
        </w:rPr>
        <w:t>IMEC</w:t>
      </w:r>
      <w:r w:rsidRPr="00033F73">
        <w:rPr>
          <w:sz w:val="22"/>
          <w:szCs w:val="22"/>
        </w:rPr>
        <w:t xml:space="preserve"> voor de periode 2012</w:t>
      </w:r>
      <w:r>
        <w:rPr>
          <w:sz w:val="22"/>
          <w:szCs w:val="22"/>
        </w:rPr>
        <w:t>-</w:t>
      </w:r>
      <w:r w:rsidRPr="00033F73">
        <w:rPr>
          <w:sz w:val="22"/>
          <w:szCs w:val="22"/>
        </w:rPr>
        <w:t>2016</w:t>
      </w:r>
      <w:r>
        <w:rPr>
          <w:sz w:val="22"/>
          <w:szCs w:val="22"/>
        </w:rPr>
        <w:t>,</w:t>
      </w:r>
      <w:r w:rsidRPr="00033F73">
        <w:rPr>
          <w:sz w:val="22"/>
          <w:szCs w:val="22"/>
        </w:rPr>
        <w:t xml:space="preserve"> werden de</w:t>
      </w:r>
      <w:r>
        <w:rPr>
          <w:sz w:val="22"/>
          <w:szCs w:val="22"/>
        </w:rPr>
        <w:t>ze</w:t>
      </w:r>
      <w:r w:rsidRPr="00033F73">
        <w:rPr>
          <w:sz w:val="22"/>
          <w:szCs w:val="22"/>
        </w:rPr>
        <w:t xml:space="preserve"> aanbevelingen opgenomen in het nieuwe convenant</w:t>
      </w:r>
      <w:r>
        <w:rPr>
          <w:sz w:val="22"/>
          <w:szCs w:val="22"/>
        </w:rPr>
        <w:t>.</w:t>
      </w:r>
      <w:r w:rsidRPr="00033F73">
        <w:rPr>
          <w:sz w:val="22"/>
          <w:szCs w:val="22"/>
        </w:rPr>
        <w:t xml:space="preserve"> Zo is er voorzien dat het </w:t>
      </w:r>
      <w:r>
        <w:rPr>
          <w:sz w:val="22"/>
          <w:szCs w:val="22"/>
        </w:rPr>
        <w:t>D</w:t>
      </w:r>
      <w:r w:rsidRPr="00033F73">
        <w:rPr>
          <w:sz w:val="22"/>
          <w:szCs w:val="22"/>
        </w:rPr>
        <w:t xml:space="preserve">epartement EWI halfjaarlijks een forum zal organiseren om de </w:t>
      </w:r>
      <w:r w:rsidRPr="00033F73">
        <w:rPr>
          <w:iCs/>
          <w:sz w:val="22"/>
          <w:szCs w:val="22"/>
        </w:rPr>
        <w:t xml:space="preserve">structurele samenwerking binnen Vlaanderen tussen de </w:t>
      </w:r>
      <w:r>
        <w:rPr>
          <w:iCs/>
          <w:sz w:val="22"/>
          <w:szCs w:val="22"/>
        </w:rPr>
        <w:t>S</w:t>
      </w:r>
      <w:r w:rsidRPr="00033F73">
        <w:rPr>
          <w:iCs/>
          <w:sz w:val="22"/>
          <w:szCs w:val="22"/>
        </w:rPr>
        <w:t xml:space="preserve">trategische </w:t>
      </w:r>
      <w:r>
        <w:rPr>
          <w:iCs/>
          <w:sz w:val="22"/>
          <w:szCs w:val="22"/>
        </w:rPr>
        <w:t>O</w:t>
      </w:r>
      <w:r w:rsidRPr="00033F73">
        <w:rPr>
          <w:iCs/>
          <w:sz w:val="22"/>
          <w:szCs w:val="22"/>
        </w:rPr>
        <w:t xml:space="preserve">nderzoekscentra (SOC’s) en/of andere kennisinstellingen </w:t>
      </w:r>
      <w:r w:rsidRPr="00033F73">
        <w:rPr>
          <w:sz w:val="22"/>
          <w:szCs w:val="22"/>
        </w:rPr>
        <w:t xml:space="preserve">te bevorderen. </w:t>
      </w:r>
    </w:p>
    <w:p w:rsidR="002769A4" w:rsidRPr="00033F73" w:rsidRDefault="002769A4" w:rsidP="00001C1C">
      <w:pPr>
        <w:pStyle w:val="Default"/>
        <w:ind w:left="426"/>
        <w:jc w:val="both"/>
        <w:rPr>
          <w:rFonts w:ascii="Times New Roman" w:hAnsi="Times New Roman" w:cs="Times New Roman"/>
          <w:sz w:val="22"/>
          <w:szCs w:val="22"/>
        </w:rPr>
      </w:pPr>
    </w:p>
    <w:p w:rsidR="002769A4" w:rsidRPr="00033F73" w:rsidRDefault="002769A4" w:rsidP="00001C1C">
      <w:pPr>
        <w:ind w:left="426"/>
        <w:jc w:val="both"/>
        <w:rPr>
          <w:sz w:val="22"/>
          <w:szCs w:val="22"/>
        </w:rPr>
      </w:pPr>
      <w:r w:rsidRPr="00033F73">
        <w:rPr>
          <w:sz w:val="22"/>
          <w:szCs w:val="22"/>
        </w:rPr>
        <w:t>In de mate dat de aanbevelingen betrekking hebben op nieuwe beslissingen van de Vlaamse overheid</w:t>
      </w:r>
      <w:r>
        <w:rPr>
          <w:sz w:val="22"/>
          <w:szCs w:val="22"/>
        </w:rPr>
        <w:t>,</w:t>
      </w:r>
      <w:r w:rsidRPr="00033F73">
        <w:rPr>
          <w:sz w:val="22"/>
          <w:szCs w:val="22"/>
        </w:rPr>
        <w:t xml:space="preserve"> zal eerst een uitgewerkt dossier </w:t>
      </w:r>
      <w:r>
        <w:rPr>
          <w:sz w:val="22"/>
          <w:szCs w:val="22"/>
        </w:rPr>
        <w:t xml:space="preserve">worden </w:t>
      </w:r>
      <w:r w:rsidRPr="00033F73">
        <w:rPr>
          <w:sz w:val="22"/>
          <w:szCs w:val="22"/>
        </w:rPr>
        <w:t xml:space="preserve">voorgelegd </w:t>
      </w:r>
      <w:r>
        <w:rPr>
          <w:sz w:val="22"/>
          <w:szCs w:val="22"/>
        </w:rPr>
        <w:t>a</w:t>
      </w:r>
      <w:r w:rsidRPr="00033F73">
        <w:rPr>
          <w:sz w:val="22"/>
          <w:szCs w:val="22"/>
        </w:rPr>
        <w:t>an de Vlaamse Regering</w:t>
      </w:r>
      <w:r>
        <w:rPr>
          <w:sz w:val="22"/>
          <w:szCs w:val="22"/>
        </w:rPr>
        <w:t xml:space="preserve"> (o/a</w:t>
      </w:r>
      <w:r w:rsidRPr="00033F73">
        <w:rPr>
          <w:sz w:val="22"/>
          <w:szCs w:val="22"/>
        </w:rPr>
        <w:t xml:space="preserve"> upgrade van de bestaande clean room</w:t>
      </w:r>
      <w:r>
        <w:rPr>
          <w:sz w:val="22"/>
          <w:szCs w:val="22"/>
        </w:rPr>
        <w:t xml:space="preserve"> van IMEC</w:t>
      </w:r>
      <w:r w:rsidRPr="00033F73">
        <w:rPr>
          <w:sz w:val="22"/>
          <w:szCs w:val="22"/>
        </w:rPr>
        <w:t>)</w:t>
      </w:r>
      <w:r>
        <w:rPr>
          <w:sz w:val="22"/>
          <w:szCs w:val="22"/>
        </w:rPr>
        <w:t>.</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sidRPr="00033F73">
        <w:rPr>
          <w:sz w:val="22"/>
          <w:szCs w:val="22"/>
        </w:rPr>
        <w:t xml:space="preserve">Meer informatie over de aanpak en de resultaten van de </w:t>
      </w:r>
      <w:r>
        <w:rPr>
          <w:sz w:val="22"/>
          <w:szCs w:val="22"/>
        </w:rPr>
        <w:t>IMEC-</w:t>
      </w:r>
      <w:r w:rsidRPr="00033F73">
        <w:rPr>
          <w:sz w:val="22"/>
          <w:szCs w:val="22"/>
        </w:rPr>
        <w:t xml:space="preserve">evaluatie is publiek beschikbaar via de website van het </w:t>
      </w:r>
      <w:r>
        <w:rPr>
          <w:sz w:val="22"/>
          <w:szCs w:val="22"/>
        </w:rPr>
        <w:t>D</w:t>
      </w:r>
      <w:r w:rsidRPr="00033F73">
        <w:rPr>
          <w:sz w:val="22"/>
          <w:szCs w:val="22"/>
        </w:rPr>
        <w:t>epartement EWI:</w:t>
      </w:r>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hyperlink r:id="rId7" w:history="1">
        <w:r w:rsidRPr="00033F73">
          <w:rPr>
            <w:rStyle w:val="Hyperlink"/>
            <w:sz w:val="22"/>
            <w:szCs w:val="22"/>
          </w:rPr>
          <w:t>http://www.ewi-vlaanderen.be/ewi/wat-doen-we/beleidsevaluatie/evaluaties-2011</w:t>
        </w:r>
      </w:hyperlink>
    </w:p>
    <w:p w:rsidR="002769A4" w:rsidRPr="00033F73" w:rsidRDefault="002769A4" w:rsidP="00001C1C">
      <w:pPr>
        <w:ind w:left="426"/>
        <w:jc w:val="both"/>
        <w:rPr>
          <w:sz w:val="22"/>
          <w:szCs w:val="22"/>
        </w:rPr>
      </w:pPr>
    </w:p>
    <w:p w:rsidR="002769A4" w:rsidRPr="00033F73" w:rsidRDefault="002769A4" w:rsidP="00001C1C">
      <w:pPr>
        <w:ind w:left="426"/>
        <w:jc w:val="both"/>
        <w:rPr>
          <w:sz w:val="22"/>
          <w:szCs w:val="22"/>
        </w:rPr>
      </w:pPr>
      <w:r>
        <w:rPr>
          <w:sz w:val="22"/>
          <w:szCs w:val="22"/>
        </w:rPr>
        <w:t>Het integrale evaluatier</w:t>
      </w:r>
      <w:r w:rsidRPr="004F628F">
        <w:rPr>
          <w:sz w:val="22"/>
          <w:szCs w:val="22"/>
        </w:rPr>
        <w:t>apport</w:t>
      </w:r>
      <w:r>
        <w:rPr>
          <w:sz w:val="22"/>
          <w:szCs w:val="22"/>
        </w:rPr>
        <w:t xml:space="preserve"> kan</w:t>
      </w:r>
      <w:r w:rsidRPr="004F628F">
        <w:rPr>
          <w:sz w:val="22"/>
          <w:szCs w:val="22"/>
        </w:rPr>
        <w:t xml:space="preserve"> op aanvraag bij het Departement EWI in hard-copy </w:t>
      </w:r>
      <w:r>
        <w:rPr>
          <w:sz w:val="22"/>
          <w:szCs w:val="22"/>
        </w:rPr>
        <w:t>w</w:t>
      </w:r>
      <w:r w:rsidRPr="004F628F">
        <w:rPr>
          <w:sz w:val="22"/>
          <w:szCs w:val="22"/>
        </w:rPr>
        <w:t xml:space="preserve">orden </w:t>
      </w:r>
      <w:r>
        <w:rPr>
          <w:sz w:val="22"/>
          <w:szCs w:val="22"/>
        </w:rPr>
        <w:t>bekomen</w:t>
      </w:r>
      <w:r w:rsidRPr="004F628F">
        <w:rPr>
          <w:sz w:val="22"/>
          <w:szCs w:val="22"/>
        </w:rPr>
        <w:t xml:space="preserve"> en </w:t>
      </w:r>
      <w:r>
        <w:rPr>
          <w:sz w:val="22"/>
          <w:szCs w:val="22"/>
        </w:rPr>
        <w:t>is</w:t>
      </w:r>
      <w:r w:rsidRPr="004F628F">
        <w:rPr>
          <w:sz w:val="22"/>
          <w:szCs w:val="22"/>
        </w:rPr>
        <w:t xml:space="preserve"> ook opgenomen in de bibliotheek van het Vlaams Parlement.</w:t>
      </w:r>
    </w:p>
    <w:p w:rsidR="002769A4" w:rsidRPr="00033F73" w:rsidRDefault="002769A4" w:rsidP="00001C1C">
      <w:pPr>
        <w:ind w:left="426"/>
        <w:jc w:val="both"/>
        <w:rPr>
          <w:sz w:val="22"/>
          <w:szCs w:val="22"/>
        </w:rPr>
      </w:pPr>
    </w:p>
    <w:p w:rsidR="002769A4" w:rsidRPr="00EE2D42" w:rsidRDefault="002769A4" w:rsidP="004F6B3B">
      <w:pPr>
        <w:numPr>
          <w:ilvl w:val="0"/>
          <w:numId w:val="28"/>
        </w:numPr>
        <w:tabs>
          <w:tab w:val="left" w:pos="426"/>
        </w:tabs>
        <w:ind w:left="709" w:hanging="709"/>
        <w:jc w:val="both"/>
        <w:rPr>
          <w:sz w:val="22"/>
          <w:szCs w:val="22"/>
        </w:rPr>
      </w:pPr>
      <w:r>
        <w:rPr>
          <w:sz w:val="22"/>
          <w:szCs w:val="22"/>
        </w:rPr>
        <w:t>a.</w:t>
      </w:r>
      <w:r>
        <w:rPr>
          <w:sz w:val="22"/>
          <w:szCs w:val="22"/>
        </w:rPr>
        <w:tab/>
        <w:t>I</w:t>
      </w:r>
      <w:r w:rsidRPr="00033F73">
        <w:rPr>
          <w:sz w:val="22"/>
          <w:szCs w:val="22"/>
        </w:rPr>
        <w:t>n regel bestaat de steun voor IMEC uit een jaarlijkse subsidie in het kader van de beheersovereenkomst. Deze steun dient voor het uitvoeren van het strategisch basisonderzoek.</w:t>
      </w:r>
      <w:r>
        <w:rPr>
          <w:sz w:val="22"/>
          <w:szCs w:val="22"/>
        </w:rPr>
        <w:t xml:space="preserve"> Een overzicht m.b.t. de werkingsperiode 2007-2011 is te vinden in </w:t>
      </w:r>
      <w:r w:rsidRPr="00EE2D42">
        <w:rPr>
          <w:sz w:val="22"/>
          <w:szCs w:val="22"/>
          <w:u w:val="single"/>
        </w:rPr>
        <w:t>tabel 1</w:t>
      </w:r>
      <w:r>
        <w:rPr>
          <w:sz w:val="22"/>
          <w:szCs w:val="22"/>
        </w:rPr>
        <w:t>.</w:t>
      </w:r>
    </w:p>
    <w:p w:rsidR="002769A4" w:rsidRPr="00EE2D42" w:rsidRDefault="002769A4" w:rsidP="004F6B3B">
      <w:pPr>
        <w:pStyle w:val="SVTitel"/>
        <w:tabs>
          <w:tab w:val="left" w:pos="709"/>
          <w:tab w:val="left" w:pos="993"/>
        </w:tabs>
        <w:ind w:left="709"/>
        <w:rPr>
          <w:b/>
          <w:i w:val="0"/>
          <w:szCs w:val="22"/>
        </w:rPr>
      </w:pPr>
      <w:r w:rsidRPr="00EE2D42">
        <w:rPr>
          <w:i w:val="0"/>
          <w:szCs w:val="22"/>
        </w:rPr>
        <w:br w:type="page"/>
      </w:r>
      <w:r w:rsidRPr="00EE2D42">
        <w:rPr>
          <w:b/>
          <w:i w:val="0"/>
          <w:szCs w:val="22"/>
          <w:u w:val="single"/>
        </w:rPr>
        <w:t>Tabel 1</w:t>
      </w:r>
      <w:r>
        <w:rPr>
          <w:b/>
          <w:i w:val="0"/>
          <w:szCs w:val="22"/>
        </w:rPr>
        <w:t>.</w:t>
      </w:r>
      <w:r w:rsidRPr="00EE2D42">
        <w:rPr>
          <w:b/>
          <w:i w:val="0"/>
          <w:szCs w:val="22"/>
        </w:rPr>
        <w:t xml:space="preserve"> Subsidies verleend aan IMEC gedurende de periode 2007</w:t>
      </w:r>
      <w:r>
        <w:rPr>
          <w:b/>
          <w:i w:val="0"/>
          <w:szCs w:val="22"/>
        </w:rPr>
        <w:t>-</w:t>
      </w:r>
      <w:r w:rsidRPr="00EE2D42">
        <w:rPr>
          <w:b/>
          <w:i w:val="0"/>
          <w:szCs w:val="22"/>
        </w:rPr>
        <w:t>2011 (bedragen in miljoen euro).</w:t>
      </w:r>
    </w:p>
    <w:p w:rsidR="002769A4" w:rsidRPr="00EE2D42" w:rsidRDefault="002769A4" w:rsidP="00001C1C">
      <w:pPr>
        <w:ind w:left="852" w:hanging="426"/>
        <w:jc w:val="both"/>
        <w:rPr>
          <w:sz w:val="22"/>
          <w:szCs w:val="22"/>
        </w:rPr>
      </w:pPr>
    </w:p>
    <w:tbl>
      <w:tblPr>
        <w:tblW w:w="5780"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766"/>
        <w:gridCol w:w="766"/>
        <w:gridCol w:w="766"/>
        <w:gridCol w:w="766"/>
        <w:gridCol w:w="766"/>
      </w:tblGrid>
      <w:tr w:rsidR="002769A4" w:rsidRPr="00033F73" w:rsidTr="004F6B3B">
        <w:tc>
          <w:tcPr>
            <w:tcW w:w="1950" w:type="dxa"/>
          </w:tcPr>
          <w:p w:rsidR="002769A4" w:rsidRPr="00EE2D42" w:rsidRDefault="002769A4" w:rsidP="00001C1C">
            <w:pPr>
              <w:pStyle w:val="SVTitel"/>
              <w:rPr>
                <w:i w:val="0"/>
                <w:sz w:val="20"/>
              </w:rPr>
            </w:pPr>
            <w:r w:rsidRPr="00EE2D42">
              <w:rPr>
                <w:i w:val="0"/>
                <w:sz w:val="20"/>
              </w:rPr>
              <w:t xml:space="preserve">Jaar/IMEC </w:t>
            </w:r>
          </w:p>
        </w:tc>
        <w:tc>
          <w:tcPr>
            <w:tcW w:w="766" w:type="dxa"/>
          </w:tcPr>
          <w:p w:rsidR="002769A4" w:rsidRPr="00EE2D42" w:rsidRDefault="002769A4" w:rsidP="00001C1C">
            <w:pPr>
              <w:pStyle w:val="SVTitel"/>
              <w:rPr>
                <w:b/>
                <w:i w:val="0"/>
                <w:sz w:val="20"/>
              </w:rPr>
            </w:pPr>
            <w:r w:rsidRPr="00EE2D42">
              <w:rPr>
                <w:b/>
                <w:i w:val="0"/>
                <w:sz w:val="20"/>
              </w:rPr>
              <w:t>2007</w:t>
            </w:r>
          </w:p>
        </w:tc>
        <w:tc>
          <w:tcPr>
            <w:tcW w:w="766" w:type="dxa"/>
          </w:tcPr>
          <w:p w:rsidR="002769A4" w:rsidRPr="00EE2D42" w:rsidRDefault="002769A4" w:rsidP="00001C1C">
            <w:pPr>
              <w:pStyle w:val="SVTitel"/>
              <w:rPr>
                <w:b/>
                <w:i w:val="0"/>
                <w:sz w:val="20"/>
              </w:rPr>
            </w:pPr>
            <w:r w:rsidRPr="00EE2D42">
              <w:rPr>
                <w:b/>
                <w:i w:val="0"/>
                <w:sz w:val="20"/>
              </w:rPr>
              <w:t>2008</w:t>
            </w:r>
          </w:p>
        </w:tc>
        <w:tc>
          <w:tcPr>
            <w:tcW w:w="766" w:type="dxa"/>
          </w:tcPr>
          <w:p w:rsidR="002769A4" w:rsidRPr="00EE2D42" w:rsidRDefault="002769A4" w:rsidP="00001C1C">
            <w:pPr>
              <w:pStyle w:val="SVTitel"/>
              <w:rPr>
                <w:b/>
                <w:i w:val="0"/>
                <w:sz w:val="20"/>
              </w:rPr>
            </w:pPr>
            <w:r w:rsidRPr="00EE2D42">
              <w:rPr>
                <w:b/>
                <w:i w:val="0"/>
                <w:sz w:val="20"/>
              </w:rPr>
              <w:t>2009</w:t>
            </w:r>
          </w:p>
        </w:tc>
        <w:tc>
          <w:tcPr>
            <w:tcW w:w="766" w:type="dxa"/>
          </w:tcPr>
          <w:p w:rsidR="002769A4" w:rsidRPr="00EE2D42" w:rsidRDefault="002769A4" w:rsidP="00001C1C">
            <w:pPr>
              <w:pStyle w:val="SVTitel"/>
              <w:rPr>
                <w:b/>
                <w:i w:val="0"/>
                <w:sz w:val="20"/>
              </w:rPr>
            </w:pPr>
            <w:r w:rsidRPr="00EE2D42">
              <w:rPr>
                <w:b/>
                <w:i w:val="0"/>
                <w:sz w:val="20"/>
              </w:rPr>
              <w:t>2010</w:t>
            </w:r>
          </w:p>
        </w:tc>
        <w:tc>
          <w:tcPr>
            <w:tcW w:w="766" w:type="dxa"/>
          </w:tcPr>
          <w:p w:rsidR="002769A4" w:rsidRPr="00EE2D42" w:rsidRDefault="002769A4" w:rsidP="00001C1C">
            <w:pPr>
              <w:pStyle w:val="SVTitel"/>
              <w:rPr>
                <w:b/>
                <w:i w:val="0"/>
                <w:sz w:val="20"/>
              </w:rPr>
            </w:pPr>
            <w:r w:rsidRPr="00EE2D42">
              <w:rPr>
                <w:b/>
                <w:i w:val="0"/>
                <w:sz w:val="20"/>
              </w:rPr>
              <w:t>2011</w:t>
            </w:r>
          </w:p>
        </w:tc>
      </w:tr>
      <w:tr w:rsidR="002769A4" w:rsidRPr="00033F73" w:rsidTr="004F6B3B">
        <w:tc>
          <w:tcPr>
            <w:tcW w:w="1950" w:type="dxa"/>
          </w:tcPr>
          <w:p w:rsidR="002769A4" w:rsidRPr="00EE2D42" w:rsidRDefault="002769A4" w:rsidP="00001C1C">
            <w:pPr>
              <w:pStyle w:val="SVTitel"/>
              <w:rPr>
                <w:i w:val="0"/>
                <w:sz w:val="20"/>
              </w:rPr>
            </w:pPr>
            <w:r w:rsidRPr="00EE2D42">
              <w:rPr>
                <w:i w:val="0"/>
                <w:sz w:val="20"/>
              </w:rPr>
              <w:t>Subsidie</w:t>
            </w:r>
          </w:p>
        </w:tc>
        <w:tc>
          <w:tcPr>
            <w:tcW w:w="766" w:type="dxa"/>
            <w:vAlign w:val="center"/>
          </w:tcPr>
          <w:p w:rsidR="002769A4" w:rsidRPr="00EE2D42" w:rsidRDefault="002769A4" w:rsidP="00001C1C">
            <w:pPr>
              <w:jc w:val="both"/>
              <w:rPr>
                <w:sz w:val="20"/>
              </w:rPr>
            </w:pPr>
            <w:r w:rsidRPr="00EE2D42">
              <w:rPr>
                <w:sz w:val="20"/>
              </w:rPr>
              <w:t>39,02</w:t>
            </w:r>
          </w:p>
        </w:tc>
        <w:tc>
          <w:tcPr>
            <w:tcW w:w="766" w:type="dxa"/>
            <w:vAlign w:val="center"/>
          </w:tcPr>
          <w:p w:rsidR="002769A4" w:rsidRPr="00EE2D42" w:rsidRDefault="002769A4" w:rsidP="00001C1C">
            <w:pPr>
              <w:jc w:val="both"/>
              <w:rPr>
                <w:sz w:val="20"/>
              </w:rPr>
            </w:pPr>
            <w:r w:rsidRPr="00EE2D42">
              <w:rPr>
                <w:sz w:val="20"/>
              </w:rPr>
              <w:t>44,17</w:t>
            </w:r>
          </w:p>
        </w:tc>
        <w:tc>
          <w:tcPr>
            <w:tcW w:w="766" w:type="dxa"/>
            <w:vAlign w:val="center"/>
          </w:tcPr>
          <w:p w:rsidR="002769A4" w:rsidRPr="00EE2D42" w:rsidRDefault="002769A4" w:rsidP="00001C1C">
            <w:pPr>
              <w:jc w:val="both"/>
              <w:rPr>
                <w:sz w:val="20"/>
              </w:rPr>
            </w:pPr>
            <w:r w:rsidRPr="00EE2D42">
              <w:rPr>
                <w:sz w:val="20"/>
              </w:rPr>
              <w:t>44,73</w:t>
            </w:r>
          </w:p>
        </w:tc>
        <w:tc>
          <w:tcPr>
            <w:tcW w:w="766" w:type="dxa"/>
            <w:vAlign w:val="center"/>
          </w:tcPr>
          <w:p w:rsidR="002769A4" w:rsidRPr="00EE2D42" w:rsidRDefault="002769A4" w:rsidP="00001C1C">
            <w:pPr>
              <w:jc w:val="both"/>
              <w:rPr>
                <w:sz w:val="20"/>
              </w:rPr>
            </w:pPr>
            <w:r w:rsidRPr="00EE2D42">
              <w:rPr>
                <w:sz w:val="20"/>
              </w:rPr>
              <w:t>42,62</w:t>
            </w:r>
          </w:p>
        </w:tc>
        <w:tc>
          <w:tcPr>
            <w:tcW w:w="766" w:type="dxa"/>
            <w:vAlign w:val="center"/>
          </w:tcPr>
          <w:p w:rsidR="002769A4" w:rsidRPr="00EE2D42" w:rsidRDefault="002769A4" w:rsidP="00001C1C">
            <w:pPr>
              <w:jc w:val="both"/>
              <w:rPr>
                <w:sz w:val="20"/>
              </w:rPr>
            </w:pPr>
            <w:r w:rsidRPr="00EE2D42">
              <w:rPr>
                <w:sz w:val="20"/>
              </w:rPr>
              <w:t>45,72</w:t>
            </w:r>
          </w:p>
        </w:tc>
      </w:tr>
      <w:tr w:rsidR="002769A4" w:rsidRPr="00033F73" w:rsidTr="004F6B3B">
        <w:tc>
          <w:tcPr>
            <w:tcW w:w="1950" w:type="dxa"/>
          </w:tcPr>
          <w:p w:rsidR="002769A4" w:rsidRPr="00EE2D42" w:rsidRDefault="002769A4" w:rsidP="00001C1C">
            <w:pPr>
              <w:pStyle w:val="SVTitel"/>
              <w:rPr>
                <w:i w:val="0"/>
                <w:sz w:val="20"/>
              </w:rPr>
            </w:pPr>
            <w:r w:rsidRPr="00EE2D42">
              <w:rPr>
                <w:i w:val="0"/>
                <w:sz w:val="20"/>
              </w:rPr>
              <w:t>Subsidie NERF</w:t>
            </w:r>
          </w:p>
        </w:tc>
        <w:tc>
          <w:tcPr>
            <w:tcW w:w="766" w:type="dxa"/>
          </w:tcPr>
          <w:p w:rsidR="002769A4" w:rsidRPr="00EE2D42" w:rsidRDefault="002769A4" w:rsidP="00001C1C">
            <w:pPr>
              <w:pStyle w:val="SVTitel"/>
              <w:rPr>
                <w:i w:val="0"/>
                <w:sz w:val="20"/>
              </w:rPr>
            </w:pPr>
          </w:p>
        </w:tc>
        <w:tc>
          <w:tcPr>
            <w:tcW w:w="766" w:type="dxa"/>
          </w:tcPr>
          <w:p w:rsidR="002769A4" w:rsidRPr="00EE2D42" w:rsidRDefault="002769A4" w:rsidP="00001C1C">
            <w:pPr>
              <w:pStyle w:val="SVTitel"/>
              <w:rPr>
                <w:i w:val="0"/>
                <w:sz w:val="20"/>
              </w:rPr>
            </w:pPr>
          </w:p>
        </w:tc>
        <w:tc>
          <w:tcPr>
            <w:tcW w:w="766" w:type="dxa"/>
          </w:tcPr>
          <w:p w:rsidR="002769A4" w:rsidRPr="00EE2D42" w:rsidRDefault="002769A4" w:rsidP="00001C1C">
            <w:pPr>
              <w:pStyle w:val="SVTitel"/>
              <w:rPr>
                <w:i w:val="0"/>
                <w:sz w:val="20"/>
              </w:rPr>
            </w:pPr>
            <w:r w:rsidRPr="00EE2D42">
              <w:rPr>
                <w:i w:val="0"/>
                <w:sz w:val="20"/>
              </w:rPr>
              <w:t>0,49</w:t>
            </w:r>
          </w:p>
        </w:tc>
        <w:tc>
          <w:tcPr>
            <w:tcW w:w="766" w:type="dxa"/>
          </w:tcPr>
          <w:p w:rsidR="002769A4" w:rsidRPr="00EE2D42" w:rsidRDefault="002769A4" w:rsidP="00001C1C">
            <w:pPr>
              <w:pStyle w:val="SVTitel"/>
              <w:rPr>
                <w:i w:val="0"/>
                <w:sz w:val="20"/>
              </w:rPr>
            </w:pPr>
            <w:r w:rsidRPr="00EE2D42">
              <w:rPr>
                <w:i w:val="0"/>
                <w:sz w:val="20"/>
              </w:rPr>
              <w:t>0,46</w:t>
            </w:r>
          </w:p>
        </w:tc>
        <w:tc>
          <w:tcPr>
            <w:tcW w:w="766" w:type="dxa"/>
          </w:tcPr>
          <w:p w:rsidR="002769A4" w:rsidRPr="00EE2D42" w:rsidRDefault="002769A4" w:rsidP="00001C1C">
            <w:pPr>
              <w:pStyle w:val="SVTitel"/>
              <w:rPr>
                <w:i w:val="0"/>
                <w:sz w:val="20"/>
              </w:rPr>
            </w:pPr>
            <w:r w:rsidRPr="00EE2D42">
              <w:rPr>
                <w:i w:val="0"/>
                <w:sz w:val="20"/>
              </w:rPr>
              <w:t>0,47</w:t>
            </w:r>
          </w:p>
        </w:tc>
      </w:tr>
      <w:tr w:rsidR="002769A4" w:rsidRPr="00033F73" w:rsidTr="004F6B3B">
        <w:tc>
          <w:tcPr>
            <w:tcW w:w="1950" w:type="dxa"/>
          </w:tcPr>
          <w:p w:rsidR="002769A4" w:rsidRPr="00EE2D42" w:rsidRDefault="002769A4" w:rsidP="00001C1C">
            <w:pPr>
              <w:pStyle w:val="SVTitel"/>
              <w:rPr>
                <w:i w:val="0"/>
                <w:sz w:val="20"/>
              </w:rPr>
            </w:pPr>
            <w:r w:rsidRPr="00EE2D42">
              <w:rPr>
                <w:i w:val="0"/>
                <w:sz w:val="20"/>
              </w:rPr>
              <w:t>Subsidies projecten</w:t>
            </w:r>
          </w:p>
        </w:tc>
        <w:tc>
          <w:tcPr>
            <w:tcW w:w="766" w:type="dxa"/>
          </w:tcPr>
          <w:p w:rsidR="002769A4" w:rsidRPr="00EE2D42" w:rsidRDefault="002769A4" w:rsidP="00001C1C">
            <w:pPr>
              <w:pStyle w:val="SVTitel"/>
              <w:rPr>
                <w:i w:val="0"/>
                <w:sz w:val="20"/>
              </w:rPr>
            </w:pPr>
          </w:p>
        </w:tc>
        <w:tc>
          <w:tcPr>
            <w:tcW w:w="766" w:type="dxa"/>
          </w:tcPr>
          <w:p w:rsidR="002769A4" w:rsidRPr="00EE2D42" w:rsidRDefault="002769A4" w:rsidP="00001C1C">
            <w:pPr>
              <w:pStyle w:val="SVTitel"/>
              <w:rPr>
                <w:i w:val="0"/>
                <w:sz w:val="20"/>
              </w:rPr>
            </w:pPr>
          </w:p>
        </w:tc>
        <w:tc>
          <w:tcPr>
            <w:tcW w:w="766" w:type="dxa"/>
          </w:tcPr>
          <w:p w:rsidR="002769A4" w:rsidRPr="00EE2D42" w:rsidRDefault="002769A4" w:rsidP="00001C1C">
            <w:pPr>
              <w:pStyle w:val="SVTitel"/>
              <w:rPr>
                <w:i w:val="0"/>
                <w:sz w:val="20"/>
              </w:rPr>
            </w:pPr>
          </w:p>
        </w:tc>
        <w:tc>
          <w:tcPr>
            <w:tcW w:w="766" w:type="dxa"/>
          </w:tcPr>
          <w:p w:rsidR="002769A4" w:rsidRPr="00EE2D42" w:rsidRDefault="002769A4" w:rsidP="00001C1C">
            <w:pPr>
              <w:pStyle w:val="SVTitel"/>
              <w:rPr>
                <w:i w:val="0"/>
                <w:sz w:val="20"/>
              </w:rPr>
            </w:pPr>
            <w:r w:rsidRPr="00EE2D42">
              <w:rPr>
                <w:i w:val="0"/>
                <w:sz w:val="20"/>
              </w:rPr>
              <w:t>2,90</w:t>
            </w:r>
          </w:p>
        </w:tc>
        <w:tc>
          <w:tcPr>
            <w:tcW w:w="766" w:type="dxa"/>
          </w:tcPr>
          <w:p w:rsidR="002769A4" w:rsidRPr="00EE2D42" w:rsidRDefault="002769A4" w:rsidP="00001C1C">
            <w:pPr>
              <w:pStyle w:val="SVTitel"/>
              <w:rPr>
                <w:i w:val="0"/>
                <w:sz w:val="20"/>
              </w:rPr>
            </w:pPr>
          </w:p>
        </w:tc>
      </w:tr>
    </w:tbl>
    <w:p w:rsidR="002769A4" w:rsidRPr="00EE2D42" w:rsidRDefault="002769A4" w:rsidP="00001C1C">
      <w:pPr>
        <w:pStyle w:val="Geenafstand1"/>
        <w:ind w:firstLine="426"/>
        <w:jc w:val="both"/>
        <w:rPr>
          <w:sz w:val="22"/>
          <w:szCs w:val="22"/>
        </w:rPr>
      </w:pPr>
    </w:p>
    <w:p w:rsidR="002769A4" w:rsidRPr="00EE2D42" w:rsidRDefault="002769A4" w:rsidP="004F6B3B">
      <w:pPr>
        <w:pStyle w:val="Geenafstand1"/>
        <w:ind w:left="709"/>
        <w:jc w:val="both"/>
        <w:rPr>
          <w:sz w:val="22"/>
          <w:szCs w:val="22"/>
        </w:rPr>
      </w:pPr>
      <w:r w:rsidRPr="00EE2D42">
        <w:rPr>
          <w:sz w:val="22"/>
          <w:szCs w:val="22"/>
        </w:rPr>
        <w:t xml:space="preserve">De </w:t>
      </w:r>
      <w:r>
        <w:rPr>
          <w:sz w:val="22"/>
          <w:szCs w:val="22"/>
        </w:rPr>
        <w:t xml:space="preserve">in tabel 1 vermelde </w:t>
      </w:r>
      <w:r w:rsidRPr="00EE2D42">
        <w:rPr>
          <w:sz w:val="22"/>
          <w:szCs w:val="22"/>
        </w:rPr>
        <w:t xml:space="preserve">steun voor het </w:t>
      </w:r>
      <w:r>
        <w:rPr>
          <w:sz w:val="22"/>
          <w:szCs w:val="22"/>
        </w:rPr>
        <w:t>i</w:t>
      </w:r>
      <w:r w:rsidRPr="00EE2D42">
        <w:rPr>
          <w:sz w:val="22"/>
          <w:szCs w:val="22"/>
        </w:rPr>
        <w:t>nitiatief</w:t>
      </w:r>
      <w:r>
        <w:rPr>
          <w:sz w:val="22"/>
          <w:szCs w:val="22"/>
        </w:rPr>
        <w:t xml:space="preserve"> “</w:t>
      </w:r>
      <w:r w:rsidRPr="00EE2D42">
        <w:rPr>
          <w:sz w:val="22"/>
          <w:szCs w:val="22"/>
        </w:rPr>
        <w:t>Neuroelectronics Research Flanders (NERF)</w:t>
      </w:r>
      <w:r>
        <w:rPr>
          <w:sz w:val="22"/>
          <w:szCs w:val="22"/>
        </w:rPr>
        <w:t>”</w:t>
      </w:r>
      <w:r w:rsidRPr="00EE2D42">
        <w:rPr>
          <w:sz w:val="22"/>
          <w:szCs w:val="22"/>
        </w:rPr>
        <w:t xml:space="preserve"> betreft enkel het deel voor IMEC (50%). In het kader van het </w:t>
      </w:r>
      <w:r>
        <w:rPr>
          <w:sz w:val="22"/>
          <w:szCs w:val="22"/>
        </w:rPr>
        <w:t>NERF-</w:t>
      </w:r>
      <w:r w:rsidRPr="00EE2D42">
        <w:rPr>
          <w:sz w:val="22"/>
          <w:szCs w:val="22"/>
        </w:rPr>
        <w:t xml:space="preserve">samenwerkingsverband </w:t>
      </w:r>
      <w:r>
        <w:rPr>
          <w:sz w:val="22"/>
          <w:szCs w:val="22"/>
        </w:rPr>
        <w:t>o</w:t>
      </w:r>
      <w:r w:rsidRPr="00EE2D42">
        <w:rPr>
          <w:sz w:val="22"/>
          <w:szCs w:val="22"/>
        </w:rPr>
        <w:t>ntvangt het Vlaams Instituut voor Biotechnologie (VIB) jaarlijks eenzelfde subsidie</w:t>
      </w:r>
      <w:r>
        <w:rPr>
          <w:sz w:val="22"/>
          <w:szCs w:val="22"/>
        </w:rPr>
        <w:t xml:space="preserve"> (VR 2009 0304 DOC.</w:t>
      </w:r>
      <w:r w:rsidRPr="00EE2D42">
        <w:rPr>
          <w:sz w:val="22"/>
          <w:szCs w:val="22"/>
        </w:rPr>
        <w:t>0460). In het kader van de begrotingscontrole 2011 werd aan IMEC een subsidie toegekend van 2.900.000 euro voor het uitvoeren van het project “Nanovibes, Si-Photonics en Si-Photovoltaic modules”.</w:t>
      </w:r>
    </w:p>
    <w:p w:rsidR="002769A4" w:rsidRDefault="002769A4" w:rsidP="00001C1C">
      <w:pPr>
        <w:pStyle w:val="Geenafstand1"/>
        <w:ind w:left="426"/>
        <w:jc w:val="both"/>
        <w:rPr>
          <w:sz w:val="22"/>
          <w:szCs w:val="22"/>
        </w:rPr>
      </w:pPr>
    </w:p>
    <w:p w:rsidR="002769A4" w:rsidRDefault="002769A4" w:rsidP="004F6B3B">
      <w:pPr>
        <w:pStyle w:val="Geenafstand1"/>
        <w:ind w:left="708"/>
        <w:jc w:val="both"/>
        <w:rPr>
          <w:sz w:val="22"/>
          <w:szCs w:val="22"/>
          <w:lang w:val="nl-BE"/>
        </w:rPr>
      </w:pPr>
      <w:r w:rsidRPr="00EE2D42">
        <w:rPr>
          <w:sz w:val="22"/>
          <w:szCs w:val="22"/>
        </w:rPr>
        <w:t xml:space="preserve">Zoals ook blijkt uit de evaluatie is state-of-the-art onderzoeksinfrastructuur essentieel om een toppositie te kunnen handhaven in de micro-elektronica. Voor de uitbreiding van de clean room en de bouw van de IMEC V Toren heeft </w:t>
      </w:r>
      <w:r w:rsidRPr="00EE2D42">
        <w:rPr>
          <w:sz w:val="22"/>
          <w:szCs w:val="22"/>
          <w:lang w:val="nl-BE"/>
        </w:rPr>
        <w:t>de Vlaamse overheid 35 miljoen euro geïnvesteerd in NV Finlab (toen 100% dochter van IMEC vzw). Er werd ook een gewestwaarborg van 35 miljoen euro verleend aan IMEC vzw voor de financiering van het nieuwe gebouw. Het betreft dus in essentie een investering en geen subsidie</w:t>
      </w:r>
      <w:r>
        <w:rPr>
          <w:sz w:val="22"/>
          <w:szCs w:val="22"/>
          <w:lang w:val="nl-BE"/>
        </w:rPr>
        <w:t>,</w:t>
      </w:r>
      <w:r w:rsidRPr="00EE2D42">
        <w:rPr>
          <w:sz w:val="22"/>
          <w:szCs w:val="22"/>
          <w:lang w:val="nl-BE"/>
        </w:rPr>
        <w:t xml:space="preserve"> vandaar dat dit dossier </w:t>
      </w:r>
      <w:r>
        <w:rPr>
          <w:sz w:val="22"/>
          <w:szCs w:val="22"/>
          <w:lang w:val="nl-BE"/>
        </w:rPr>
        <w:t xml:space="preserve">wordt </w:t>
      </w:r>
      <w:r w:rsidRPr="00EE2D42">
        <w:rPr>
          <w:sz w:val="22"/>
          <w:szCs w:val="22"/>
          <w:lang w:val="nl-BE"/>
        </w:rPr>
        <w:t xml:space="preserve">opgevolgd </w:t>
      </w:r>
      <w:r>
        <w:rPr>
          <w:sz w:val="22"/>
          <w:szCs w:val="22"/>
          <w:lang w:val="nl-BE"/>
        </w:rPr>
        <w:t>d</w:t>
      </w:r>
      <w:r w:rsidRPr="00EE2D42">
        <w:rPr>
          <w:sz w:val="22"/>
          <w:szCs w:val="22"/>
          <w:lang w:val="nl-BE"/>
        </w:rPr>
        <w:t xml:space="preserve">oor </w:t>
      </w:r>
      <w:r>
        <w:rPr>
          <w:sz w:val="22"/>
          <w:szCs w:val="22"/>
          <w:lang w:val="nl-BE"/>
        </w:rPr>
        <w:t>de Participatiemaatschappij Vlaanderen (</w:t>
      </w:r>
      <w:r w:rsidRPr="00EE2D42">
        <w:rPr>
          <w:sz w:val="22"/>
          <w:szCs w:val="22"/>
          <w:lang w:val="nl-BE"/>
        </w:rPr>
        <w:t>PMV</w:t>
      </w:r>
      <w:r>
        <w:rPr>
          <w:sz w:val="22"/>
          <w:szCs w:val="22"/>
          <w:lang w:val="nl-BE"/>
        </w:rPr>
        <w:t>)</w:t>
      </w:r>
      <w:r w:rsidRPr="00EE2D42">
        <w:rPr>
          <w:sz w:val="22"/>
          <w:szCs w:val="22"/>
          <w:lang w:val="nl-BE"/>
        </w:rPr>
        <w:t xml:space="preserve"> (VR 2009 1112 DOC 1539).</w:t>
      </w:r>
    </w:p>
    <w:p w:rsidR="002769A4" w:rsidRDefault="002769A4" w:rsidP="00001C1C">
      <w:pPr>
        <w:pStyle w:val="Geenafstand1"/>
        <w:ind w:left="426"/>
        <w:jc w:val="both"/>
        <w:rPr>
          <w:sz w:val="22"/>
          <w:szCs w:val="22"/>
          <w:lang w:val="nl-BE"/>
        </w:rPr>
      </w:pPr>
    </w:p>
    <w:p w:rsidR="002769A4" w:rsidRPr="00EE2D42" w:rsidRDefault="002769A4" w:rsidP="004F6B3B">
      <w:pPr>
        <w:pStyle w:val="Geenafstand1"/>
        <w:ind w:left="709" w:hanging="426"/>
        <w:jc w:val="both"/>
        <w:rPr>
          <w:sz w:val="22"/>
          <w:szCs w:val="22"/>
        </w:rPr>
      </w:pPr>
      <w:r>
        <w:rPr>
          <w:sz w:val="22"/>
          <w:szCs w:val="22"/>
          <w:lang w:val="nl-BE"/>
        </w:rPr>
        <w:t>b.</w:t>
      </w:r>
      <w:r>
        <w:rPr>
          <w:sz w:val="22"/>
          <w:szCs w:val="22"/>
          <w:lang w:val="nl-BE"/>
        </w:rPr>
        <w:tab/>
      </w:r>
      <w:r w:rsidRPr="00EE2D42">
        <w:rPr>
          <w:sz w:val="22"/>
          <w:szCs w:val="22"/>
        </w:rPr>
        <w:t xml:space="preserve">Sinds de oprichting in 1984 heeft IMEC 34 spin-offs opgericht. Een aantal van deze spin-offs werden in de loop der </w:t>
      </w:r>
      <w:r>
        <w:rPr>
          <w:sz w:val="22"/>
          <w:szCs w:val="22"/>
        </w:rPr>
        <w:t>jaren</w:t>
      </w:r>
      <w:r w:rsidRPr="00EE2D42">
        <w:rPr>
          <w:sz w:val="22"/>
          <w:szCs w:val="22"/>
        </w:rPr>
        <w:t xml:space="preserve"> overgenomen of in vereffening gesteld. Verder dient opgemerkt dat Vlaanderen over een goed uitgebouwd instrumentarium beschikt om bedrijven te ondersteunen. Dit kan </w:t>
      </w:r>
      <w:r>
        <w:rPr>
          <w:sz w:val="22"/>
          <w:szCs w:val="22"/>
        </w:rPr>
        <w:t>o.a.</w:t>
      </w:r>
      <w:r w:rsidRPr="00EE2D42">
        <w:rPr>
          <w:sz w:val="22"/>
          <w:szCs w:val="22"/>
        </w:rPr>
        <w:t xml:space="preserve"> gebeuren door het toekennen van subsidies maar ook via leningen, kapitaalparticipaties, </w:t>
      </w:r>
      <w:r>
        <w:rPr>
          <w:sz w:val="22"/>
          <w:szCs w:val="22"/>
        </w:rPr>
        <w:t>etc</w:t>
      </w:r>
      <w:r w:rsidRPr="00EE2D42">
        <w:rPr>
          <w:sz w:val="22"/>
          <w:szCs w:val="22"/>
        </w:rPr>
        <w:t xml:space="preserve">. In regel staan deze instrumenten ter beschikking van </w:t>
      </w:r>
      <w:r>
        <w:rPr>
          <w:sz w:val="22"/>
          <w:szCs w:val="22"/>
        </w:rPr>
        <w:t>alle</w:t>
      </w:r>
      <w:r w:rsidRPr="00EE2D42">
        <w:rPr>
          <w:sz w:val="22"/>
          <w:szCs w:val="22"/>
        </w:rPr>
        <w:t xml:space="preserve"> bedrijven in Vlaanderen. Bijgevolg kunnen ook de spin-offs van de </w:t>
      </w:r>
      <w:r>
        <w:rPr>
          <w:sz w:val="22"/>
          <w:szCs w:val="22"/>
        </w:rPr>
        <w:t>SOC’s</w:t>
      </w:r>
      <w:r w:rsidRPr="00EE2D42">
        <w:rPr>
          <w:sz w:val="22"/>
          <w:szCs w:val="22"/>
        </w:rPr>
        <w:t xml:space="preserve"> zoals IMEC beroep doen op deze instrumenten. </w:t>
      </w:r>
    </w:p>
    <w:p w:rsidR="002769A4" w:rsidRPr="00EE2D42" w:rsidRDefault="002769A4" w:rsidP="00001C1C">
      <w:pPr>
        <w:pStyle w:val="Geenafstand1"/>
        <w:jc w:val="both"/>
        <w:rPr>
          <w:sz w:val="22"/>
          <w:szCs w:val="22"/>
        </w:rPr>
      </w:pPr>
    </w:p>
    <w:p w:rsidR="002769A4" w:rsidRPr="00EE2D42" w:rsidRDefault="002769A4" w:rsidP="004F6B3B">
      <w:pPr>
        <w:pStyle w:val="Geenafstand1"/>
        <w:ind w:left="708"/>
        <w:jc w:val="both"/>
        <w:rPr>
          <w:rStyle w:val="A1"/>
          <w:color w:val="auto"/>
          <w:szCs w:val="22"/>
        </w:rPr>
      </w:pPr>
      <w:r w:rsidRPr="00EE2D42">
        <w:rPr>
          <w:sz w:val="22"/>
          <w:szCs w:val="22"/>
        </w:rPr>
        <w:t>Zonder in detail te treden</w:t>
      </w:r>
      <w:r>
        <w:rPr>
          <w:sz w:val="22"/>
          <w:szCs w:val="22"/>
        </w:rPr>
        <w:t>,</w:t>
      </w:r>
      <w:r w:rsidRPr="00EE2D42">
        <w:rPr>
          <w:sz w:val="22"/>
          <w:szCs w:val="22"/>
        </w:rPr>
        <w:t xml:space="preserve"> kunnen we stellen dat </w:t>
      </w:r>
      <w:r>
        <w:rPr>
          <w:sz w:val="22"/>
          <w:szCs w:val="22"/>
        </w:rPr>
        <w:t>de</w:t>
      </w:r>
      <w:r w:rsidRPr="00EE2D42">
        <w:rPr>
          <w:sz w:val="22"/>
          <w:szCs w:val="22"/>
        </w:rPr>
        <w:t xml:space="preserve"> belangrijkste instrumenten voor wetenschap en innovatie geïmplementeerd worden via het </w:t>
      </w:r>
      <w:r>
        <w:rPr>
          <w:sz w:val="22"/>
          <w:szCs w:val="22"/>
        </w:rPr>
        <w:t>a</w:t>
      </w:r>
      <w:r w:rsidRPr="00EE2D42">
        <w:rPr>
          <w:sz w:val="22"/>
          <w:szCs w:val="22"/>
        </w:rPr>
        <w:t>gentschap voor Innovatie door Wetenschap en Technologie (IWT)</w:t>
      </w:r>
      <w:r w:rsidRPr="00EE2D42">
        <w:rPr>
          <w:color w:val="000000"/>
          <w:sz w:val="22"/>
          <w:szCs w:val="22"/>
        </w:rPr>
        <w:t xml:space="preserve">. </w:t>
      </w:r>
      <w:r w:rsidRPr="00EE2D42">
        <w:rPr>
          <w:sz w:val="22"/>
          <w:szCs w:val="22"/>
        </w:rPr>
        <w:t>Aan het IWT werd gevraagd om</w:t>
      </w:r>
      <w:r w:rsidRPr="00EE2D42">
        <w:rPr>
          <w:rStyle w:val="A1"/>
          <w:szCs w:val="22"/>
        </w:rPr>
        <w:t xml:space="preserve"> een overzicht te geven m.b.t. de steun aan de spin-offs van IMEC </w:t>
      </w:r>
      <w:r>
        <w:rPr>
          <w:rStyle w:val="A1"/>
          <w:szCs w:val="22"/>
        </w:rPr>
        <w:t>gedurende d</w:t>
      </w:r>
      <w:r w:rsidRPr="00EE2D42">
        <w:rPr>
          <w:rStyle w:val="A1"/>
          <w:szCs w:val="22"/>
        </w:rPr>
        <w:t xml:space="preserve">e </w:t>
      </w:r>
      <w:r>
        <w:rPr>
          <w:rStyle w:val="A1"/>
          <w:szCs w:val="22"/>
        </w:rPr>
        <w:t>werkingsperiode 2007-2011</w:t>
      </w:r>
      <w:r w:rsidRPr="00EE2D42">
        <w:rPr>
          <w:rStyle w:val="A1"/>
          <w:szCs w:val="22"/>
        </w:rPr>
        <w:t>. Op basis van de</w:t>
      </w:r>
      <w:r>
        <w:rPr>
          <w:rStyle w:val="A1"/>
          <w:szCs w:val="22"/>
        </w:rPr>
        <w:t xml:space="preserve"> geleverde IWT-</w:t>
      </w:r>
      <w:r w:rsidRPr="00EE2D42">
        <w:rPr>
          <w:rStyle w:val="A1"/>
          <w:szCs w:val="22"/>
        </w:rPr>
        <w:t>inbreng</w:t>
      </w:r>
      <w:r>
        <w:rPr>
          <w:rStyle w:val="A1"/>
          <w:szCs w:val="22"/>
        </w:rPr>
        <w:t xml:space="preserve"> </w:t>
      </w:r>
      <w:r w:rsidRPr="00EE2D42">
        <w:rPr>
          <w:rStyle w:val="A1"/>
          <w:szCs w:val="22"/>
        </w:rPr>
        <w:t xml:space="preserve">komen we tot het </w:t>
      </w:r>
      <w:r>
        <w:rPr>
          <w:rStyle w:val="A1"/>
          <w:szCs w:val="22"/>
        </w:rPr>
        <w:t>hierna</w:t>
      </w:r>
      <w:r w:rsidRPr="00EE2D42">
        <w:rPr>
          <w:rStyle w:val="A1"/>
          <w:szCs w:val="22"/>
        </w:rPr>
        <w:t>volgende overzicht voor de spin-offs van IMEC</w:t>
      </w:r>
      <w:r>
        <w:rPr>
          <w:rStyle w:val="A1"/>
          <w:szCs w:val="22"/>
        </w:rPr>
        <w:t>.</w:t>
      </w:r>
    </w:p>
    <w:p w:rsidR="002769A4" w:rsidRPr="00EE2D42" w:rsidRDefault="002769A4" w:rsidP="00001C1C">
      <w:pPr>
        <w:pStyle w:val="Geenafstand1"/>
        <w:jc w:val="both"/>
        <w:rPr>
          <w:rStyle w:val="A1"/>
          <w:szCs w:val="22"/>
        </w:rPr>
      </w:pPr>
    </w:p>
    <w:p w:rsidR="002769A4" w:rsidRPr="00EE2D42" w:rsidRDefault="002769A4" w:rsidP="004F6B3B">
      <w:pPr>
        <w:pStyle w:val="Geenafstand1"/>
        <w:ind w:left="708"/>
        <w:jc w:val="both"/>
        <w:rPr>
          <w:sz w:val="22"/>
          <w:szCs w:val="22"/>
        </w:rPr>
      </w:pPr>
      <w:r w:rsidRPr="00EE2D42">
        <w:rPr>
          <w:sz w:val="22"/>
          <w:szCs w:val="22"/>
        </w:rPr>
        <w:t>Voor spin-offs zijn de meest voor de hand liggende IWT-kanalen voor financiële steun</w:t>
      </w:r>
      <w:r w:rsidRPr="00EE2D42">
        <w:rPr>
          <w:i/>
          <w:sz w:val="22"/>
          <w:szCs w:val="22"/>
        </w:rPr>
        <w:t xml:space="preserve"> </w:t>
      </w:r>
      <w:r w:rsidRPr="00EE2D42">
        <w:rPr>
          <w:sz w:val="22"/>
          <w:szCs w:val="22"/>
        </w:rPr>
        <w:t xml:space="preserve">het </w:t>
      </w:r>
      <w:r w:rsidRPr="0096135A">
        <w:rPr>
          <w:i/>
          <w:sz w:val="22"/>
          <w:szCs w:val="22"/>
        </w:rPr>
        <w:t>kmo- programma</w:t>
      </w:r>
      <w:r w:rsidRPr="00EE2D42">
        <w:rPr>
          <w:sz w:val="22"/>
          <w:szCs w:val="22"/>
        </w:rPr>
        <w:t xml:space="preserve"> en het </w:t>
      </w:r>
      <w:r w:rsidRPr="0096135A">
        <w:rPr>
          <w:i/>
          <w:sz w:val="22"/>
          <w:szCs w:val="22"/>
        </w:rPr>
        <w:t>programma O&amp;O-bedrijfsprojecten</w:t>
      </w:r>
      <w:r w:rsidRPr="00EE2D42">
        <w:rPr>
          <w:sz w:val="22"/>
          <w:szCs w:val="22"/>
        </w:rPr>
        <w:t>. Het</w:t>
      </w:r>
      <w:r>
        <w:rPr>
          <w:sz w:val="22"/>
          <w:szCs w:val="22"/>
        </w:rPr>
        <w:t xml:space="preserve"> programma </w:t>
      </w:r>
      <w:r w:rsidRPr="00EE2D42">
        <w:rPr>
          <w:sz w:val="22"/>
          <w:szCs w:val="22"/>
        </w:rPr>
        <w:t>O&amp;O-</w:t>
      </w:r>
      <w:r>
        <w:rPr>
          <w:sz w:val="22"/>
          <w:szCs w:val="22"/>
        </w:rPr>
        <w:t xml:space="preserve">bedrijfsprojecten </w:t>
      </w:r>
      <w:r w:rsidRPr="00EE2D42">
        <w:rPr>
          <w:sz w:val="22"/>
          <w:szCs w:val="22"/>
        </w:rPr>
        <w:t>is bedoeld voor meer geavanceerde onderzoeks- en/of ontwikkelings</w:t>
      </w:r>
      <w:r>
        <w:rPr>
          <w:sz w:val="22"/>
          <w:szCs w:val="22"/>
        </w:rPr>
        <w:softHyphen/>
      </w:r>
      <w:r w:rsidRPr="00EE2D42">
        <w:rPr>
          <w:sz w:val="22"/>
          <w:szCs w:val="22"/>
        </w:rPr>
        <w:t>projecten</w:t>
      </w:r>
      <w:r>
        <w:rPr>
          <w:sz w:val="22"/>
          <w:szCs w:val="22"/>
        </w:rPr>
        <w:t xml:space="preserve"> terwijl h</w:t>
      </w:r>
      <w:r w:rsidRPr="00EE2D42">
        <w:rPr>
          <w:sz w:val="22"/>
          <w:szCs w:val="22"/>
        </w:rPr>
        <w:t xml:space="preserve">et </w:t>
      </w:r>
      <w:r>
        <w:rPr>
          <w:sz w:val="22"/>
          <w:szCs w:val="22"/>
        </w:rPr>
        <w:t>kmo</w:t>
      </w:r>
      <w:r w:rsidRPr="00EE2D42">
        <w:rPr>
          <w:sz w:val="22"/>
          <w:szCs w:val="22"/>
        </w:rPr>
        <w:t xml:space="preserve">-programma </w:t>
      </w:r>
      <w:r>
        <w:rPr>
          <w:sz w:val="22"/>
          <w:szCs w:val="22"/>
        </w:rPr>
        <w:t>o</w:t>
      </w:r>
      <w:r w:rsidRPr="00EE2D42">
        <w:rPr>
          <w:sz w:val="22"/>
          <w:szCs w:val="22"/>
        </w:rPr>
        <w:t xml:space="preserve">p een </w:t>
      </w:r>
      <w:r>
        <w:rPr>
          <w:sz w:val="22"/>
          <w:szCs w:val="22"/>
        </w:rPr>
        <w:t xml:space="preserve">meer </w:t>
      </w:r>
      <w:r w:rsidRPr="00EE2D42">
        <w:rPr>
          <w:sz w:val="22"/>
          <w:szCs w:val="22"/>
        </w:rPr>
        <w:t xml:space="preserve">eenvoudige manier </w:t>
      </w:r>
      <w:r>
        <w:rPr>
          <w:sz w:val="22"/>
          <w:szCs w:val="22"/>
        </w:rPr>
        <w:t>kmo’</w:t>
      </w:r>
      <w:r w:rsidRPr="00EE2D42">
        <w:rPr>
          <w:sz w:val="22"/>
          <w:szCs w:val="22"/>
        </w:rPr>
        <w:t xml:space="preserve">s </w:t>
      </w:r>
      <w:r>
        <w:rPr>
          <w:sz w:val="22"/>
          <w:szCs w:val="22"/>
        </w:rPr>
        <w:t xml:space="preserve">wil </w:t>
      </w:r>
      <w:r w:rsidRPr="00EE2D42">
        <w:rPr>
          <w:sz w:val="22"/>
          <w:szCs w:val="22"/>
        </w:rPr>
        <w:t xml:space="preserve">helpen te innoveren. Binnen het </w:t>
      </w:r>
      <w:r>
        <w:rPr>
          <w:sz w:val="22"/>
          <w:szCs w:val="22"/>
        </w:rPr>
        <w:t>kmo</w:t>
      </w:r>
      <w:r w:rsidRPr="00EE2D42">
        <w:rPr>
          <w:sz w:val="22"/>
          <w:szCs w:val="22"/>
        </w:rPr>
        <w:t xml:space="preserve">-programma is er een projecttype dat spin-offs speciaal aanbelangt: het </w:t>
      </w:r>
      <w:r>
        <w:rPr>
          <w:sz w:val="22"/>
          <w:szCs w:val="22"/>
        </w:rPr>
        <w:t>kmo</w:t>
      </w:r>
      <w:r w:rsidRPr="00EE2D42">
        <w:rPr>
          <w:sz w:val="22"/>
          <w:szCs w:val="22"/>
        </w:rPr>
        <w:t xml:space="preserve">-starterspakket, dat ondernemers de mogelijkheid geeft rond een innovatief idee een businessmodel en </w:t>
      </w:r>
      <w:r>
        <w:rPr>
          <w:sz w:val="22"/>
          <w:szCs w:val="22"/>
        </w:rPr>
        <w:t>–</w:t>
      </w:r>
      <w:r w:rsidRPr="00EE2D42">
        <w:rPr>
          <w:sz w:val="22"/>
          <w:szCs w:val="22"/>
        </w:rPr>
        <w:t>plan</w:t>
      </w:r>
      <w:r>
        <w:rPr>
          <w:sz w:val="22"/>
          <w:szCs w:val="22"/>
        </w:rPr>
        <w:t xml:space="preserve"> </w:t>
      </w:r>
      <w:r w:rsidRPr="00EE2D42">
        <w:rPr>
          <w:sz w:val="22"/>
          <w:szCs w:val="22"/>
        </w:rPr>
        <w:t>op te stellen. Binnen beide programma</w:t>
      </w:r>
      <w:r>
        <w:rPr>
          <w:sz w:val="22"/>
          <w:szCs w:val="22"/>
        </w:rPr>
        <w:t>’</w:t>
      </w:r>
      <w:r w:rsidRPr="00EE2D42">
        <w:rPr>
          <w:sz w:val="22"/>
          <w:szCs w:val="22"/>
        </w:rPr>
        <w:t>s kunnen bedrijven ook projecten uitvoeren in international</w:t>
      </w:r>
      <w:r>
        <w:rPr>
          <w:sz w:val="22"/>
          <w:szCs w:val="22"/>
        </w:rPr>
        <w:t>e</w:t>
      </w:r>
      <w:r w:rsidRPr="00EE2D42">
        <w:rPr>
          <w:sz w:val="22"/>
          <w:szCs w:val="22"/>
        </w:rPr>
        <w:t xml:space="preserve"> kaders </w:t>
      </w:r>
      <w:r>
        <w:rPr>
          <w:sz w:val="22"/>
          <w:szCs w:val="22"/>
        </w:rPr>
        <w:t>zoals</w:t>
      </w:r>
      <w:r w:rsidRPr="00EE2D42">
        <w:rPr>
          <w:sz w:val="22"/>
          <w:szCs w:val="22"/>
        </w:rPr>
        <w:t xml:space="preserve"> Eureka</w:t>
      </w:r>
      <w:r>
        <w:rPr>
          <w:sz w:val="22"/>
          <w:szCs w:val="22"/>
        </w:rPr>
        <w:t xml:space="preserve"> en de Europese Onderzoeksruimte </w:t>
      </w:r>
      <w:r w:rsidRPr="00EE2D42">
        <w:rPr>
          <w:sz w:val="22"/>
          <w:szCs w:val="22"/>
        </w:rPr>
        <w:t>(European Research Area</w:t>
      </w:r>
      <w:r>
        <w:rPr>
          <w:sz w:val="22"/>
          <w:szCs w:val="22"/>
        </w:rPr>
        <w:t xml:space="preserve"> – ERA</w:t>
      </w:r>
      <w:r w:rsidRPr="00EE2D42">
        <w:rPr>
          <w:sz w:val="22"/>
          <w:szCs w:val="22"/>
        </w:rPr>
        <w:t xml:space="preserve">). Daarnaast kan een bedrijf dankzij het Baekeland-steunkanaal </w:t>
      </w:r>
      <w:r>
        <w:rPr>
          <w:sz w:val="22"/>
          <w:szCs w:val="22"/>
        </w:rPr>
        <w:t>éé</w:t>
      </w:r>
      <w:r w:rsidRPr="00EE2D42">
        <w:rPr>
          <w:sz w:val="22"/>
          <w:szCs w:val="22"/>
        </w:rPr>
        <w:t>n van zijn werknemers onder begeleiding van een universitaire onderzoeks</w:t>
      </w:r>
      <w:r>
        <w:rPr>
          <w:sz w:val="22"/>
          <w:szCs w:val="22"/>
        </w:rPr>
        <w:softHyphen/>
      </w:r>
      <w:r w:rsidRPr="00EE2D42">
        <w:rPr>
          <w:sz w:val="22"/>
          <w:szCs w:val="22"/>
        </w:rPr>
        <w:t>groep onderzoek op doctoraatsniveau laten verrichten.</w:t>
      </w:r>
    </w:p>
    <w:p w:rsidR="002769A4" w:rsidRPr="00EE2D42" w:rsidRDefault="002769A4" w:rsidP="00001C1C">
      <w:pPr>
        <w:pStyle w:val="Geenafstand1"/>
        <w:jc w:val="both"/>
        <w:rPr>
          <w:sz w:val="22"/>
          <w:szCs w:val="22"/>
        </w:rPr>
      </w:pPr>
    </w:p>
    <w:p w:rsidR="002769A4" w:rsidRDefault="002769A4" w:rsidP="004F6B3B">
      <w:pPr>
        <w:pStyle w:val="Geenafstand1"/>
        <w:ind w:left="708"/>
        <w:jc w:val="both"/>
        <w:rPr>
          <w:sz w:val="22"/>
          <w:szCs w:val="22"/>
        </w:rPr>
      </w:pPr>
      <w:r w:rsidRPr="00287029">
        <w:rPr>
          <w:sz w:val="22"/>
          <w:szCs w:val="22"/>
          <w:u w:val="single"/>
        </w:rPr>
        <w:t>Tabel 2</w:t>
      </w:r>
      <w:r w:rsidRPr="00EE2D42">
        <w:rPr>
          <w:sz w:val="22"/>
          <w:szCs w:val="22"/>
        </w:rPr>
        <w:t xml:space="preserve"> geeft een overzicht van de financiële steun aan de spin-offs van IMEC onder de vorm van subsidies en/of achtergestelde leningen</w:t>
      </w:r>
      <w:r>
        <w:rPr>
          <w:sz w:val="22"/>
          <w:szCs w:val="22"/>
        </w:rPr>
        <w:t>.</w:t>
      </w:r>
    </w:p>
    <w:p w:rsidR="002769A4" w:rsidRPr="0096135A" w:rsidRDefault="002769A4" w:rsidP="004F6B3B">
      <w:pPr>
        <w:pStyle w:val="Geenafstand1"/>
        <w:ind w:left="708"/>
        <w:jc w:val="both"/>
        <w:rPr>
          <w:b/>
          <w:sz w:val="22"/>
          <w:szCs w:val="22"/>
        </w:rPr>
      </w:pPr>
      <w:r>
        <w:rPr>
          <w:sz w:val="22"/>
          <w:szCs w:val="22"/>
        </w:rPr>
        <w:br w:type="page"/>
      </w:r>
      <w:r w:rsidRPr="007D3FD0">
        <w:rPr>
          <w:b/>
          <w:sz w:val="22"/>
          <w:szCs w:val="22"/>
          <w:u w:val="single"/>
        </w:rPr>
        <w:t>Tabel 2</w:t>
      </w:r>
      <w:r w:rsidRPr="0096135A">
        <w:rPr>
          <w:b/>
          <w:sz w:val="22"/>
          <w:szCs w:val="22"/>
        </w:rPr>
        <w:t>. IWT-steun verleend aan de spin-offs van IMEC gedurende de periode 2007-2011.</w:t>
      </w:r>
    </w:p>
    <w:p w:rsidR="002769A4" w:rsidRPr="00EE2D42" w:rsidRDefault="002769A4" w:rsidP="00001C1C">
      <w:pPr>
        <w:pStyle w:val="Geenafstand1"/>
        <w:jc w:val="both"/>
        <w:rPr>
          <w:i/>
          <w:sz w:val="22"/>
          <w:szCs w:val="22"/>
        </w:rPr>
      </w:pPr>
    </w:p>
    <w:tbl>
      <w:tblPr>
        <w:tblW w:w="5296"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716"/>
        <w:gridCol w:w="716"/>
        <w:gridCol w:w="716"/>
        <w:gridCol w:w="716"/>
        <w:gridCol w:w="716"/>
      </w:tblGrid>
      <w:tr w:rsidR="002769A4" w:rsidRPr="00EE2D42" w:rsidTr="004F6B3B">
        <w:tc>
          <w:tcPr>
            <w:tcW w:w="1716" w:type="dxa"/>
          </w:tcPr>
          <w:p w:rsidR="002769A4" w:rsidRPr="0096135A" w:rsidRDefault="002769A4" w:rsidP="00001C1C">
            <w:pPr>
              <w:pStyle w:val="Geenafstand1"/>
              <w:jc w:val="both"/>
            </w:pPr>
            <w:r w:rsidRPr="0096135A">
              <w:t xml:space="preserve">Jaar/spin-offs </w:t>
            </w:r>
          </w:p>
        </w:tc>
        <w:tc>
          <w:tcPr>
            <w:tcW w:w="716" w:type="dxa"/>
          </w:tcPr>
          <w:p w:rsidR="002769A4" w:rsidRPr="0096135A" w:rsidRDefault="002769A4" w:rsidP="00001C1C">
            <w:pPr>
              <w:pStyle w:val="Geenafstand1"/>
              <w:jc w:val="both"/>
              <w:rPr>
                <w:b/>
              </w:rPr>
            </w:pPr>
            <w:r w:rsidRPr="0096135A">
              <w:rPr>
                <w:b/>
              </w:rPr>
              <w:t>2007</w:t>
            </w:r>
          </w:p>
        </w:tc>
        <w:tc>
          <w:tcPr>
            <w:tcW w:w="716" w:type="dxa"/>
          </w:tcPr>
          <w:p w:rsidR="002769A4" w:rsidRPr="0096135A" w:rsidRDefault="002769A4" w:rsidP="00001C1C">
            <w:pPr>
              <w:pStyle w:val="Geenafstand1"/>
              <w:jc w:val="both"/>
              <w:rPr>
                <w:b/>
              </w:rPr>
            </w:pPr>
            <w:r w:rsidRPr="0096135A">
              <w:rPr>
                <w:b/>
              </w:rPr>
              <w:t>2008</w:t>
            </w:r>
          </w:p>
        </w:tc>
        <w:tc>
          <w:tcPr>
            <w:tcW w:w="716" w:type="dxa"/>
          </w:tcPr>
          <w:p w:rsidR="002769A4" w:rsidRPr="0096135A" w:rsidRDefault="002769A4" w:rsidP="00001C1C">
            <w:pPr>
              <w:pStyle w:val="Geenafstand1"/>
              <w:jc w:val="both"/>
              <w:rPr>
                <w:b/>
              </w:rPr>
            </w:pPr>
            <w:r w:rsidRPr="0096135A">
              <w:rPr>
                <w:b/>
              </w:rPr>
              <w:t>2009</w:t>
            </w:r>
          </w:p>
        </w:tc>
        <w:tc>
          <w:tcPr>
            <w:tcW w:w="716" w:type="dxa"/>
          </w:tcPr>
          <w:p w:rsidR="002769A4" w:rsidRPr="0096135A" w:rsidRDefault="002769A4" w:rsidP="00001C1C">
            <w:pPr>
              <w:pStyle w:val="Geenafstand1"/>
              <w:jc w:val="both"/>
              <w:rPr>
                <w:b/>
              </w:rPr>
            </w:pPr>
            <w:r w:rsidRPr="0096135A">
              <w:rPr>
                <w:b/>
              </w:rPr>
              <w:t>2010</w:t>
            </w:r>
          </w:p>
        </w:tc>
        <w:tc>
          <w:tcPr>
            <w:tcW w:w="716" w:type="dxa"/>
          </w:tcPr>
          <w:p w:rsidR="002769A4" w:rsidRPr="0096135A" w:rsidRDefault="002769A4" w:rsidP="00001C1C">
            <w:pPr>
              <w:pStyle w:val="Geenafstand1"/>
              <w:jc w:val="both"/>
              <w:rPr>
                <w:b/>
              </w:rPr>
            </w:pPr>
            <w:r w:rsidRPr="0096135A">
              <w:rPr>
                <w:b/>
              </w:rPr>
              <w:t>2011</w:t>
            </w:r>
          </w:p>
        </w:tc>
      </w:tr>
      <w:tr w:rsidR="002769A4" w:rsidRPr="00EE2D42" w:rsidTr="004F6B3B">
        <w:tc>
          <w:tcPr>
            <w:tcW w:w="1716" w:type="dxa"/>
          </w:tcPr>
          <w:p w:rsidR="002769A4" w:rsidRPr="0096135A" w:rsidRDefault="002769A4" w:rsidP="00001C1C">
            <w:pPr>
              <w:pStyle w:val="Geenafstand1"/>
              <w:jc w:val="both"/>
            </w:pPr>
            <w:r w:rsidRPr="0096135A">
              <w:t>Steun (miljoen €)</w:t>
            </w:r>
          </w:p>
        </w:tc>
        <w:tc>
          <w:tcPr>
            <w:tcW w:w="716" w:type="dxa"/>
          </w:tcPr>
          <w:p w:rsidR="002769A4" w:rsidRPr="0096135A" w:rsidRDefault="002769A4" w:rsidP="00001C1C">
            <w:pPr>
              <w:pStyle w:val="Geenafstand1"/>
              <w:jc w:val="both"/>
            </w:pPr>
            <w:r w:rsidRPr="0096135A">
              <w:t>3,6</w:t>
            </w:r>
          </w:p>
        </w:tc>
        <w:tc>
          <w:tcPr>
            <w:tcW w:w="716" w:type="dxa"/>
          </w:tcPr>
          <w:p w:rsidR="002769A4" w:rsidRPr="0096135A" w:rsidRDefault="002769A4" w:rsidP="00001C1C">
            <w:pPr>
              <w:pStyle w:val="Geenafstand1"/>
              <w:jc w:val="both"/>
            </w:pPr>
            <w:r w:rsidRPr="0096135A">
              <w:t>2,2</w:t>
            </w:r>
          </w:p>
        </w:tc>
        <w:tc>
          <w:tcPr>
            <w:tcW w:w="716" w:type="dxa"/>
          </w:tcPr>
          <w:p w:rsidR="002769A4" w:rsidRPr="0096135A" w:rsidRDefault="002769A4" w:rsidP="00001C1C">
            <w:pPr>
              <w:pStyle w:val="Geenafstand1"/>
              <w:jc w:val="both"/>
            </w:pPr>
            <w:r w:rsidRPr="0096135A">
              <w:t>1,7</w:t>
            </w:r>
          </w:p>
        </w:tc>
        <w:tc>
          <w:tcPr>
            <w:tcW w:w="716" w:type="dxa"/>
          </w:tcPr>
          <w:p w:rsidR="002769A4" w:rsidRPr="0096135A" w:rsidRDefault="002769A4" w:rsidP="00001C1C">
            <w:pPr>
              <w:pStyle w:val="Geenafstand1"/>
              <w:jc w:val="both"/>
            </w:pPr>
            <w:r w:rsidRPr="0096135A">
              <w:t>3,3</w:t>
            </w:r>
          </w:p>
        </w:tc>
        <w:tc>
          <w:tcPr>
            <w:tcW w:w="716" w:type="dxa"/>
          </w:tcPr>
          <w:p w:rsidR="002769A4" w:rsidRPr="0096135A" w:rsidRDefault="002769A4" w:rsidP="00001C1C">
            <w:pPr>
              <w:pStyle w:val="Geenafstand1"/>
              <w:jc w:val="both"/>
            </w:pPr>
            <w:r w:rsidRPr="0096135A">
              <w:t>1,6</w:t>
            </w:r>
          </w:p>
        </w:tc>
      </w:tr>
      <w:tr w:rsidR="002769A4" w:rsidRPr="00EE2D42" w:rsidTr="004F6B3B">
        <w:tc>
          <w:tcPr>
            <w:tcW w:w="1716" w:type="dxa"/>
          </w:tcPr>
          <w:p w:rsidR="002769A4" w:rsidRPr="0096135A" w:rsidRDefault="002769A4" w:rsidP="00001C1C">
            <w:pPr>
              <w:pStyle w:val="Geenafstand1"/>
              <w:jc w:val="both"/>
            </w:pPr>
            <w:r w:rsidRPr="0096135A">
              <w:t>Aantal spin-offs</w:t>
            </w:r>
          </w:p>
        </w:tc>
        <w:tc>
          <w:tcPr>
            <w:tcW w:w="716" w:type="dxa"/>
          </w:tcPr>
          <w:p w:rsidR="002769A4" w:rsidRPr="0096135A" w:rsidRDefault="002769A4" w:rsidP="00001C1C">
            <w:pPr>
              <w:pStyle w:val="Geenafstand1"/>
              <w:jc w:val="both"/>
            </w:pPr>
            <w:r w:rsidRPr="0096135A">
              <w:t>11</w:t>
            </w:r>
          </w:p>
        </w:tc>
        <w:tc>
          <w:tcPr>
            <w:tcW w:w="716" w:type="dxa"/>
          </w:tcPr>
          <w:p w:rsidR="002769A4" w:rsidRPr="0096135A" w:rsidRDefault="002769A4" w:rsidP="00001C1C">
            <w:pPr>
              <w:pStyle w:val="Geenafstand1"/>
              <w:jc w:val="both"/>
            </w:pPr>
            <w:r w:rsidRPr="0096135A">
              <w:t>6</w:t>
            </w:r>
          </w:p>
        </w:tc>
        <w:tc>
          <w:tcPr>
            <w:tcW w:w="716" w:type="dxa"/>
          </w:tcPr>
          <w:p w:rsidR="002769A4" w:rsidRPr="0096135A" w:rsidRDefault="002769A4" w:rsidP="00001C1C">
            <w:pPr>
              <w:pStyle w:val="Geenafstand1"/>
              <w:jc w:val="both"/>
            </w:pPr>
            <w:r w:rsidRPr="0096135A">
              <w:t>6</w:t>
            </w:r>
          </w:p>
        </w:tc>
        <w:tc>
          <w:tcPr>
            <w:tcW w:w="716" w:type="dxa"/>
          </w:tcPr>
          <w:p w:rsidR="002769A4" w:rsidRPr="0096135A" w:rsidRDefault="002769A4" w:rsidP="00001C1C">
            <w:pPr>
              <w:pStyle w:val="Geenafstand1"/>
              <w:jc w:val="both"/>
            </w:pPr>
            <w:r w:rsidRPr="0096135A">
              <w:t>6</w:t>
            </w:r>
          </w:p>
        </w:tc>
        <w:tc>
          <w:tcPr>
            <w:tcW w:w="716" w:type="dxa"/>
          </w:tcPr>
          <w:p w:rsidR="002769A4" w:rsidRPr="0096135A" w:rsidRDefault="002769A4" w:rsidP="00001C1C">
            <w:pPr>
              <w:pStyle w:val="Geenafstand1"/>
              <w:jc w:val="both"/>
            </w:pPr>
            <w:r w:rsidRPr="0096135A">
              <w:t>6</w:t>
            </w:r>
          </w:p>
        </w:tc>
      </w:tr>
    </w:tbl>
    <w:p w:rsidR="002769A4" w:rsidRPr="00EE2D42" w:rsidRDefault="002769A4" w:rsidP="00001C1C">
      <w:pPr>
        <w:pStyle w:val="Geenafstand1"/>
        <w:jc w:val="both"/>
        <w:rPr>
          <w:i/>
          <w:sz w:val="22"/>
          <w:szCs w:val="22"/>
        </w:rPr>
      </w:pPr>
    </w:p>
    <w:p w:rsidR="002769A4" w:rsidRPr="00EE2D42" w:rsidRDefault="002769A4" w:rsidP="004F6B3B">
      <w:pPr>
        <w:pStyle w:val="Geenafstand1"/>
        <w:ind w:left="709"/>
        <w:jc w:val="both"/>
        <w:rPr>
          <w:color w:val="000000"/>
          <w:sz w:val="22"/>
          <w:szCs w:val="22"/>
          <w:lang w:val="nl-BE"/>
        </w:rPr>
      </w:pPr>
      <w:r w:rsidRPr="00EE2D42">
        <w:rPr>
          <w:color w:val="000000"/>
          <w:sz w:val="22"/>
          <w:szCs w:val="22"/>
          <w:lang w:val="nl-BE"/>
        </w:rPr>
        <w:t>De tabel geeft het aantal spin-offs en de toegekende steun per jaar. Steun aan partners en/of kennisinstellingen die in het kader van een project werken voor het bedrijf is mee opgenomen in de toegekende steun.</w:t>
      </w:r>
    </w:p>
    <w:p w:rsidR="002769A4" w:rsidRPr="00033F73" w:rsidRDefault="002769A4" w:rsidP="00001C1C">
      <w:pPr>
        <w:pStyle w:val="SVTitel"/>
        <w:rPr>
          <w:i w:val="0"/>
          <w:szCs w:val="22"/>
        </w:rPr>
      </w:pPr>
    </w:p>
    <w:p w:rsidR="002769A4" w:rsidRPr="00033F73" w:rsidRDefault="002769A4" w:rsidP="00001C1C">
      <w:pPr>
        <w:pStyle w:val="SVTitel"/>
        <w:numPr>
          <w:ilvl w:val="0"/>
          <w:numId w:val="32"/>
        </w:numPr>
        <w:rPr>
          <w:i w:val="0"/>
          <w:szCs w:val="22"/>
        </w:rPr>
      </w:pPr>
      <w:r w:rsidRPr="00033F73">
        <w:rPr>
          <w:i w:val="0"/>
          <w:szCs w:val="22"/>
        </w:rPr>
        <w:t xml:space="preserve">Uit de evaluatie volgt dat de </w:t>
      </w:r>
      <w:r>
        <w:rPr>
          <w:i w:val="0"/>
          <w:szCs w:val="22"/>
        </w:rPr>
        <w:t>“</w:t>
      </w:r>
      <w:r w:rsidRPr="00033F73">
        <w:rPr>
          <w:i w:val="0"/>
          <w:szCs w:val="22"/>
        </w:rPr>
        <w:t>return</w:t>
      </w:r>
      <w:r>
        <w:rPr>
          <w:i w:val="0"/>
          <w:szCs w:val="22"/>
        </w:rPr>
        <w:t>”</w:t>
      </w:r>
      <w:r w:rsidRPr="00033F73">
        <w:rPr>
          <w:i w:val="0"/>
          <w:szCs w:val="22"/>
        </w:rPr>
        <w:t xml:space="preserve"> van IMEC op het maatschappelijke en economisch</w:t>
      </w:r>
      <w:r>
        <w:rPr>
          <w:i w:val="0"/>
          <w:szCs w:val="22"/>
        </w:rPr>
        <w:t>e</w:t>
      </w:r>
      <w:r w:rsidRPr="00033F73">
        <w:rPr>
          <w:i w:val="0"/>
          <w:szCs w:val="22"/>
        </w:rPr>
        <w:t xml:space="preserve"> weefsel van Vlaanderen vele malen hoger is dan de steun van de Vlaamse overheid. </w:t>
      </w:r>
      <w:r>
        <w:rPr>
          <w:i w:val="0"/>
          <w:szCs w:val="22"/>
        </w:rPr>
        <w:t>H</w:t>
      </w:r>
      <w:r w:rsidRPr="00033F73">
        <w:rPr>
          <w:i w:val="0"/>
          <w:szCs w:val="22"/>
        </w:rPr>
        <w:t>et “hefboomeffect” van IMEC om externe financiële middelen aan trekken</w:t>
      </w:r>
      <w:r>
        <w:rPr>
          <w:i w:val="0"/>
          <w:szCs w:val="22"/>
        </w:rPr>
        <w:t>,</w:t>
      </w:r>
      <w:r w:rsidRPr="00033F73">
        <w:rPr>
          <w:i w:val="0"/>
          <w:szCs w:val="22"/>
        </w:rPr>
        <w:t xml:space="preserve"> is </w:t>
      </w:r>
      <w:r>
        <w:rPr>
          <w:i w:val="0"/>
          <w:szCs w:val="22"/>
        </w:rPr>
        <w:t xml:space="preserve">dan ook </w:t>
      </w:r>
      <w:r w:rsidRPr="00033F73">
        <w:rPr>
          <w:i w:val="0"/>
          <w:szCs w:val="22"/>
        </w:rPr>
        <w:t xml:space="preserve">zeer groot. </w:t>
      </w:r>
      <w:r>
        <w:rPr>
          <w:i w:val="0"/>
          <w:szCs w:val="22"/>
        </w:rPr>
        <w:t>I</w:t>
      </w:r>
      <w:r w:rsidRPr="00033F73">
        <w:rPr>
          <w:i w:val="0"/>
          <w:szCs w:val="22"/>
        </w:rPr>
        <w:t>n de periode 2007</w:t>
      </w:r>
      <w:r>
        <w:rPr>
          <w:i w:val="0"/>
          <w:szCs w:val="22"/>
        </w:rPr>
        <w:t>-2</w:t>
      </w:r>
      <w:r w:rsidRPr="00033F73">
        <w:rPr>
          <w:i w:val="0"/>
          <w:szCs w:val="22"/>
        </w:rPr>
        <w:t>011 schommelde de bijdrage van de Vlaamse overheid rond de 16</w:t>
      </w:r>
      <w:r>
        <w:rPr>
          <w:i w:val="0"/>
          <w:szCs w:val="22"/>
        </w:rPr>
        <w:t>%</w:t>
      </w:r>
      <w:r w:rsidRPr="00033F73">
        <w:rPr>
          <w:i w:val="0"/>
          <w:szCs w:val="22"/>
        </w:rPr>
        <w:t xml:space="preserve"> tot 18</w:t>
      </w:r>
      <w:r>
        <w:rPr>
          <w:i w:val="0"/>
          <w:szCs w:val="22"/>
        </w:rPr>
        <w:t>%</w:t>
      </w:r>
      <w:r w:rsidRPr="00033F73">
        <w:rPr>
          <w:i w:val="0"/>
          <w:szCs w:val="22"/>
        </w:rPr>
        <w:t xml:space="preserve"> van de </w:t>
      </w:r>
      <w:r>
        <w:rPr>
          <w:i w:val="0"/>
          <w:szCs w:val="22"/>
        </w:rPr>
        <w:t xml:space="preserve">totale </w:t>
      </w:r>
      <w:r w:rsidRPr="00033F73">
        <w:rPr>
          <w:i w:val="0"/>
          <w:szCs w:val="22"/>
        </w:rPr>
        <w:t>inkomsten</w:t>
      </w:r>
      <w:r>
        <w:rPr>
          <w:i w:val="0"/>
          <w:szCs w:val="22"/>
        </w:rPr>
        <w:t xml:space="preserve"> van IMEC</w:t>
      </w:r>
      <w:r w:rsidRPr="00033F73">
        <w:rPr>
          <w:i w:val="0"/>
          <w:szCs w:val="22"/>
        </w:rPr>
        <w:t>. Uit de benchmark bleek dat er weinig onderzoeksinstellingen zijn die dergelijke resultaten kunnen voorleggen.</w:t>
      </w:r>
    </w:p>
    <w:p w:rsidR="002769A4" w:rsidRPr="0096135A" w:rsidRDefault="002769A4" w:rsidP="00001C1C">
      <w:pPr>
        <w:pStyle w:val="Geenafstand1"/>
        <w:jc w:val="both"/>
        <w:rPr>
          <w:sz w:val="22"/>
          <w:szCs w:val="22"/>
        </w:rPr>
      </w:pPr>
    </w:p>
    <w:p w:rsidR="002769A4" w:rsidRPr="0096135A" w:rsidRDefault="002769A4" w:rsidP="00001C1C">
      <w:pPr>
        <w:pStyle w:val="Geenafstand1"/>
        <w:ind w:left="360"/>
        <w:jc w:val="both"/>
        <w:rPr>
          <w:sz w:val="22"/>
          <w:szCs w:val="22"/>
        </w:rPr>
      </w:pPr>
      <w:r w:rsidRPr="0096135A">
        <w:rPr>
          <w:sz w:val="22"/>
          <w:szCs w:val="22"/>
        </w:rPr>
        <w:t>Niet alleen het excellent wetenschappelijk onderzoek maar ook de bijdrage van IMEC op tal van andere vlakken komt prominent aan bod bij de doorlichting. Denken we daarbij ook aan de tewerkstelling. IMEC is gestart in 1984 met een 60-tal medewerkers. Dat aantal is opgelopen tot bijna 2</w:t>
      </w:r>
      <w:r>
        <w:rPr>
          <w:sz w:val="22"/>
          <w:szCs w:val="22"/>
        </w:rPr>
        <w:t>.</w:t>
      </w:r>
      <w:r w:rsidRPr="0096135A">
        <w:rPr>
          <w:sz w:val="22"/>
          <w:szCs w:val="22"/>
        </w:rPr>
        <w:t xml:space="preserve">000. Verder is er de technologietransfer en de samenwerking met Vlaamse bedrijven. Denken we daarbij ook aan de spin-offs van IMEC die het lokale industriële weefsel versterken. </w:t>
      </w:r>
    </w:p>
    <w:p w:rsidR="002769A4" w:rsidRDefault="002769A4" w:rsidP="00001C1C">
      <w:pPr>
        <w:pStyle w:val="Geenafstand1"/>
        <w:jc w:val="both"/>
        <w:rPr>
          <w:sz w:val="22"/>
          <w:szCs w:val="22"/>
        </w:rPr>
      </w:pPr>
    </w:p>
    <w:p w:rsidR="002769A4" w:rsidRPr="0096135A" w:rsidRDefault="002769A4" w:rsidP="00001C1C">
      <w:pPr>
        <w:pStyle w:val="Geenafstand1"/>
        <w:ind w:left="360"/>
        <w:jc w:val="both"/>
        <w:rPr>
          <w:sz w:val="22"/>
          <w:szCs w:val="22"/>
        </w:rPr>
      </w:pPr>
      <w:r w:rsidRPr="0096135A">
        <w:rPr>
          <w:sz w:val="22"/>
          <w:szCs w:val="22"/>
        </w:rPr>
        <w:t>Sinds 2002 wordt er periodiek een studie uitgevoerd m.b.t. de impact van IMEC op Vlaanderen. De</w:t>
      </w:r>
      <w:r>
        <w:rPr>
          <w:sz w:val="22"/>
          <w:szCs w:val="22"/>
        </w:rPr>
        <w:t>ze</w:t>
      </w:r>
      <w:r w:rsidRPr="0096135A">
        <w:rPr>
          <w:sz w:val="22"/>
          <w:szCs w:val="22"/>
        </w:rPr>
        <w:t xml:space="preserve"> studies kaderen in een bredere macro-economische context. Het meten van de impact is geen evidentie. IMEC werkt samen met een consulent om dergelijke analyses uit te voeren. De resultaten gaan over de periode 2002</w:t>
      </w:r>
      <w:r>
        <w:rPr>
          <w:sz w:val="22"/>
          <w:szCs w:val="22"/>
        </w:rPr>
        <w:t>-</w:t>
      </w:r>
      <w:r w:rsidRPr="0096135A">
        <w:rPr>
          <w:sz w:val="22"/>
          <w:szCs w:val="22"/>
        </w:rPr>
        <w:t>2009. Drie parameters werden in het bijzonder bijgehouden</w:t>
      </w:r>
      <w:r>
        <w:rPr>
          <w:sz w:val="22"/>
          <w:szCs w:val="22"/>
        </w:rPr>
        <w:t xml:space="preserve">: (1) </w:t>
      </w:r>
      <w:r w:rsidRPr="0096135A">
        <w:rPr>
          <w:sz w:val="22"/>
          <w:szCs w:val="22"/>
        </w:rPr>
        <w:t>het globale tewerkstellingseffect van IMEC op Vlaanderen (voor 2009 bedroeg de directe en indirecte tewerkstelling ongeveer 5</w:t>
      </w:r>
      <w:r>
        <w:rPr>
          <w:sz w:val="22"/>
          <w:szCs w:val="22"/>
        </w:rPr>
        <w:t>.</w:t>
      </w:r>
      <w:r w:rsidRPr="0096135A">
        <w:rPr>
          <w:sz w:val="22"/>
          <w:szCs w:val="22"/>
        </w:rPr>
        <w:t xml:space="preserve">000 personen), </w:t>
      </w:r>
      <w:r>
        <w:rPr>
          <w:sz w:val="22"/>
          <w:szCs w:val="22"/>
        </w:rPr>
        <w:t xml:space="preserve">(2) </w:t>
      </w:r>
      <w:r w:rsidRPr="0096135A">
        <w:rPr>
          <w:sz w:val="22"/>
          <w:szCs w:val="22"/>
        </w:rPr>
        <w:t xml:space="preserve">de totale Toegevoegde Waarde die werd gecreëerd in Vlaanderen als gevolg van de activiteiten (voor 2009 werd dit op 406 miljoen euro geraamd) en </w:t>
      </w:r>
      <w:r>
        <w:rPr>
          <w:sz w:val="22"/>
          <w:szCs w:val="22"/>
        </w:rPr>
        <w:t xml:space="preserve">(3) </w:t>
      </w:r>
      <w:r w:rsidRPr="0096135A">
        <w:rPr>
          <w:sz w:val="22"/>
          <w:szCs w:val="22"/>
        </w:rPr>
        <w:t>de totale fiscale en parafiscale terugvloei</w:t>
      </w:r>
      <w:r>
        <w:rPr>
          <w:sz w:val="22"/>
          <w:szCs w:val="22"/>
        </w:rPr>
        <w:t>-</w:t>
      </w:r>
      <w:r w:rsidRPr="0096135A">
        <w:rPr>
          <w:sz w:val="22"/>
          <w:szCs w:val="22"/>
        </w:rPr>
        <w:t>effecten die tot stand werden gebracht (voor 2009 werden die op 204 miljoen euro geraamd).</w:t>
      </w:r>
    </w:p>
    <w:p w:rsidR="002769A4" w:rsidRPr="0096135A" w:rsidRDefault="002769A4" w:rsidP="00001C1C">
      <w:pPr>
        <w:pStyle w:val="Geenafstand1"/>
        <w:ind w:left="360"/>
        <w:jc w:val="both"/>
        <w:rPr>
          <w:sz w:val="22"/>
          <w:szCs w:val="22"/>
        </w:rPr>
      </w:pPr>
    </w:p>
    <w:p w:rsidR="002769A4" w:rsidRPr="00033F73" w:rsidRDefault="002769A4" w:rsidP="00001C1C">
      <w:pPr>
        <w:numPr>
          <w:ilvl w:val="0"/>
          <w:numId w:val="32"/>
        </w:numPr>
        <w:autoSpaceDE w:val="0"/>
        <w:autoSpaceDN w:val="0"/>
        <w:adjustRightInd w:val="0"/>
        <w:jc w:val="both"/>
        <w:rPr>
          <w:color w:val="000000"/>
          <w:sz w:val="22"/>
          <w:szCs w:val="22"/>
        </w:rPr>
      </w:pPr>
      <w:r>
        <w:rPr>
          <w:color w:val="000000"/>
          <w:sz w:val="22"/>
          <w:szCs w:val="22"/>
        </w:rPr>
        <w:t>D</w:t>
      </w:r>
      <w:r w:rsidRPr="00033F73">
        <w:rPr>
          <w:color w:val="000000"/>
          <w:sz w:val="22"/>
          <w:szCs w:val="22"/>
        </w:rPr>
        <w:t>e strategische doelstellingen van IMEC zoals vervat in het nieuwe convenant zijn tweeledig:</w:t>
      </w:r>
    </w:p>
    <w:p w:rsidR="002769A4" w:rsidRPr="00390085" w:rsidRDefault="002769A4" w:rsidP="00001C1C">
      <w:pPr>
        <w:numPr>
          <w:ilvl w:val="0"/>
          <w:numId w:val="34"/>
        </w:numPr>
        <w:ind w:left="709" w:hanging="283"/>
        <w:jc w:val="both"/>
        <w:rPr>
          <w:sz w:val="22"/>
          <w:szCs w:val="22"/>
        </w:rPr>
      </w:pPr>
      <w:r w:rsidRPr="00390085">
        <w:rPr>
          <w:sz w:val="22"/>
          <w:szCs w:val="22"/>
        </w:rPr>
        <w:t>een excellentiecentrum zijn in het onderzoeksdomein van halfgeleidertechnologie, nano-elektronica, nanotechnologie, ontwerpmethodes en technologieplatformen voor ICT-systemen, gezondheidstoepassingen en duurzame energie;</w:t>
      </w:r>
    </w:p>
    <w:p w:rsidR="002769A4" w:rsidRPr="00390085" w:rsidRDefault="002769A4" w:rsidP="00001C1C">
      <w:pPr>
        <w:numPr>
          <w:ilvl w:val="0"/>
          <w:numId w:val="34"/>
        </w:numPr>
        <w:ind w:left="709" w:hanging="283"/>
        <w:jc w:val="both"/>
        <w:rPr>
          <w:sz w:val="22"/>
          <w:szCs w:val="22"/>
        </w:rPr>
      </w:pPr>
      <w:r w:rsidRPr="00390085">
        <w:rPr>
          <w:sz w:val="22"/>
          <w:szCs w:val="22"/>
        </w:rPr>
        <w:t xml:space="preserve">een optimale impact genereren op het Vlaamse economische en maatschappelijke weefsel, met bijzondere aandacht voor </w:t>
      </w:r>
      <w:r>
        <w:rPr>
          <w:sz w:val="22"/>
          <w:szCs w:val="22"/>
        </w:rPr>
        <w:t>kmo’s</w:t>
      </w:r>
      <w:r w:rsidRPr="00390085">
        <w:rPr>
          <w:sz w:val="22"/>
          <w:szCs w:val="22"/>
        </w:rPr>
        <w:t xml:space="preserve"> met onderzoeksaffiniteit, mede in de context van het </w:t>
      </w:r>
      <w:r>
        <w:rPr>
          <w:sz w:val="22"/>
          <w:szCs w:val="22"/>
        </w:rPr>
        <w:t>ViA-</w:t>
      </w:r>
      <w:r w:rsidRPr="00390085">
        <w:rPr>
          <w:sz w:val="22"/>
          <w:szCs w:val="22"/>
        </w:rPr>
        <w:t xml:space="preserve">beleidsconcept </w:t>
      </w:r>
      <w:r>
        <w:rPr>
          <w:sz w:val="22"/>
          <w:szCs w:val="22"/>
        </w:rPr>
        <w:t>“</w:t>
      </w:r>
      <w:r w:rsidRPr="00390085">
        <w:rPr>
          <w:sz w:val="22"/>
          <w:szCs w:val="22"/>
        </w:rPr>
        <w:t>Innovatiecentrum Vlaanderen</w:t>
      </w:r>
      <w:r>
        <w:rPr>
          <w:sz w:val="22"/>
          <w:szCs w:val="22"/>
        </w:rPr>
        <w:t>”.</w:t>
      </w:r>
    </w:p>
    <w:p w:rsidR="002769A4" w:rsidRPr="00033F73" w:rsidRDefault="002769A4" w:rsidP="00001C1C">
      <w:pPr>
        <w:pStyle w:val="SVTitel"/>
        <w:ind w:left="426"/>
        <w:rPr>
          <w:i w:val="0"/>
          <w:szCs w:val="22"/>
        </w:rPr>
      </w:pPr>
    </w:p>
    <w:p w:rsidR="002769A4" w:rsidRPr="00033F73" w:rsidRDefault="002769A4" w:rsidP="00001C1C">
      <w:pPr>
        <w:pStyle w:val="SVTitel"/>
        <w:ind w:left="426"/>
        <w:rPr>
          <w:i w:val="0"/>
          <w:color w:val="000000"/>
          <w:szCs w:val="22"/>
        </w:rPr>
      </w:pPr>
      <w:r w:rsidRPr="00033F73">
        <w:rPr>
          <w:i w:val="0"/>
          <w:szCs w:val="22"/>
        </w:rPr>
        <w:t>Uit de strategische doelstellingen blijkt dat er aandacht is om de actuele positie als excellentie</w:t>
      </w:r>
      <w:r>
        <w:rPr>
          <w:i w:val="0"/>
          <w:szCs w:val="22"/>
        </w:rPr>
        <w:softHyphen/>
      </w:r>
      <w:r w:rsidRPr="00033F73">
        <w:rPr>
          <w:i w:val="0"/>
          <w:szCs w:val="22"/>
        </w:rPr>
        <w:t xml:space="preserve">centrum in de nano-elektronica te handhaven. Verder moet IMEC zijn positie in nieuwe domeinen zoals gezondheidstoepassingen en duurzame energie verder uitbouwen. In de tweede strategische doelstelling wordt de focus gelegd op </w:t>
      </w:r>
      <w:r w:rsidRPr="00033F73">
        <w:rPr>
          <w:i w:val="0"/>
          <w:color w:val="000000"/>
          <w:szCs w:val="22"/>
        </w:rPr>
        <w:t xml:space="preserve">het Vlaamse economische en maatschappelijke weefsel en het </w:t>
      </w:r>
      <w:r>
        <w:rPr>
          <w:i w:val="0"/>
          <w:color w:val="000000"/>
          <w:szCs w:val="22"/>
        </w:rPr>
        <w:t>ViA-</w:t>
      </w:r>
      <w:r w:rsidRPr="00033F73">
        <w:rPr>
          <w:i w:val="0"/>
          <w:color w:val="000000"/>
          <w:szCs w:val="22"/>
        </w:rPr>
        <w:t xml:space="preserve">concept </w:t>
      </w:r>
      <w:r>
        <w:rPr>
          <w:i w:val="0"/>
          <w:color w:val="000000"/>
          <w:szCs w:val="22"/>
        </w:rPr>
        <w:t>“</w:t>
      </w:r>
      <w:r w:rsidRPr="00033F73">
        <w:rPr>
          <w:i w:val="0"/>
          <w:color w:val="000000"/>
          <w:szCs w:val="22"/>
        </w:rPr>
        <w:t>Innovatiecentrum Vlaanderen</w:t>
      </w:r>
      <w:r>
        <w:rPr>
          <w:i w:val="0"/>
          <w:color w:val="000000"/>
          <w:szCs w:val="22"/>
        </w:rPr>
        <w:t>”</w:t>
      </w:r>
      <w:r w:rsidRPr="00033F73">
        <w:rPr>
          <w:i w:val="0"/>
          <w:color w:val="000000"/>
          <w:szCs w:val="22"/>
        </w:rPr>
        <w:t xml:space="preserve"> waarin er een prominente rol </w:t>
      </w:r>
      <w:r>
        <w:rPr>
          <w:i w:val="0"/>
          <w:color w:val="000000"/>
          <w:szCs w:val="22"/>
        </w:rPr>
        <w:t xml:space="preserve">is </w:t>
      </w:r>
      <w:r w:rsidRPr="00033F73">
        <w:rPr>
          <w:i w:val="0"/>
          <w:color w:val="000000"/>
          <w:szCs w:val="22"/>
        </w:rPr>
        <w:t xml:space="preserve">voorzien </w:t>
      </w:r>
      <w:r>
        <w:rPr>
          <w:i w:val="0"/>
          <w:color w:val="000000"/>
          <w:szCs w:val="22"/>
        </w:rPr>
        <w:t>v</w:t>
      </w:r>
      <w:r w:rsidRPr="00033F73">
        <w:rPr>
          <w:i w:val="0"/>
          <w:color w:val="000000"/>
          <w:szCs w:val="22"/>
        </w:rPr>
        <w:t xml:space="preserve">oor de vier </w:t>
      </w:r>
      <w:r>
        <w:rPr>
          <w:i w:val="0"/>
          <w:color w:val="000000"/>
          <w:szCs w:val="22"/>
        </w:rPr>
        <w:t>SOC’s</w:t>
      </w:r>
      <w:r w:rsidRPr="00033F73">
        <w:rPr>
          <w:i w:val="0"/>
          <w:color w:val="000000"/>
          <w:szCs w:val="22"/>
        </w:rPr>
        <w:t xml:space="preserve"> IMEC, VIB, IBBT en VITO.</w:t>
      </w:r>
    </w:p>
    <w:p w:rsidR="002769A4" w:rsidRPr="00033F73" w:rsidRDefault="002769A4" w:rsidP="00001C1C">
      <w:pPr>
        <w:pStyle w:val="SVTitel"/>
        <w:ind w:left="426"/>
        <w:rPr>
          <w:i w:val="0"/>
          <w:color w:val="000000"/>
          <w:szCs w:val="22"/>
        </w:rPr>
      </w:pPr>
    </w:p>
    <w:p w:rsidR="002769A4" w:rsidRPr="00033F73" w:rsidRDefault="002769A4" w:rsidP="00001C1C">
      <w:pPr>
        <w:autoSpaceDE w:val="0"/>
        <w:autoSpaceDN w:val="0"/>
        <w:adjustRightInd w:val="0"/>
        <w:ind w:left="360"/>
        <w:jc w:val="both"/>
        <w:rPr>
          <w:sz w:val="22"/>
          <w:szCs w:val="22"/>
          <w:lang w:val="nl-BE" w:eastAsia="nl-BE"/>
        </w:rPr>
      </w:pPr>
      <w:r w:rsidRPr="00033F73">
        <w:rPr>
          <w:sz w:val="22"/>
          <w:szCs w:val="22"/>
          <w:lang w:val="nl-BE" w:eastAsia="nl-BE"/>
        </w:rPr>
        <w:t xml:space="preserve">Het nieuwe convenant tussen het Vlaamse Gewest en het Interuniversitair Micro-elektronica Centrum </w:t>
      </w:r>
      <w:r>
        <w:rPr>
          <w:sz w:val="22"/>
          <w:szCs w:val="22"/>
          <w:lang w:val="nl-BE" w:eastAsia="nl-BE"/>
        </w:rPr>
        <w:t xml:space="preserve">(IMEC) </w:t>
      </w:r>
      <w:r w:rsidRPr="00033F73">
        <w:rPr>
          <w:sz w:val="22"/>
          <w:szCs w:val="22"/>
          <w:lang w:val="nl-BE" w:eastAsia="nl-BE"/>
        </w:rPr>
        <w:t>werd eind vorig jaar goedgekeurd door de Vlaamse Regering (VR 2011 2312 DOC.1401/1 en DOC.1401/6)</w:t>
      </w:r>
      <w:r>
        <w:rPr>
          <w:sz w:val="22"/>
          <w:szCs w:val="22"/>
          <w:lang w:val="nl-BE" w:eastAsia="nl-BE"/>
        </w:rPr>
        <w:t>.</w:t>
      </w:r>
    </w:p>
    <w:p w:rsidR="002769A4" w:rsidRPr="00033F73" w:rsidRDefault="002769A4" w:rsidP="00001C1C">
      <w:pPr>
        <w:pStyle w:val="SVTitel"/>
        <w:rPr>
          <w:i w:val="0"/>
          <w:szCs w:val="22"/>
        </w:rPr>
      </w:pPr>
    </w:p>
    <w:p w:rsidR="002769A4" w:rsidRPr="00033F73" w:rsidRDefault="002769A4" w:rsidP="00001C1C">
      <w:pPr>
        <w:numPr>
          <w:ilvl w:val="0"/>
          <w:numId w:val="32"/>
        </w:numPr>
        <w:autoSpaceDE w:val="0"/>
        <w:autoSpaceDN w:val="0"/>
        <w:adjustRightInd w:val="0"/>
        <w:jc w:val="both"/>
        <w:rPr>
          <w:sz w:val="22"/>
          <w:szCs w:val="22"/>
          <w:lang w:val="nl-BE" w:eastAsia="en-GB"/>
        </w:rPr>
      </w:pPr>
      <w:r w:rsidRPr="00033F73">
        <w:rPr>
          <w:sz w:val="22"/>
          <w:szCs w:val="22"/>
          <w:lang w:val="nl-BE" w:eastAsia="en-GB"/>
        </w:rPr>
        <w:t xml:space="preserve">De Vlaamse Regering keurde </w:t>
      </w:r>
      <w:r>
        <w:rPr>
          <w:sz w:val="22"/>
          <w:szCs w:val="22"/>
          <w:lang w:val="nl-BE" w:eastAsia="en-GB"/>
        </w:rPr>
        <w:t>reeds op 27</w:t>
      </w:r>
      <w:r w:rsidRPr="00033F73">
        <w:rPr>
          <w:sz w:val="22"/>
          <w:szCs w:val="22"/>
          <w:lang w:val="nl-BE" w:eastAsia="en-GB"/>
        </w:rPr>
        <w:t xml:space="preserve"> mei 2011 de conceptnota goed over het “Innovatie</w:t>
      </w:r>
      <w:r>
        <w:rPr>
          <w:sz w:val="22"/>
          <w:szCs w:val="22"/>
          <w:lang w:val="nl-BE" w:eastAsia="en-GB"/>
        </w:rPr>
        <w:softHyphen/>
      </w:r>
      <w:r w:rsidRPr="00033F73">
        <w:rPr>
          <w:sz w:val="22"/>
          <w:szCs w:val="22"/>
          <w:lang w:val="nl-BE" w:eastAsia="en-GB"/>
        </w:rPr>
        <w:t xml:space="preserve">centrum Vlaanderen”, wat één van de zeven doorbraken is van de in 2009 vernieuwde </w:t>
      </w:r>
      <w:r>
        <w:rPr>
          <w:sz w:val="22"/>
          <w:szCs w:val="22"/>
          <w:lang w:val="nl-BE" w:eastAsia="en-GB"/>
        </w:rPr>
        <w:t xml:space="preserve">strategie </w:t>
      </w:r>
      <w:r w:rsidRPr="00033F73">
        <w:rPr>
          <w:sz w:val="22"/>
          <w:szCs w:val="22"/>
          <w:lang w:val="nl-BE" w:eastAsia="en-GB"/>
        </w:rPr>
        <w:t>“Vlaanderen in Actie</w:t>
      </w:r>
      <w:r>
        <w:rPr>
          <w:sz w:val="22"/>
          <w:szCs w:val="22"/>
          <w:lang w:val="nl-BE" w:eastAsia="en-GB"/>
        </w:rPr>
        <w:t xml:space="preserve"> (ViA)</w:t>
      </w:r>
      <w:r w:rsidRPr="00033F73">
        <w:rPr>
          <w:sz w:val="22"/>
          <w:szCs w:val="22"/>
          <w:lang w:val="nl-BE" w:eastAsia="en-GB"/>
        </w:rPr>
        <w:t>. Deze aanpak wordt ook uitvoerig toegelicht in de Beleidsbrief Wetenschap en Innovatie 2011</w:t>
      </w:r>
      <w:r>
        <w:rPr>
          <w:sz w:val="22"/>
          <w:szCs w:val="22"/>
          <w:lang w:val="nl-BE" w:eastAsia="en-GB"/>
        </w:rPr>
        <w:t>-</w:t>
      </w:r>
      <w:r w:rsidRPr="00033F73">
        <w:rPr>
          <w:sz w:val="22"/>
          <w:szCs w:val="22"/>
          <w:lang w:val="nl-BE" w:eastAsia="en-GB"/>
        </w:rPr>
        <w:t>2012</w:t>
      </w:r>
      <w:r>
        <w:rPr>
          <w:sz w:val="22"/>
          <w:szCs w:val="22"/>
          <w:lang w:val="nl-BE" w:eastAsia="en-GB"/>
        </w:rPr>
        <w:t>.</w:t>
      </w:r>
    </w:p>
    <w:p w:rsidR="002769A4" w:rsidRPr="00033F73" w:rsidRDefault="002769A4" w:rsidP="00001C1C">
      <w:pPr>
        <w:autoSpaceDE w:val="0"/>
        <w:autoSpaceDN w:val="0"/>
        <w:adjustRightInd w:val="0"/>
        <w:jc w:val="both"/>
        <w:rPr>
          <w:sz w:val="22"/>
          <w:szCs w:val="22"/>
          <w:lang w:val="nl-BE" w:eastAsia="en-GB"/>
        </w:rPr>
      </w:pPr>
    </w:p>
    <w:p w:rsidR="002769A4" w:rsidRPr="00033F73" w:rsidRDefault="002769A4" w:rsidP="00001C1C">
      <w:pPr>
        <w:autoSpaceDE w:val="0"/>
        <w:autoSpaceDN w:val="0"/>
        <w:adjustRightInd w:val="0"/>
        <w:ind w:left="360"/>
        <w:jc w:val="both"/>
        <w:rPr>
          <w:sz w:val="22"/>
          <w:szCs w:val="22"/>
        </w:rPr>
      </w:pPr>
      <w:r w:rsidRPr="00033F73">
        <w:rPr>
          <w:sz w:val="22"/>
          <w:szCs w:val="22"/>
        </w:rPr>
        <w:t xml:space="preserve">De conceptnota biedt een antwoord op de vraag </w:t>
      </w:r>
      <w:r w:rsidRPr="00033F73">
        <w:rPr>
          <w:i/>
          <w:iCs/>
          <w:sz w:val="22"/>
          <w:szCs w:val="22"/>
        </w:rPr>
        <w:t xml:space="preserve">waarop </w:t>
      </w:r>
      <w:r w:rsidRPr="00033F73">
        <w:rPr>
          <w:sz w:val="22"/>
          <w:szCs w:val="22"/>
        </w:rPr>
        <w:t xml:space="preserve">en </w:t>
      </w:r>
      <w:r w:rsidRPr="00033F73">
        <w:rPr>
          <w:i/>
          <w:iCs/>
          <w:sz w:val="22"/>
          <w:szCs w:val="22"/>
        </w:rPr>
        <w:t xml:space="preserve">hoe </w:t>
      </w:r>
      <w:r w:rsidRPr="00033F73">
        <w:rPr>
          <w:sz w:val="22"/>
          <w:szCs w:val="22"/>
        </w:rPr>
        <w:t>het gerichte wetenschaps- en innovatiebeleid geaxeerd moet worden. Overheidsmiddelen voor innovatie moeten bijdragen tot het aanpakken van de grote maatschappelijke en economische uitdagingen waarmee onze samenleving en onze economie worden geconfronteerd. De strategische afstemming van het innovatiebeleid wordt vormgegeven door middel van zes specifieke</w:t>
      </w:r>
      <w:r>
        <w:rPr>
          <w:sz w:val="22"/>
          <w:szCs w:val="22"/>
        </w:rPr>
        <w:t xml:space="preserve"> </w:t>
      </w:r>
      <w:r w:rsidRPr="00033F73">
        <w:rPr>
          <w:sz w:val="22"/>
          <w:szCs w:val="22"/>
        </w:rPr>
        <w:t xml:space="preserve">innovatieknooppunten. </w:t>
      </w:r>
    </w:p>
    <w:p w:rsidR="002769A4" w:rsidRPr="00E3040E" w:rsidRDefault="002769A4" w:rsidP="00001C1C">
      <w:pPr>
        <w:autoSpaceDE w:val="0"/>
        <w:autoSpaceDN w:val="0"/>
        <w:adjustRightInd w:val="0"/>
        <w:jc w:val="both"/>
        <w:rPr>
          <w:sz w:val="22"/>
          <w:szCs w:val="22"/>
          <w:lang w:eastAsia="en-GB"/>
        </w:rPr>
      </w:pPr>
    </w:p>
    <w:p w:rsidR="002769A4" w:rsidRDefault="002769A4" w:rsidP="00001C1C">
      <w:pPr>
        <w:autoSpaceDE w:val="0"/>
        <w:autoSpaceDN w:val="0"/>
        <w:adjustRightInd w:val="0"/>
        <w:ind w:left="360"/>
        <w:jc w:val="both"/>
        <w:rPr>
          <w:sz w:val="22"/>
          <w:szCs w:val="22"/>
          <w:lang w:val="nl-BE" w:eastAsia="en-GB"/>
        </w:rPr>
      </w:pPr>
      <w:r w:rsidRPr="00033F73">
        <w:rPr>
          <w:sz w:val="22"/>
          <w:szCs w:val="22"/>
          <w:lang w:val="nl-BE" w:eastAsia="en-GB"/>
        </w:rPr>
        <w:t>Ook de SOC’s moeten hun strategie verduidelijken naar de</w:t>
      </w:r>
      <w:r>
        <w:rPr>
          <w:sz w:val="22"/>
          <w:szCs w:val="22"/>
          <w:lang w:val="nl-BE" w:eastAsia="en-GB"/>
        </w:rPr>
        <w:t xml:space="preserve"> </w:t>
      </w:r>
      <w:r w:rsidRPr="00033F73">
        <w:rPr>
          <w:sz w:val="22"/>
          <w:szCs w:val="22"/>
          <w:lang w:val="nl-BE" w:eastAsia="en-GB"/>
        </w:rPr>
        <w:t xml:space="preserve">innovatieknooppunten toe en de KPI’s van hun beheersovereenkomsten werden daarop afgestemd. </w:t>
      </w:r>
    </w:p>
    <w:p w:rsidR="002769A4" w:rsidRDefault="002769A4" w:rsidP="00001C1C">
      <w:pPr>
        <w:autoSpaceDE w:val="0"/>
        <w:autoSpaceDN w:val="0"/>
        <w:adjustRightInd w:val="0"/>
        <w:ind w:firstLine="360"/>
        <w:jc w:val="both"/>
        <w:rPr>
          <w:sz w:val="22"/>
          <w:szCs w:val="22"/>
          <w:lang w:val="nl-BE" w:eastAsia="en-GB"/>
        </w:rPr>
      </w:pPr>
    </w:p>
    <w:p w:rsidR="002769A4" w:rsidRPr="00033F73" w:rsidRDefault="002769A4" w:rsidP="00001C1C">
      <w:pPr>
        <w:autoSpaceDE w:val="0"/>
        <w:autoSpaceDN w:val="0"/>
        <w:adjustRightInd w:val="0"/>
        <w:ind w:left="360"/>
        <w:jc w:val="both"/>
        <w:rPr>
          <w:sz w:val="22"/>
          <w:szCs w:val="22"/>
          <w:lang w:val="nl-BE" w:eastAsia="en-GB"/>
        </w:rPr>
      </w:pPr>
      <w:r w:rsidRPr="00033F73">
        <w:rPr>
          <w:sz w:val="22"/>
          <w:szCs w:val="22"/>
          <w:lang w:val="nl-BE" w:eastAsia="en-GB"/>
        </w:rPr>
        <w:t xml:space="preserve">Hun impact kan verder </w:t>
      </w:r>
      <w:r>
        <w:rPr>
          <w:sz w:val="22"/>
          <w:szCs w:val="22"/>
          <w:lang w:val="nl-BE" w:eastAsia="en-GB"/>
        </w:rPr>
        <w:t xml:space="preserve">worden </w:t>
      </w:r>
      <w:r w:rsidRPr="00033F73">
        <w:rPr>
          <w:sz w:val="22"/>
          <w:szCs w:val="22"/>
          <w:lang w:val="nl-BE" w:eastAsia="en-GB"/>
        </w:rPr>
        <w:t>vergroot door heel intens synergie na te streven</w:t>
      </w:r>
      <w:r>
        <w:rPr>
          <w:sz w:val="22"/>
          <w:szCs w:val="22"/>
          <w:lang w:val="nl-BE" w:eastAsia="en-GB"/>
        </w:rPr>
        <w:t>, zowel</w:t>
      </w:r>
      <w:r w:rsidRPr="00033F73">
        <w:rPr>
          <w:sz w:val="22"/>
          <w:szCs w:val="22"/>
          <w:lang w:val="nl-BE" w:eastAsia="en-GB"/>
        </w:rPr>
        <w:t xml:space="preserve"> onderling </w:t>
      </w:r>
      <w:r>
        <w:rPr>
          <w:sz w:val="22"/>
          <w:szCs w:val="22"/>
          <w:lang w:val="nl-BE" w:eastAsia="en-GB"/>
        </w:rPr>
        <w:t>als</w:t>
      </w:r>
      <w:r w:rsidRPr="00033F73">
        <w:rPr>
          <w:sz w:val="22"/>
          <w:szCs w:val="22"/>
          <w:lang w:val="nl-BE" w:eastAsia="en-GB"/>
        </w:rPr>
        <w:t xml:space="preserve"> met andere kennispartners en innovatiespelers, en door de doorstroom naar economische en maatschappelijke valorisatie te versterken</w:t>
      </w:r>
      <w:r>
        <w:rPr>
          <w:sz w:val="22"/>
          <w:szCs w:val="22"/>
          <w:lang w:val="nl-BE" w:eastAsia="en-GB"/>
        </w:rPr>
        <w:t>.</w:t>
      </w:r>
    </w:p>
    <w:p w:rsidR="002769A4" w:rsidRPr="00033F73" w:rsidRDefault="002769A4" w:rsidP="00001C1C">
      <w:pPr>
        <w:autoSpaceDE w:val="0"/>
        <w:autoSpaceDN w:val="0"/>
        <w:adjustRightInd w:val="0"/>
        <w:jc w:val="both"/>
        <w:rPr>
          <w:sz w:val="22"/>
          <w:szCs w:val="22"/>
          <w:lang w:val="nl-BE" w:eastAsia="en-GB"/>
        </w:rPr>
      </w:pPr>
    </w:p>
    <w:p w:rsidR="002769A4" w:rsidRPr="00287029" w:rsidRDefault="002769A4" w:rsidP="00001C1C">
      <w:pPr>
        <w:autoSpaceDE w:val="0"/>
        <w:autoSpaceDN w:val="0"/>
        <w:adjustRightInd w:val="0"/>
        <w:ind w:firstLine="360"/>
        <w:jc w:val="both"/>
        <w:rPr>
          <w:sz w:val="22"/>
          <w:szCs w:val="22"/>
          <w:lang w:val="nl-BE" w:eastAsia="en-GB"/>
        </w:rPr>
      </w:pPr>
      <w:r w:rsidRPr="00287029">
        <w:rPr>
          <w:sz w:val="22"/>
          <w:szCs w:val="22"/>
          <w:lang w:val="nl-BE" w:eastAsia="en-GB"/>
        </w:rPr>
        <w:t>IMEC richt zich strategisch op:</w:t>
      </w:r>
    </w:p>
    <w:p w:rsidR="002769A4" w:rsidRPr="00287029" w:rsidRDefault="002769A4" w:rsidP="00001C1C">
      <w:pPr>
        <w:numPr>
          <w:ilvl w:val="0"/>
          <w:numId w:val="39"/>
        </w:numPr>
        <w:ind w:left="709" w:hanging="283"/>
        <w:jc w:val="both"/>
        <w:rPr>
          <w:sz w:val="22"/>
          <w:szCs w:val="22"/>
        </w:rPr>
      </w:pPr>
      <w:r w:rsidRPr="00287029">
        <w:rPr>
          <w:sz w:val="22"/>
          <w:szCs w:val="22"/>
        </w:rPr>
        <w:t xml:space="preserve">het ontwikkelen van breed inzetbare generische platformen in het domein van </w:t>
      </w:r>
      <w:r>
        <w:rPr>
          <w:sz w:val="22"/>
          <w:szCs w:val="22"/>
        </w:rPr>
        <w:t xml:space="preserve">de </w:t>
      </w:r>
      <w:r w:rsidRPr="00287029">
        <w:rPr>
          <w:sz w:val="22"/>
          <w:szCs w:val="22"/>
        </w:rPr>
        <w:t>nano-elektronica</w:t>
      </w:r>
      <w:r>
        <w:rPr>
          <w:sz w:val="22"/>
          <w:szCs w:val="22"/>
        </w:rPr>
        <w:t xml:space="preserve"> (horizontale dimensie);</w:t>
      </w:r>
    </w:p>
    <w:p w:rsidR="002769A4" w:rsidRPr="00287029" w:rsidRDefault="002769A4" w:rsidP="00001C1C">
      <w:pPr>
        <w:numPr>
          <w:ilvl w:val="0"/>
          <w:numId w:val="39"/>
        </w:numPr>
        <w:ind w:left="709" w:hanging="283"/>
        <w:jc w:val="both"/>
        <w:rPr>
          <w:sz w:val="22"/>
          <w:szCs w:val="22"/>
        </w:rPr>
      </w:pPr>
      <w:r w:rsidRPr="00287029">
        <w:rPr>
          <w:sz w:val="22"/>
          <w:szCs w:val="22"/>
        </w:rPr>
        <w:t>het uitvoeren van meer applicatiegericht onderzoek op deze technologieplatformen in een aantal domeinen met grote maatschappelijke en economische relevantie (verticale dimensie), inspelend op de oriëntaties en doelstellingen zoals aangegeven door de Vlaamse overheid</w:t>
      </w:r>
      <w:r>
        <w:rPr>
          <w:sz w:val="22"/>
          <w:szCs w:val="22"/>
        </w:rPr>
        <w:t>.</w:t>
      </w:r>
    </w:p>
    <w:p w:rsidR="002769A4" w:rsidRPr="00033F73" w:rsidRDefault="002769A4" w:rsidP="00001C1C">
      <w:pPr>
        <w:jc w:val="both"/>
        <w:rPr>
          <w:sz w:val="22"/>
          <w:szCs w:val="22"/>
        </w:rPr>
      </w:pPr>
    </w:p>
    <w:p w:rsidR="002769A4" w:rsidRPr="00033F73" w:rsidRDefault="002769A4" w:rsidP="00001C1C">
      <w:pPr>
        <w:ind w:left="426"/>
        <w:jc w:val="both"/>
        <w:rPr>
          <w:sz w:val="22"/>
          <w:szCs w:val="22"/>
        </w:rPr>
      </w:pPr>
      <w:r w:rsidRPr="00033F73">
        <w:rPr>
          <w:sz w:val="22"/>
          <w:szCs w:val="22"/>
        </w:rPr>
        <w:t xml:space="preserve">Vlaanderen beschikt bovendien over een geavanceerde onderzoeksinfrastructuur voor nano-elektronica. Die kan dan ook in toenemende mate </w:t>
      </w:r>
      <w:r>
        <w:rPr>
          <w:sz w:val="22"/>
          <w:szCs w:val="22"/>
        </w:rPr>
        <w:t xml:space="preserve">worden </w:t>
      </w:r>
      <w:r w:rsidRPr="00033F73">
        <w:rPr>
          <w:sz w:val="22"/>
          <w:szCs w:val="22"/>
        </w:rPr>
        <w:t xml:space="preserve">ingezet </w:t>
      </w:r>
      <w:r>
        <w:rPr>
          <w:sz w:val="22"/>
          <w:szCs w:val="22"/>
        </w:rPr>
        <w:t>v</w:t>
      </w:r>
      <w:r w:rsidRPr="00033F73">
        <w:rPr>
          <w:sz w:val="22"/>
          <w:szCs w:val="22"/>
        </w:rPr>
        <w:t xml:space="preserve">oor het meer maatschappelijk relevant gericht onderzoek. Een onderzoekscentrum zoals IMEC kan dus zeker een bijdrage leveren aan de verschillende innovatieknooppunten. Denken we hierbij aan: </w:t>
      </w:r>
    </w:p>
    <w:p w:rsidR="002769A4" w:rsidRPr="00287029" w:rsidRDefault="002769A4" w:rsidP="00001C1C">
      <w:pPr>
        <w:numPr>
          <w:ilvl w:val="0"/>
          <w:numId w:val="40"/>
        </w:numPr>
        <w:autoSpaceDE w:val="0"/>
        <w:autoSpaceDN w:val="0"/>
        <w:adjustRightInd w:val="0"/>
        <w:ind w:left="709" w:hanging="283"/>
        <w:jc w:val="both"/>
        <w:rPr>
          <w:sz w:val="22"/>
          <w:szCs w:val="22"/>
        </w:rPr>
      </w:pPr>
      <w:r>
        <w:rPr>
          <w:sz w:val="22"/>
          <w:szCs w:val="22"/>
        </w:rPr>
        <w:t>g</w:t>
      </w:r>
      <w:r w:rsidRPr="00287029">
        <w:rPr>
          <w:sz w:val="22"/>
          <w:szCs w:val="22"/>
        </w:rPr>
        <w:t>ezondheidszorg: hier kijkt IMEC vooral naar het inzetten van nanotechnologie voor de verbetering van medische technologieën</w:t>
      </w:r>
      <w:r>
        <w:rPr>
          <w:sz w:val="22"/>
          <w:szCs w:val="22"/>
        </w:rPr>
        <w:t>;</w:t>
      </w:r>
    </w:p>
    <w:p w:rsidR="002769A4" w:rsidRPr="00033F73" w:rsidRDefault="002769A4" w:rsidP="00001C1C">
      <w:pPr>
        <w:pStyle w:val="ListParagraph"/>
        <w:numPr>
          <w:ilvl w:val="0"/>
          <w:numId w:val="40"/>
        </w:numPr>
        <w:ind w:left="709" w:hanging="283"/>
        <w:jc w:val="both"/>
        <w:rPr>
          <w:b/>
          <w:i/>
          <w:sz w:val="22"/>
          <w:szCs w:val="22"/>
          <w:u w:val="single"/>
        </w:rPr>
      </w:pPr>
      <w:r>
        <w:rPr>
          <w:sz w:val="22"/>
          <w:szCs w:val="22"/>
        </w:rPr>
        <w:t>e</w:t>
      </w:r>
      <w:r w:rsidRPr="00287029">
        <w:rPr>
          <w:sz w:val="22"/>
          <w:szCs w:val="22"/>
        </w:rPr>
        <w:t>nergie: hier kijkt IMEC vooral naar duurzame energieopwekking op basis van PV (Si-PV, OPV) en smartgrids.</w:t>
      </w:r>
    </w:p>
    <w:p w:rsidR="002769A4" w:rsidRPr="00287029" w:rsidRDefault="002769A4" w:rsidP="00001C1C">
      <w:pPr>
        <w:autoSpaceDE w:val="0"/>
        <w:autoSpaceDN w:val="0"/>
        <w:adjustRightInd w:val="0"/>
        <w:jc w:val="both"/>
        <w:rPr>
          <w:sz w:val="22"/>
          <w:szCs w:val="22"/>
          <w:lang w:eastAsia="en-GB"/>
        </w:rPr>
      </w:pPr>
    </w:p>
    <w:p w:rsidR="002769A4" w:rsidRPr="00033F73" w:rsidRDefault="002769A4" w:rsidP="00001C1C">
      <w:pPr>
        <w:autoSpaceDE w:val="0"/>
        <w:autoSpaceDN w:val="0"/>
        <w:adjustRightInd w:val="0"/>
        <w:ind w:left="426"/>
        <w:jc w:val="both"/>
        <w:rPr>
          <w:color w:val="000000"/>
          <w:sz w:val="22"/>
          <w:szCs w:val="22"/>
        </w:rPr>
      </w:pPr>
      <w:r w:rsidRPr="00033F73">
        <w:rPr>
          <w:sz w:val="22"/>
          <w:szCs w:val="22"/>
          <w:lang w:val="nl-BE" w:eastAsia="en-GB"/>
        </w:rPr>
        <w:t xml:space="preserve">De vier </w:t>
      </w:r>
      <w:r>
        <w:rPr>
          <w:sz w:val="22"/>
          <w:szCs w:val="22"/>
          <w:lang w:val="nl-BE" w:eastAsia="en-GB"/>
        </w:rPr>
        <w:t>SOC’s</w:t>
      </w:r>
      <w:r w:rsidRPr="00033F73">
        <w:rPr>
          <w:sz w:val="22"/>
          <w:szCs w:val="22"/>
          <w:lang w:val="nl-BE" w:eastAsia="en-GB"/>
        </w:rPr>
        <w:t xml:space="preserve"> sp</w:t>
      </w:r>
      <w:r>
        <w:rPr>
          <w:sz w:val="22"/>
          <w:szCs w:val="22"/>
          <w:lang w:val="nl-BE" w:eastAsia="en-GB"/>
        </w:rPr>
        <w:t>elen</w:t>
      </w:r>
      <w:r w:rsidRPr="00033F73">
        <w:rPr>
          <w:sz w:val="22"/>
          <w:szCs w:val="22"/>
          <w:lang w:val="nl-BE" w:eastAsia="en-GB"/>
        </w:rPr>
        <w:t xml:space="preserve"> ook een belangrijke rol bij de transformatie van de Vlaamse economie. Cruciaal hierbij is dat de aanwezige kennis omgezet wordt in vermarktbare toepassingen. Dit kan onder andere uitmonden in het oprichten van spin-offs. </w:t>
      </w:r>
      <w:r w:rsidRPr="00033F73">
        <w:rPr>
          <w:color w:val="000000"/>
          <w:sz w:val="22"/>
          <w:szCs w:val="22"/>
        </w:rPr>
        <w:t xml:space="preserve">De SOC’s stuiten hierbij vaak op de zogenaamde </w:t>
      </w:r>
      <w:r>
        <w:rPr>
          <w:color w:val="000000"/>
          <w:sz w:val="22"/>
          <w:szCs w:val="22"/>
        </w:rPr>
        <w:t>“</w:t>
      </w:r>
      <w:r w:rsidRPr="00033F73">
        <w:rPr>
          <w:color w:val="000000"/>
          <w:sz w:val="22"/>
          <w:szCs w:val="22"/>
        </w:rPr>
        <w:t>equity gap</w:t>
      </w:r>
      <w:r>
        <w:rPr>
          <w:color w:val="000000"/>
          <w:sz w:val="22"/>
          <w:szCs w:val="22"/>
        </w:rPr>
        <w:t>”</w:t>
      </w:r>
      <w:r w:rsidRPr="00033F73">
        <w:rPr>
          <w:color w:val="000000"/>
          <w:sz w:val="22"/>
          <w:szCs w:val="22"/>
        </w:rPr>
        <w:t xml:space="preserve"> of de moeilijkheid om eigen vermogen aan te trekken in de opstartfase van bedrijven met een veelbelovende technologie maar </w:t>
      </w:r>
      <w:r>
        <w:rPr>
          <w:color w:val="000000"/>
          <w:sz w:val="22"/>
          <w:szCs w:val="22"/>
        </w:rPr>
        <w:t>met</w:t>
      </w:r>
      <w:r w:rsidRPr="00033F73">
        <w:rPr>
          <w:color w:val="000000"/>
          <w:sz w:val="22"/>
          <w:szCs w:val="22"/>
        </w:rPr>
        <w:t xml:space="preserve"> een hoog risicogehalte.</w:t>
      </w:r>
    </w:p>
    <w:p w:rsidR="002769A4" w:rsidRPr="00033F73" w:rsidRDefault="002769A4" w:rsidP="00001C1C">
      <w:pPr>
        <w:autoSpaceDE w:val="0"/>
        <w:autoSpaceDN w:val="0"/>
        <w:adjustRightInd w:val="0"/>
        <w:jc w:val="both"/>
        <w:rPr>
          <w:color w:val="000000"/>
          <w:sz w:val="22"/>
          <w:szCs w:val="22"/>
        </w:rPr>
      </w:pPr>
    </w:p>
    <w:p w:rsidR="002769A4" w:rsidRPr="00033F73" w:rsidRDefault="002769A4" w:rsidP="00001C1C">
      <w:pPr>
        <w:autoSpaceDE w:val="0"/>
        <w:autoSpaceDN w:val="0"/>
        <w:adjustRightInd w:val="0"/>
        <w:ind w:left="360"/>
        <w:jc w:val="both"/>
        <w:rPr>
          <w:color w:val="000000"/>
          <w:sz w:val="22"/>
          <w:szCs w:val="22"/>
        </w:rPr>
      </w:pPr>
      <w:r w:rsidRPr="00033F73">
        <w:rPr>
          <w:color w:val="000000"/>
          <w:sz w:val="22"/>
          <w:szCs w:val="22"/>
        </w:rPr>
        <w:t>Teneinde de veelbesproken equ</w:t>
      </w:r>
      <w:r>
        <w:rPr>
          <w:color w:val="000000"/>
          <w:sz w:val="22"/>
          <w:szCs w:val="22"/>
        </w:rPr>
        <w:t>ity gap</w:t>
      </w:r>
      <w:r w:rsidRPr="00033F73">
        <w:rPr>
          <w:color w:val="000000"/>
          <w:sz w:val="22"/>
          <w:szCs w:val="22"/>
        </w:rPr>
        <w:t xml:space="preserve"> bij deze excellentiecentra van Vlaams toponderzoek verder te dichten</w:t>
      </w:r>
      <w:r>
        <w:rPr>
          <w:color w:val="000000"/>
          <w:sz w:val="22"/>
          <w:szCs w:val="22"/>
        </w:rPr>
        <w:t>,</w:t>
      </w:r>
      <w:r w:rsidRPr="00033F73">
        <w:rPr>
          <w:color w:val="000000"/>
          <w:sz w:val="22"/>
          <w:szCs w:val="22"/>
        </w:rPr>
        <w:t xml:space="preserve"> werd het voorbije jaar </w:t>
      </w:r>
      <w:r>
        <w:rPr>
          <w:color w:val="000000"/>
          <w:sz w:val="22"/>
          <w:szCs w:val="22"/>
        </w:rPr>
        <w:t xml:space="preserve">het </w:t>
      </w:r>
      <w:r w:rsidRPr="00916137">
        <w:rPr>
          <w:i/>
          <w:color w:val="000000"/>
          <w:sz w:val="22"/>
          <w:szCs w:val="22"/>
        </w:rPr>
        <w:t>Spin-Off FinancieringsInstrument (SOFI)</w:t>
      </w:r>
      <w:r>
        <w:rPr>
          <w:color w:val="000000"/>
          <w:sz w:val="22"/>
          <w:szCs w:val="22"/>
        </w:rPr>
        <w:t xml:space="preserve"> opgericht</w:t>
      </w:r>
      <w:r w:rsidRPr="00033F73">
        <w:rPr>
          <w:color w:val="000000"/>
          <w:sz w:val="22"/>
          <w:szCs w:val="22"/>
        </w:rPr>
        <w:t>. Voor dit nieuwe instrument heeft de Vlaamse Regering 10 miljoen euro uitgetrokken als eerste investeringsenveloppe. Deze middelen moeten de spin-offcreatie door de SOC’s versterken en op deze wijze de maatschappelijke return van de investeringen in O&amp;O verhogen. PMV werd gevraagd om de coördinatie van SOFI op zich te nemen en aldus een raamwerk te creëren voor de financiering en het fiduciair beheer van spin-offs uit de SOC’s</w:t>
      </w:r>
      <w:r w:rsidRPr="00033F73">
        <w:rPr>
          <w:sz w:val="22"/>
          <w:szCs w:val="22"/>
          <w:lang w:val="nl-BE" w:eastAsia="en-GB"/>
        </w:rPr>
        <w:t xml:space="preserve"> (VR 2011 1006 DOC.0504 BIS en TER)</w:t>
      </w:r>
      <w:r>
        <w:rPr>
          <w:sz w:val="22"/>
          <w:szCs w:val="22"/>
          <w:lang w:val="nl-BE" w:eastAsia="en-GB"/>
        </w:rPr>
        <w:t>.</w:t>
      </w:r>
    </w:p>
    <w:p w:rsidR="002769A4" w:rsidRPr="00033F73" w:rsidRDefault="002769A4" w:rsidP="00001C1C">
      <w:pPr>
        <w:pStyle w:val="SVTitel"/>
        <w:rPr>
          <w:i w:val="0"/>
          <w:szCs w:val="22"/>
        </w:rPr>
      </w:pPr>
    </w:p>
    <w:p w:rsidR="002769A4" w:rsidRDefault="002769A4" w:rsidP="00001C1C">
      <w:pPr>
        <w:pStyle w:val="SVTitel"/>
        <w:numPr>
          <w:ilvl w:val="0"/>
          <w:numId w:val="42"/>
        </w:numPr>
        <w:rPr>
          <w:i w:val="0"/>
          <w:szCs w:val="22"/>
        </w:rPr>
      </w:pPr>
      <w:r w:rsidRPr="004F6B3B">
        <w:rPr>
          <w:i w:val="0"/>
          <w:szCs w:val="22"/>
        </w:rPr>
        <w:t xml:space="preserve">Het Europese Kaderprogramma voor Onderzoek en Technologische Ontwikkeling (KP) </w:t>
      </w:r>
      <w:r w:rsidRPr="00033F73">
        <w:rPr>
          <w:i w:val="0"/>
          <w:szCs w:val="22"/>
        </w:rPr>
        <w:t xml:space="preserve">van de Europese Commissie is veruit het belangrijkste instrument om wetenschap en innovatie te bevorderen in Europa. De inkomsten van IMEC uit het </w:t>
      </w:r>
      <w:r>
        <w:rPr>
          <w:i w:val="0"/>
          <w:szCs w:val="22"/>
        </w:rPr>
        <w:t>KP</w:t>
      </w:r>
      <w:r w:rsidRPr="00033F73">
        <w:rPr>
          <w:i w:val="0"/>
          <w:szCs w:val="22"/>
        </w:rPr>
        <w:t xml:space="preserve"> worden weergegeven in </w:t>
      </w:r>
      <w:r w:rsidRPr="00E14062">
        <w:rPr>
          <w:i w:val="0"/>
          <w:szCs w:val="22"/>
          <w:u w:val="single"/>
        </w:rPr>
        <w:t>tabel 3</w:t>
      </w:r>
      <w:r w:rsidRPr="00033F73">
        <w:rPr>
          <w:i w:val="0"/>
          <w:szCs w:val="22"/>
        </w:rPr>
        <w:t>.</w:t>
      </w:r>
    </w:p>
    <w:p w:rsidR="002769A4" w:rsidRPr="00E14062" w:rsidRDefault="002769A4" w:rsidP="00001C1C">
      <w:pPr>
        <w:pStyle w:val="SVTitel"/>
        <w:ind w:left="360"/>
        <w:rPr>
          <w:b/>
          <w:i w:val="0"/>
          <w:szCs w:val="22"/>
        </w:rPr>
      </w:pPr>
      <w:r>
        <w:rPr>
          <w:i w:val="0"/>
          <w:szCs w:val="22"/>
        </w:rPr>
        <w:br w:type="page"/>
      </w:r>
      <w:r w:rsidRPr="00E14062">
        <w:rPr>
          <w:b/>
          <w:i w:val="0"/>
          <w:szCs w:val="22"/>
          <w:u w:val="single"/>
        </w:rPr>
        <w:t>Tabel 3</w:t>
      </w:r>
      <w:r w:rsidRPr="00E14062">
        <w:rPr>
          <w:b/>
          <w:i w:val="0"/>
          <w:szCs w:val="22"/>
        </w:rPr>
        <w:t>. Inkomsten van IMEC uit het Europese Kaderprogramma voor Onderzoek en Technologische Ontwikkeling (bedragen in euro).</w:t>
      </w:r>
    </w:p>
    <w:p w:rsidR="002769A4" w:rsidRPr="00033F73" w:rsidRDefault="002769A4" w:rsidP="00001C1C">
      <w:pPr>
        <w:pStyle w:val="SVTitel"/>
        <w:rPr>
          <w:i w:val="0"/>
          <w:szCs w:val="22"/>
        </w:rPr>
      </w:pPr>
    </w:p>
    <w:tbl>
      <w:tblPr>
        <w:tblW w:w="78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16"/>
        <w:gridCol w:w="1216"/>
        <w:gridCol w:w="1216"/>
        <w:gridCol w:w="1216"/>
        <w:gridCol w:w="1216"/>
      </w:tblGrid>
      <w:tr w:rsidR="002769A4" w:rsidRPr="00E14062" w:rsidTr="00E14062">
        <w:tc>
          <w:tcPr>
            <w:tcW w:w="1800" w:type="dxa"/>
          </w:tcPr>
          <w:p w:rsidR="002769A4" w:rsidRPr="00E14062" w:rsidRDefault="002769A4" w:rsidP="00001C1C">
            <w:pPr>
              <w:pStyle w:val="SVTitel"/>
              <w:rPr>
                <w:i w:val="0"/>
                <w:sz w:val="20"/>
              </w:rPr>
            </w:pPr>
            <w:r w:rsidRPr="00E14062">
              <w:rPr>
                <w:i w:val="0"/>
                <w:sz w:val="20"/>
              </w:rPr>
              <w:t xml:space="preserve">Jaar </w:t>
            </w:r>
          </w:p>
        </w:tc>
        <w:tc>
          <w:tcPr>
            <w:tcW w:w="1216" w:type="dxa"/>
          </w:tcPr>
          <w:p w:rsidR="002769A4" w:rsidRPr="00E14062" w:rsidRDefault="002769A4" w:rsidP="00001C1C">
            <w:pPr>
              <w:pStyle w:val="SVTitel"/>
              <w:rPr>
                <w:b/>
                <w:i w:val="0"/>
                <w:sz w:val="20"/>
              </w:rPr>
            </w:pPr>
            <w:r w:rsidRPr="00E14062">
              <w:rPr>
                <w:b/>
                <w:i w:val="0"/>
                <w:sz w:val="20"/>
              </w:rPr>
              <w:t>2007</w:t>
            </w:r>
          </w:p>
        </w:tc>
        <w:tc>
          <w:tcPr>
            <w:tcW w:w="1216" w:type="dxa"/>
          </w:tcPr>
          <w:p w:rsidR="002769A4" w:rsidRPr="00E14062" w:rsidRDefault="002769A4" w:rsidP="00001C1C">
            <w:pPr>
              <w:pStyle w:val="SVTitel"/>
              <w:rPr>
                <w:b/>
                <w:i w:val="0"/>
                <w:sz w:val="20"/>
              </w:rPr>
            </w:pPr>
            <w:r w:rsidRPr="00E14062">
              <w:rPr>
                <w:b/>
                <w:i w:val="0"/>
                <w:sz w:val="20"/>
              </w:rPr>
              <w:t>2008</w:t>
            </w:r>
          </w:p>
        </w:tc>
        <w:tc>
          <w:tcPr>
            <w:tcW w:w="1216" w:type="dxa"/>
          </w:tcPr>
          <w:p w:rsidR="002769A4" w:rsidRPr="00E14062" w:rsidRDefault="002769A4" w:rsidP="00001C1C">
            <w:pPr>
              <w:pStyle w:val="SVTitel"/>
              <w:rPr>
                <w:b/>
                <w:i w:val="0"/>
                <w:sz w:val="20"/>
              </w:rPr>
            </w:pPr>
            <w:r w:rsidRPr="00E14062">
              <w:rPr>
                <w:b/>
                <w:i w:val="0"/>
                <w:sz w:val="20"/>
              </w:rPr>
              <w:t>2009</w:t>
            </w:r>
          </w:p>
        </w:tc>
        <w:tc>
          <w:tcPr>
            <w:tcW w:w="1216" w:type="dxa"/>
          </w:tcPr>
          <w:p w:rsidR="002769A4" w:rsidRPr="00E14062" w:rsidRDefault="002769A4" w:rsidP="00001C1C">
            <w:pPr>
              <w:pStyle w:val="SVTitel"/>
              <w:rPr>
                <w:b/>
                <w:i w:val="0"/>
                <w:sz w:val="20"/>
              </w:rPr>
            </w:pPr>
            <w:r w:rsidRPr="00E14062">
              <w:rPr>
                <w:b/>
                <w:i w:val="0"/>
                <w:sz w:val="20"/>
              </w:rPr>
              <w:t>2010</w:t>
            </w:r>
          </w:p>
        </w:tc>
        <w:tc>
          <w:tcPr>
            <w:tcW w:w="1216" w:type="dxa"/>
          </w:tcPr>
          <w:p w:rsidR="002769A4" w:rsidRPr="00E14062" w:rsidRDefault="002769A4" w:rsidP="00001C1C">
            <w:pPr>
              <w:pStyle w:val="SVTitel"/>
              <w:rPr>
                <w:b/>
                <w:i w:val="0"/>
                <w:sz w:val="20"/>
              </w:rPr>
            </w:pPr>
            <w:r w:rsidRPr="00E14062">
              <w:rPr>
                <w:b/>
                <w:i w:val="0"/>
                <w:sz w:val="20"/>
              </w:rPr>
              <w:t>2011</w:t>
            </w:r>
          </w:p>
        </w:tc>
      </w:tr>
      <w:tr w:rsidR="002769A4" w:rsidRPr="00E14062" w:rsidTr="00E14062">
        <w:tc>
          <w:tcPr>
            <w:tcW w:w="1800" w:type="dxa"/>
          </w:tcPr>
          <w:p w:rsidR="002769A4" w:rsidRPr="00E14062" w:rsidRDefault="002769A4" w:rsidP="00001C1C">
            <w:pPr>
              <w:pStyle w:val="SVTitel"/>
              <w:rPr>
                <w:i w:val="0"/>
                <w:sz w:val="20"/>
              </w:rPr>
            </w:pPr>
            <w:r w:rsidRPr="00E14062">
              <w:rPr>
                <w:i w:val="0"/>
                <w:sz w:val="20"/>
              </w:rPr>
              <w:t>Inkomsten KP (€)</w:t>
            </w:r>
          </w:p>
        </w:tc>
        <w:tc>
          <w:tcPr>
            <w:tcW w:w="1216" w:type="dxa"/>
            <w:vAlign w:val="bottom"/>
          </w:tcPr>
          <w:p w:rsidR="002769A4" w:rsidRPr="00E14062" w:rsidRDefault="002769A4" w:rsidP="00001C1C">
            <w:pPr>
              <w:jc w:val="both"/>
              <w:rPr>
                <w:color w:val="000000"/>
                <w:sz w:val="20"/>
                <w:lang w:val="nl-BE"/>
              </w:rPr>
            </w:pPr>
            <w:r w:rsidRPr="00E14062">
              <w:rPr>
                <w:color w:val="000000"/>
                <w:sz w:val="20"/>
                <w:lang w:val="nl-BE"/>
              </w:rPr>
              <w:t>13</w:t>
            </w:r>
            <w:r>
              <w:rPr>
                <w:color w:val="000000"/>
                <w:sz w:val="20"/>
                <w:lang w:val="nl-BE"/>
              </w:rPr>
              <w:t>.</w:t>
            </w:r>
            <w:r w:rsidRPr="00E14062">
              <w:rPr>
                <w:color w:val="000000"/>
                <w:sz w:val="20"/>
                <w:lang w:val="nl-BE"/>
              </w:rPr>
              <w:t>268</w:t>
            </w:r>
            <w:r>
              <w:rPr>
                <w:color w:val="000000"/>
                <w:sz w:val="20"/>
                <w:lang w:val="nl-BE"/>
              </w:rPr>
              <w:t>.</w:t>
            </w:r>
            <w:r w:rsidRPr="00E14062">
              <w:rPr>
                <w:color w:val="000000"/>
                <w:sz w:val="20"/>
                <w:lang w:val="nl-BE"/>
              </w:rPr>
              <w:t>366</w:t>
            </w:r>
          </w:p>
        </w:tc>
        <w:tc>
          <w:tcPr>
            <w:tcW w:w="1216" w:type="dxa"/>
            <w:vAlign w:val="bottom"/>
          </w:tcPr>
          <w:p w:rsidR="002769A4" w:rsidRPr="00E14062" w:rsidRDefault="002769A4" w:rsidP="00001C1C">
            <w:pPr>
              <w:jc w:val="both"/>
              <w:rPr>
                <w:color w:val="000000"/>
                <w:sz w:val="20"/>
              </w:rPr>
            </w:pPr>
            <w:r w:rsidRPr="00E14062">
              <w:rPr>
                <w:color w:val="000000"/>
                <w:sz w:val="20"/>
                <w:lang w:val="nl-BE"/>
              </w:rPr>
              <w:t>15</w:t>
            </w:r>
            <w:r>
              <w:rPr>
                <w:color w:val="000000"/>
                <w:sz w:val="20"/>
                <w:lang w:val="nl-BE"/>
              </w:rPr>
              <w:t>.</w:t>
            </w:r>
            <w:r w:rsidRPr="00E14062">
              <w:rPr>
                <w:color w:val="000000"/>
                <w:sz w:val="20"/>
                <w:lang w:val="nl-BE"/>
              </w:rPr>
              <w:t>571</w:t>
            </w:r>
            <w:r>
              <w:rPr>
                <w:color w:val="000000"/>
                <w:sz w:val="20"/>
                <w:lang w:val="nl-BE"/>
              </w:rPr>
              <w:t>.</w:t>
            </w:r>
            <w:r w:rsidRPr="00E14062">
              <w:rPr>
                <w:color w:val="000000"/>
                <w:sz w:val="20"/>
                <w:lang w:val="nl-BE"/>
              </w:rPr>
              <w:t>028</w:t>
            </w:r>
          </w:p>
        </w:tc>
        <w:tc>
          <w:tcPr>
            <w:tcW w:w="1216" w:type="dxa"/>
            <w:vAlign w:val="bottom"/>
          </w:tcPr>
          <w:p w:rsidR="002769A4" w:rsidRPr="00E14062" w:rsidRDefault="002769A4" w:rsidP="00001C1C">
            <w:pPr>
              <w:jc w:val="both"/>
              <w:rPr>
                <w:color w:val="000000"/>
                <w:sz w:val="20"/>
              </w:rPr>
            </w:pPr>
            <w:r w:rsidRPr="00E14062">
              <w:rPr>
                <w:color w:val="000000"/>
                <w:sz w:val="20"/>
                <w:lang w:val="nl-BE"/>
              </w:rPr>
              <w:t>15</w:t>
            </w:r>
            <w:r>
              <w:rPr>
                <w:color w:val="000000"/>
                <w:sz w:val="20"/>
                <w:lang w:val="nl-BE"/>
              </w:rPr>
              <w:t>.</w:t>
            </w:r>
            <w:r w:rsidRPr="00E14062">
              <w:rPr>
                <w:color w:val="000000"/>
                <w:sz w:val="20"/>
                <w:lang w:val="nl-BE"/>
              </w:rPr>
              <w:t>404</w:t>
            </w:r>
            <w:r>
              <w:rPr>
                <w:color w:val="000000"/>
                <w:sz w:val="20"/>
                <w:lang w:val="nl-BE"/>
              </w:rPr>
              <w:t>.</w:t>
            </w:r>
            <w:r w:rsidRPr="00E14062">
              <w:rPr>
                <w:color w:val="000000"/>
                <w:sz w:val="20"/>
                <w:lang w:val="nl-BE"/>
              </w:rPr>
              <w:t>870</w:t>
            </w:r>
          </w:p>
        </w:tc>
        <w:tc>
          <w:tcPr>
            <w:tcW w:w="1216" w:type="dxa"/>
            <w:vAlign w:val="bottom"/>
          </w:tcPr>
          <w:p w:rsidR="002769A4" w:rsidRPr="00E14062" w:rsidRDefault="002769A4" w:rsidP="00001C1C">
            <w:pPr>
              <w:jc w:val="both"/>
              <w:rPr>
                <w:color w:val="000000"/>
                <w:sz w:val="20"/>
              </w:rPr>
            </w:pPr>
            <w:r w:rsidRPr="00E14062">
              <w:rPr>
                <w:color w:val="000000"/>
                <w:sz w:val="20"/>
                <w:lang w:val="nl-BE"/>
              </w:rPr>
              <w:t>16</w:t>
            </w:r>
            <w:r>
              <w:rPr>
                <w:color w:val="000000"/>
                <w:sz w:val="20"/>
                <w:lang w:val="nl-BE"/>
              </w:rPr>
              <w:t>.</w:t>
            </w:r>
            <w:r w:rsidRPr="00E14062">
              <w:rPr>
                <w:color w:val="000000"/>
                <w:sz w:val="20"/>
                <w:lang w:val="nl-BE"/>
              </w:rPr>
              <w:t>070</w:t>
            </w:r>
            <w:r>
              <w:rPr>
                <w:color w:val="000000"/>
                <w:sz w:val="20"/>
                <w:lang w:val="nl-BE"/>
              </w:rPr>
              <w:t>.</w:t>
            </w:r>
            <w:r w:rsidRPr="00E14062">
              <w:rPr>
                <w:color w:val="000000"/>
                <w:sz w:val="20"/>
                <w:lang w:val="nl-BE"/>
              </w:rPr>
              <w:t>128</w:t>
            </w:r>
          </w:p>
        </w:tc>
        <w:tc>
          <w:tcPr>
            <w:tcW w:w="1216" w:type="dxa"/>
            <w:vAlign w:val="bottom"/>
          </w:tcPr>
          <w:p w:rsidR="002769A4" w:rsidRPr="00E14062" w:rsidRDefault="002769A4" w:rsidP="00001C1C">
            <w:pPr>
              <w:jc w:val="both"/>
              <w:rPr>
                <w:color w:val="000000"/>
                <w:sz w:val="20"/>
                <w:lang w:val="nl-BE"/>
              </w:rPr>
            </w:pPr>
            <w:r w:rsidRPr="00E14062">
              <w:rPr>
                <w:color w:val="000000"/>
                <w:sz w:val="20"/>
                <w:lang w:val="nl-BE"/>
              </w:rPr>
              <w:t>15</w:t>
            </w:r>
            <w:r>
              <w:rPr>
                <w:color w:val="000000"/>
                <w:sz w:val="20"/>
                <w:lang w:val="nl-BE"/>
              </w:rPr>
              <w:t>.</w:t>
            </w:r>
            <w:r w:rsidRPr="00E14062">
              <w:rPr>
                <w:color w:val="000000"/>
                <w:sz w:val="20"/>
                <w:lang w:val="nl-BE"/>
              </w:rPr>
              <w:t>077</w:t>
            </w:r>
            <w:r>
              <w:rPr>
                <w:color w:val="000000"/>
                <w:sz w:val="20"/>
                <w:lang w:val="nl-BE"/>
              </w:rPr>
              <w:t>.</w:t>
            </w:r>
            <w:r w:rsidRPr="00E14062">
              <w:rPr>
                <w:color w:val="000000"/>
                <w:sz w:val="20"/>
                <w:lang w:val="nl-BE"/>
              </w:rPr>
              <w:t>594</w:t>
            </w:r>
          </w:p>
        </w:tc>
      </w:tr>
    </w:tbl>
    <w:p w:rsidR="002769A4" w:rsidRPr="00033F73" w:rsidRDefault="002769A4" w:rsidP="00916137">
      <w:pPr>
        <w:pStyle w:val="SVTitel"/>
        <w:ind w:left="360"/>
        <w:jc w:val="left"/>
        <w:rPr>
          <w:i w:val="0"/>
          <w:szCs w:val="22"/>
        </w:rPr>
      </w:pPr>
    </w:p>
    <w:sectPr w:rsidR="002769A4" w:rsidRPr="00033F73" w:rsidSect="00A22A0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A4" w:rsidRDefault="002769A4">
      <w:r>
        <w:separator/>
      </w:r>
    </w:p>
  </w:endnote>
  <w:endnote w:type="continuationSeparator" w:id="0">
    <w:p w:rsidR="002769A4" w:rsidRDefault="00276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ill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A4" w:rsidRDefault="002769A4">
      <w:r>
        <w:separator/>
      </w:r>
    </w:p>
  </w:footnote>
  <w:footnote w:type="continuationSeparator" w:id="0">
    <w:p w:rsidR="002769A4" w:rsidRDefault="002769A4">
      <w:r>
        <w:continuationSeparator/>
      </w:r>
    </w:p>
  </w:footnote>
  <w:footnote w:id="1">
    <w:p w:rsidR="002769A4" w:rsidRDefault="002769A4">
      <w:pPr>
        <w:pStyle w:val="FootnoteText"/>
      </w:pPr>
      <w:r w:rsidRPr="004F628F">
        <w:rPr>
          <w:rStyle w:val="FootnoteReference"/>
          <w:rFonts w:ascii="Times New Roman" w:hAnsi="Times New Roman"/>
        </w:rPr>
        <w:footnoteRef/>
      </w:r>
      <w:r w:rsidRPr="004F628F">
        <w:rPr>
          <w:rFonts w:ascii="Times New Roman" w:hAnsi="Times New Roman"/>
        </w:rPr>
        <w:t xml:space="preserve"> MM = “More Moore”: de onderzoeksgebieden die betrekking hebben op technologieën en applicaties die systematisch de verdere schalings-ITRS (International Technology Roadmap for Semiconductors) volgen en ondersteunen.</w:t>
      </w:r>
    </w:p>
  </w:footnote>
  <w:footnote w:id="2">
    <w:p w:rsidR="002769A4" w:rsidRDefault="002769A4">
      <w:pPr>
        <w:pStyle w:val="FootnoteText"/>
      </w:pPr>
      <w:r w:rsidRPr="004F628F">
        <w:rPr>
          <w:rStyle w:val="FootnoteReference"/>
          <w:rFonts w:ascii="Times New Roman" w:hAnsi="Times New Roman"/>
        </w:rPr>
        <w:footnoteRef/>
      </w:r>
      <w:r w:rsidRPr="004F628F">
        <w:rPr>
          <w:rFonts w:ascii="Times New Roman" w:hAnsi="Times New Roman"/>
        </w:rPr>
        <w:t xml:space="preserve"> MtM = “More than Moore (MtM)”: de onderzoeksgebieden die betrekking hebben op alle technologieën en applicaties die niet in het MM-domein vallen en die kaderen binnen de missie en de doelstellingen van de onderzoeksinstelling (zoals bvb. energie, gezondheidstoepassingen,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366622"/>
    <w:lvl w:ilvl="0">
      <w:start w:val="1"/>
      <w:numFmt w:val="bullet"/>
      <w:lvlText w:val=""/>
      <w:lvlJc w:val="left"/>
      <w:pPr>
        <w:tabs>
          <w:tab w:val="num" w:pos="360"/>
        </w:tabs>
        <w:ind w:left="360" w:hanging="360"/>
      </w:pPr>
      <w:rPr>
        <w:rFonts w:ascii="Symbol" w:hAnsi="Symbol" w:hint="default"/>
        <w:color w:val="FF0000"/>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2">
    <w:nsid w:val="00043B95"/>
    <w:multiLevelType w:val="hybridMultilevel"/>
    <w:tmpl w:val="2A288A94"/>
    <w:lvl w:ilvl="0" w:tplc="0813000F">
      <w:start w:val="1"/>
      <w:numFmt w:val="decimal"/>
      <w:lvlText w:val="%1."/>
      <w:lvlJc w:val="left"/>
      <w:pPr>
        <w:ind w:left="360" w:hanging="360"/>
      </w:pPr>
      <w:rPr>
        <w:rFonts w:cs="Times New Roman" w:hint="default"/>
      </w:rPr>
    </w:lvl>
    <w:lvl w:ilvl="1" w:tplc="BD5AD25E">
      <w:numFmt w:val="bullet"/>
      <w:lvlText w:val=""/>
      <w:lvlJc w:val="left"/>
      <w:pPr>
        <w:ind w:left="1080" w:hanging="360"/>
      </w:pPr>
      <w:rPr>
        <w:rFonts w:ascii="Symbol" w:eastAsia="Times New Roman" w:hAnsi="Symbo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00E15B02"/>
    <w:multiLevelType w:val="hybridMultilevel"/>
    <w:tmpl w:val="6BD66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01E97101"/>
    <w:multiLevelType w:val="hybridMultilevel"/>
    <w:tmpl w:val="2166BA46"/>
    <w:lvl w:ilvl="0" w:tplc="AA4E10BA">
      <w:start w:val="6"/>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020C29F4"/>
    <w:multiLevelType w:val="hybridMultilevel"/>
    <w:tmpl w:val="8496D4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049271E5"/>
    <w:multiLevelType w:val="hybridMultilevel"/>
    <w:tmpl w:val="7C30D1E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04BC5BA1"/>
    <w:multiLevelType w:val="hybridMultilevel"/>
    <w:tmpl w:val="D7AA16C8"/>
    <w:lvl w:ilvl="0" w:tplc="3C9694B4">
      <w:start w:val="1"/>
      <w:numFmt w:val="decimal"/>
      <w:lvlText w:val="(%1)"/>
      <w:lvlJc w:val="center"/>
      <w:pPr>
        <w:ind w:left="720" w:hanging="360"/>
      </w:pPr>
      <w:rPr>
        <w:rFonts w:cs="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D872961"/>
    <w:multiLevelType w:val="hybridMultilevel"/>
    <w:tmpl w:val="901C1F16"/>
    <w:lvl w:ilvl="0" w:tplc="938E5D9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115E7306"/>
    <w:multiLevelType w:val="hybridMultilevel"/>
    <w:tmpl w:val="1DA0EB90"/>
    <w:lvl w:ilvl="0" w:tplc="F35CD75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1CB5775"/>
    <w:multiLevelType w:val="multilevel"/>
    <w:tmpl w:val="0C848890"/>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25455CC"/>
    <w:multiLevelType w:val="hybridMultilevel"/>
    <w:tmpl w:val="87A42C2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4">
    <w:nsid w:val="19EC1821"/>
    <w:multiLevelType w:val="hybridMultilevel"/>
    <w:tmpl w:val="DFB8224E"/>
    <w:lvl w:ilvl="0" w:tplc="4C38702E">
      <w:start w:val="1"/>
      <w:numFmt w:val="decimal"/>
      <w:lvlText w:val="(%1)"/>
      <w:lvlJc w:val="center"/>
      <w:pPr>
        <w:ind w:left="786" w:hanging="360"/>
      </w:pPr>
      <w:rPr>
        <w:rFonts w:cs="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5">
    <w:nsid w:val="1A171C89"/>
    <w:multiLevelType w:val="hybridMultilevel"/>
    <w:tmpl w:val="C3C2934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1D935A95"/>
    <w:multiLevelType w:val="hybridMultilevel"/>
    <w:tmpl w:val="8C3AEE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239309B0"/>
    <w:multiLevelType w:val="hybridMultilevel"/>
    <w:tmpl w:val="A19A01D4"/>
    <w:lvl w:ilvl="0" w:tplc="3C9694B4">
      <w:start w:val="1"/>
      <w:numFmt w:val="decimal"/>
      <w:lvlText w:val="(%1)"/>
      <w:lvlJc w:val="center"/>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8">
    <w:nsid w:val="26902C6D"/>
    <w:multiLevelType w:val="hybridMultilevel"/>
    <w:tmpl w:val="79F67444"/>
    <w:lvl w:ilvl="0" w:tplc="0813000F">
      <w:start w:val="1"/>
      <w:numFmt w:val="decimal"/>
      <w:lvlText w:val="%1."/>
      <w:lvlJc w:val="left"/>
      <w:pPr>
        <w:ind w:left="360" w:hanging="360"/>
      </w:pPr>
      <w:rPr>
        <w:rFonts w:cs="Times New Roman" w:hint="default"/>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nsid w:val="28ED4DCD"/>
    <w:multiLevelType w:val="hybridMultilevel"/>
    <w:tmpl w:val="023609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2B3D7ABA"/>
    <w:multiLevelType w:val="hybridMultilevel"/>
    <w:tmpl w:val="9FD4F3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37087075"/>
    <w:multiLevelType w:val="hybridMultilevel"/>
    <w:tmpl w:val="C6C4F87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14" w:hanging="360"/>
      </w:pPr>
      <w:rPr>
        <w:rFonts w:cs="Times New Roman"/>
      </w:rPr>
    </w:lvl>
    <w:lvl w:ilvl="2" w:tplc="0813001B" w:tentative="1">
      <w:start w:val="1"/>
      <w:numFmt w:val="lowerRoman"/>
      <w:lvlText w:val="%3."/>
      <w:lvlJc w:val="right"/>
      <w:pPr>
        <w:ind w:left="1734" w:hanging="180"/>
      </w:pPr>
      <w:rPr>
        <w:rFonts w:cs="Times New Roman"/>
      </w:rPr>
    </w:lvl>
    <w:lvl w:ilvl="3" w:tplc="0813000F" w:tentative="1">
      <w:start w:val="1"/>
      <w:numFmt w:val="decimal"/>
      <w:lvlText w:val="%4."/>
      <w:lvlJc w:val="left"/>
      <w:pPr>
        <w:ind w:left="2454" w:hanging="360"/>
      </w:pPr>
      <w:rPr>
        <w:rFonts w:cs="Times New Roman"/>
      </w:rPr>
    </w:lvl>
    <w:lvl w:ilvl="4" w:tplc="08130019" w:tentative="1">
      <w:start w:val="1"/>
      <w:numFmt w:val="lowerLetter"/>
      <w:lvlText w:val="%5."/>
      <w:lvlJc w:val="left"/>
      <w:pPr>
        <w:ind w:left="3174" w:hanging="360"/>
      </w:pPr>
      <w:rPr>
        <w:rFonts w:cs="Times New Roman"/>
      </w:rPr>
    </w:lvl>
    <w:lvl w:ilvl="5" w:tplc="0813001B" w:tentative="1">
      <w:start w:val="1"/>
      <w:numFmt w:val="lowerRoman"/>
      <w:lvlText w:val="%6."/>
      <w:lvlJc w:val="right"/>
      <w:pPr>
        <w:ind w:left="3894" w:hanging="180"/>
      </w:pPr>
      <w:rPr>
        <w:rFonts w:cs="Times New Roman"/>
      </w:rPr>
    </w:lvl>
    <w:lvl w:ilvl="6" w:tplc="0813000F" w:tentative="1">
      <w:start w:val="1"/>
      <w:numFmt w:val="decimal"/>
      <w:lvlText w:val="%7."/>
      <w:lvlJc w:val="left"/>
      <w:pPr>
        <w:ind w:left="4614" w:hanging="360"/>
      </w:pPr>
      <w:rPr>
        <w:rFonts w:cs="Times New Roman"/>
      </w:rPr>
    </w:lvl>
    <w:lvl w:ilvl="7" w:tplc="08130019" w:tentative="1">
      <w:start w:val="1"/>
      <w:numFmt w:val="lowerLetter"/>
      <w:lvlText w:val="%8."/>
      <w:lvlJc w:val="left"/>
      <w:pPr>
        <w:ind w:left="5334" w:hanging="360"/>
      </w:pPr>
      <w:rPr>
        <w:rFonts w:cs="Times New Roman"/>
      </w:rPr>
    </w:lvl>
    <w:lvl w:ilvl="8" w:tplc="0813001B" w:tentative="1">
      <w:start w:val="1"/>
      <w:numFmt w:val="lowerRoman"/>
      <w:lvlText w:val="%9."/>
      <w:lvlJc w:val="right"/>
      <w:pPr>
        <w:ind w:left="6054" w:hanging="180"/>
      </w:pPr>
      <w:rPr>
        <w:rFonts w:cs="Times New Roman"/>
      </w:rPr>
    </w:lvl>
  </w:abstractNum>
  <w:abstractNum w:abstractNumId="22">
    <w:nsid w:val="38030899"/>
    <w:multiLevelType w:val="hybridMultilevel"/>
    <w:tmpl w:val="F4E44F90"/>
    <w:lvl w:ilvl="0" w:tplc="B792E0B4">
      <w:start w:val="1"/>
      <w:numFmt w:val="decimal"/>
      <w:lvlText w:val="%1."/>
      <w:lvlJc w:val="left"/>
      <w:pPr>
        <w:ind w:left="720" w:hanging="360"/>
      </w:pPr>
      <w:rPr>
        <w:rFonts w:cs="Times New Roman" w:hint="default"/>
        <w:sz w:val="24"/>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398A1BF1"/>
    <w:multiLevelType w:val="hybridMultilevel"/>
    <w:tmpl w:val="A5DEB8F0"/>
    <w:lvl w:ilvl="0" w:tplc="F35CD75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42B2772B"/>
    <w:multiLevelType w:val="hybridMultilevel"/>
    <w:tmpl w:val="E0F4753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46A61149"/>
    <w:multiLevelType w:val="hybridMultilevel"/>
    <w:tmpl w:val="AC14142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7">
    <w:nsid w:val="4A304CD7"/>
    <w:multiLevelType w:val="hybridMultilevel"/>
    <w:tmpl w:val="7102B5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4DC117EB"/>
    <w:multiLevelType w:val="hybridMultilevel"/>
    <w:tmpl w:val="7B26F588"/>
    <w:lvl w:ilvl="0" w:tplc="08130001">
      <w:start w:val="1"/>
      <w:numFmt w:val="bullet"/>
      <w:lvlText w:val=""/>
      <w:lvlJc w:val="left"/>
      <w:pPr>
        <w:ind w:left="644" w:hanging="360"/>
      </w:pPr>
      <w:rPr>
        <w:rFonts w:ascii="Symbol" w:hAnsi="Symbol" w:hint="default"/>
      </w:rPr>
    </w:lvl>
    <w:lvl w:ilvl="1" w:tplc="BD5AD25E">
      <w:numFmt w:val="bullet"/>
      <w:lvlText w:val=""/>
      <w:lvlJc w:val="left"/>
      <w:pPr>
        <w:ind w:left="1364" w:hanging="360"/>
      </w:pPr>
      <w:rPr>
        <w:rFonts w:ascii="Symbol" w:eastAsia="Times New Roman" w:hAnsi="Symbol" w:hint="default"/>
      </w:rPr>
    </w:lvl>
    <w:lvl w:ilvl="2" w:tplc="0813001B" w:tentative="1">
      <w:start w:val="1"/>
      <w:numFmt w:val="lowerRoman"/>
      <w:lvlText w:val="%3."/>
      <w:lvlJc w:val="right"/>
      <w:pPr>
        <w:ind w:left="2084" w:hanging="180"/>
      </w:pPr>
      <w:rPr>
        <w:rFonts w:cs="Times New Roman"/>
      </w:rPr>
    </w:lvl>
    <w:lvl w:ilvl="3" w:tplc="0813000F" w:tentative="1">
      <w:start w:val="1"/>
      <w:numFmt w:val="decimal"/>
      <w:lvlText w:val="%4."/>
      <w:lvlJc w:val="left"/>
      <w:pPr>
        <w:ind w:left="2804" w:hanging="360"/>
      </w:pPr>
      <w:rPr>
        <w:rFonts w:cs="Times New Roman"/>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9">
    <w:nsid w:val="4EA60387"/>
    <w:multiLevelType w:val="hybridMultilevel"/>
    <w:tmpl w:val="9EB4E5CC"/>
    <w:lvl w:ilvl="0" w:tplc="F0A0DA3C">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0">
    <w:nsid w:val="50DC3CA2"/>
    <w:multiLevelType w:val="hybridMultilevel"/>
    <w:tmpl w:val="AC5E43F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1">
    <w:nsid w:val="51CD7095"/>
    <w:multiLevelType w:val="hybridMultilevel"/>
    <w:tmpl w:val="8FD6A324"/>
    <w:lvl w:ilvl="0" w:tplc="BAF01992">
      <w:start w:val="1"/>
      <w:numFmt w:val="bullet"/>
      <w:lvlText w:val=""/>
      <w:lvlJc w:val="left"/>
      <w:pPr>
        <w:tabs>
          <w:tab w:val="num" w:pos="720"/>
        </w:tabs>
        <w:ind w:left="720" w:hanging="360"/>
      </w:pPr>
      <w:rPr>
        <w:rFonts w:ascii="Symbol" w:hAnsi="Symbol" w:hint="default"/>
        <w:color w:val="auto"/>
      </w:rPr>
    </w:lvl>
    <w:lvl w:ilvl="1" w:tplc="BAF01992">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56054B7C"/>
    <w:multiLevelType w:val="hybridMultilevel"/>
    <w:tmpl w:val="2682C56C"/>
    <w:lvl w:ilvl="0" w:tplc="3C9694B4">
      <w:start w:val="1"/>
      <w:numFmt w:val="decimal"/>
      <w:lvlText w:val="(%1)"/>
      <w:lvlJc w:val="center"/>
      <w:pPr>
        <w:ind w:left="786" w:hanging="360"/>
      </w:pPr>
      <w:rPr>
        <w:rFonts w:cs="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3">
    <w:nsid w:val="59056A9B"/>
    <w:multiLevelType w:val="hybridMultilevel"/>
    <w:tmpl w:val="535C4160"/>
    <w:lvl w:ilvl="0" w:tplc="BA12FBE6">
      <w:start w:val="3"/>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nsid w:val="5ABD4EC6"/>
    <w:multiLevelType w:val="hybridMultilevel"/>
    <w:tmpl w:val="713C939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5F6736AC"/>
    <w:multiLevelType w:val="hybridMultilevel"/>
    <w:tmpl w:val="65AAB25C"/>
    <w:lvl w:ilvl="0" w:tplc="68C82BF2">
      <w:numFmt w:val="bullet"/>
      <w:lvlText w:val="-"/>
      <w:lvlJc w:val="left"/>
      <w:pPr>
        <w:ind w:left="1080" w:hanging="360"/>
      </w:pPr>
      <w:rPr>
        <w:rFonts w:ascii="Gill Sans Std" w:eastAsia="Times New Roman" w:hAnsi="Gill Sans Std"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695034"/>
    <w:multiLevelType w:val="hybridMultilevel"/>
    <w:tmpl w:val="271CA88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8">
    <w:nsid w:val="7754188E"/>
    <w:multiLevelType w:val="hybridMultilevel"/>
    <w:tmpl w:val="E66677F6"/>
    <w:lvl w:ilvl="0" w:tplc="9E5A68B2">
      <w:start w:val="1"/>
      <w:numFmt w:val="decimal"/>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9">
    <w:nsid w:val="7E2F2863"/>
    <w:multiLevelType w:val="hybridMultilevel"/>
    <w:tmpl w:val="45183182"/>
    <w:lvl w:ilvl="0" w:tplc="0813000F">
      <w:start w:val="1"/>
      <w:numFmt w:val="decimal"/>
      <w:lvlText w:val="%1."/>
      <w:lvlJc w:val="left"/>
      <w:pPr>
        <w:ind w:left="720" w:hanging="360"/>
      </w:pPr>
      <w:rPr>
        <w:rFonts w:cs="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EF83D1F"/>
    <w:multiLevelType w:val="multilevel"/>
    <w:tmpl w:val="E0F475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12"/>
  </w:num>
  <w:num w:numId="4">
    <w:abstractNumId w:val="12"/>
  </w:num>
  <w:num w:numId="5">
    <w:abstractNumId w:val="4"/>
  </w:num>
  <w:num w:numId="6">
    <w:abstractNumId w:val="35"/>
  </w:num>
  <w:num w:numId="7">
    <w:abstractNumId w:val="24"/>
  </w:num>
  <w:num w:numId="8">
    <w:abstractNumId w:val="10"/>
  </w:num>
  <w:num w:numId="9">
    <w:abstractNumId w:val="9"/>
  </w:num>
  <w:num w:numId="10">
    <w:abstractNumId w:val="27"/>
  </w:num>
  <w:num w:numId="11">
    <w:abstractNumId w:val="19"/>
  </w:num>
  <w:num w:numId="12">
    <w:abstractNumId w:val="1"/>
  </w:num>
  <w:num w:numId="13">
    <w:abstractNumId w:val="37"/>
  </w:num>
  <w:num w:numId="14">
    <w:abstractNumId w:val="6"/>
  </w:num>
  <w:num w:numId="15">
    <w:abstractNumId w:val="20"/>
  </w:num>
  <w:num w:numId="16">
    <w:abstractNumId w:val="34"/>
  </w:num>
  <w:num w:numId="17">
    <w:abstractNumId w:val="15"/>
  </w:num>
  <w:num w:numId="18">
    <w:abstractNumId w:val="7"/>
  </w:num>
  <w:num w:numId="19">
    <w:abstractNumId w:val="18"/>
  </w:num>
  <w:num w:numId="20">
    <w:abstractNumId w:val="0"/>
  </w:num>
  <w:num w:numId="21">
    <w:abstractNumId w:val="23"/>
  </w:num>
  <w:num w:numId="22">
    <w:abstractNumId w:val="38"/>
  </w:num>
  <w:num w:numId="23">
    <w:abstractNumId w:val="31"/>
  </w:num>
  <w:num w:numId="24">
    <w:abstractNumId w:val="22"/>
  </w:num>
  <w:num w:numId="25">
    <w:abstractNumId w:val="16"/>
  </w:num>
  <w:num w:numId="26">
    <w:abstractNumId w:val="11"/>
  </w:num>
  <w:num w:numId="27">
    <w:abstractNumId w:val="36"/>
  </w:num>
  <w:num w:numId="28">
    <w:abstractNumId w:val="2"/>
  </w:num>
  <w:num w:numId="29">
    <w:abstractNumId w:val="30"/>
  </w:num>
  <w:num w:numId="30">
    <w:abstractNumId w:val="28"/>
  </w:num>
  <w:num w:numId="31">
    <w:abstractNumId w:val="13"/>
  </w:num>
  <w:num w:numId="32">
    <w:abstractNumId w:val="33"/>
  </w:num>
  <w:num w:numId="33">
    <w:abstractNumId w:val="17"/>
  </w:num>
  <w:num w:numId="34">
    <w:abstractNumId w:val="32"/>
  </w:num>
  <w:num w:numId="35">
    <w:abstractNumId w:val="29"/>
  </w:num>
  <w:num w:numId="36">
    <w:abstractNumId w:val="3"/>
  </w:num>
  <w:num w:numId="37">
    <w:abstractNumId w:val="39"/>
  </w:num>
  <w:num w:numId="38">
    <w:abstractNumId w:val="8"/>
  </w:num>
  <w:num w:numId="39">
    <w:abstractNumId w:val="14"/>
  </w:num>
  <w:num w:numId="40">
    <w:abstractNumId w:val="26"/>
  </w:num>
  <w:num w:numId="41">
    <w:abstractNumId w:val="21"/>
  </w:num>
  <w:num w:numId="42">
    <w:abstractNumId w:val="5"/>
  </w:num>
  <w:num w:numId="43">
    <w:abstractNumId w:val="25"/>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98"/>
    <w:rsid w:val="00001C1C"/>
    <w:rsid w:val="00006405"/>
    <w:rsid w:val="00033F73"/>
    <w:rsid w:val="000464A2"/>
    <w:rsid w:val="00070064"/>
    <w:rsid w:val="00071DA4"/>
    <w:rsid w:val="00080040"/>
    <w:rsid w:val="000E27AF"/>
    <w:rsid w:val="000E6BDA"/>
    <w:rsid w:val="001020CC"/>
    <w:rsid w:val="00102AAA"/>
    <w:rsid w:val="00143503"/>
    <w:rsid w:val="001666C0"/>
    <w:rsid w:val="00185A24"/>
    <w:rsid w:val="00187BFC"/>
    <w:rsid w:val="001E4BBA"/>
    <w:rsid w:val="00211702"/>
    <w:rsid w:val="00233365"/>
    <w:rsid w:val="002364B4"/>
    <w:rsid w:val="00246220"/>
    <w:rsid w:val="002769A4"/>
    <w:rsid w:val="00287029"/>
    <w:rsid w:val="002938EE"/>
    <w:rsid w:val="002A71C3"/>
    <w:rsid w:val="00343A8F"/>
    <w:rsid w:val="00366FD8"/>
    <w:rsid w:val="00390085"/>
    <w:rsid w:val="003A1889"/>
    <w:rsid w:val="003D08AD"/>
    <w:rsid w:val="003F6440"/>
    <w:rsid w:val="004106E7"/>
    <w:rsid w:val="00427E2D"/>
    <w:rsid w:val="00433579"/>
    <w:rsid w:val="004415DA"/>
    <w:rsid w:val="004763B1"/>
    <w:rsid w:val="00497F67"/>
    <w:rsid w:val="004A3B08"/>
    <w:rsid w:val="004B4115"/>
    <w:rsid w:val="004D7979"/>
    <w:rsid w:val="004E6B17"/>
    <w:rsid w:val="004F4E5E"/>
    <w:rsid w:val="004F628F"/>
    <w:rsid w:val="004F6B3B"/>
    <w:rsid w:val="00503856"/>
    <w:rsid w:val="005051B9"/>
    <w:rsid w:val="00517954"/>
    <w:rsid w:val="00527A37"/>
    <w:rsid w:val="005653FB"/>
    <w:rsid w:val="00573E5B"/>
    <w:rsid w:val="0057484F"/>
    <w:rsid w:val="00584848"/>
    <w:rsid w:val="00587445"/>
    <w:rsid w:val="00587483"/>
    <w:rsid w:val="005A0D53"/>
    <w:rsid w:val="005A1891"/>
    <w:rsid w:val="005D126C"/>
    <w:rsid w:val="005E420C"/>
    <w:rsid w:val="005F0081"/>
    <w:rsid w:val="0062108C"/>
    <w:rsid w:val="00624937"/>
    <w:rsid w:val="00642B21"/>
    <w:rsid w:val="00657928"/>
    <w:rsid w:val="00661AC2"/>
    <w:rsid w:val="00667CE6"/>
    <w:rsid w:val="00693743"/>
    <w:rsid w:val="0069557F"/>
    <w:rsid w:val="006B7E51"/>
    <w:rsid w:val="006F29F5"/>
    <w:rsid w:val="006F49EA"/>
    <w:rsid w:val="0070381C"/>
    <w:rsid w:val="00720EB2"/>
    <w:rsid w:val="0074480A"/>
    <w:rsid w:val="00773A96"/>
    <w:rsid w:val="007A098C"/>
    <w:rsid w:val="007A7738"/>
    <w:rsid w:val="007D3FD0"/>
    <w:rsid w:val="0080151D"/>
    <w:rsid w:val="0083747B"/>
    <w:rsid w:val="00842F2E"/>
    <w:rsid w:val="00844521"/>
    <w:rsid w:val="00885746"/>
    <w:rsid w:val="00895989"/>
    <w:rsid w:val="008A316D"/>
    <w:rsid w:val="00916137"/>
    <w:rsid w:val="00937AAE"/>
    <w:rsid w:val="00941198"/>
    <w:rsid w:val="00941A3E"/>
    <w:rsid w:val="0096135A"/>
    <w:rsid w:val="00980C6B"/>
    <w:rsid w:val="009864CE"/>
    <w:rsid w:val="009C170D"/>
    <w:rsid w:val="009F10A6"/>
    <w:rsid w:val="009F4AA8"/>
    <w:rsid w:val="00A22A0F"/>
    <w:rsid w:val="00A83CB8"/>
    <w:rsid w:val="00AD78E8"/>
    <w:rsid w:val="00B03BDB"/>
    <w:rsid w:val="00B26D31"/>
    <w:rsid w:val="00B471F3"/>
    <w:rsid w:val="00B50AC1"/>
    <w:rsid w:val="00B61973"/>
    <w:rsid w:val="00B6547D"/>
    <w:rsid w:val="00BA320C"/>
    <w:rsid w:val="00BD07FB"/>
    <w:rsid w:val="00BE3503"/>
    <w:rsid w:val="00C117E8"/>
    <w:rsid w:val="00C35DDD"/>
    <w:rsid w:val="00C54F2B"/>
    <w:rsid w:val="00C75C7E"/>
    <w:rsid w:val="00C847D6"/>
    <w:rsid w:val="00C96514"/>
    <w:rsid w:val="00CC63C8"/>
    <w:rsid w:val="00CF034C"/>
    <w:rsid w:val="00CF4E65"/>
    <w:rsid w:val="00D06439"/>
    <w:rsid w:val="00D24800"/>
    <w:rsid w:val="00D62FBD"/>
    <w:rsid w:val="00D666E2"/>
    <w:rsid w:val="00D90E93"/>
    <w:rsid w:val="00DA29DC"/>
    <w:rsid w:val="00DF6517"/>
    <w:rsid w:val="00E10681"/>
    <w:rsid w:val="00E12E1B"/>
    <w:rsid w:val="00E14062"/>
    <w:rsid w:val="00E3040E"/>
    <w:rsid w:val="00E35ED9"/>
    <w:rsid w:val="00E5568F"/>
    <w:rsid w:val="00E76D5F"/>
    <w:rsid w:val="00E8336D"/>
    <w:rsid w:val="00E92954"/>
    <w:rsid w:val="00EA3930"/>
    <w:rsid w:val="00EA58E6"/>
    <w:rsid w:val="00EB6FF2"/>
    <w:rsid w:val="00EE2D42"/>
    <w:rsid w:val="00EF2496"/>
    <w:rsid w:val="00EF296F"/>
    <w:rsid w:val="00F22E16"/>
    <w:rsid w:val="00F42FE0"/>
    <w:rsid w:val="00F44564"/>
    <w:rsid w:val="00F52CAF"/>
    <w:rsid w:val="00F624DC"/>
    <w:rsid w:val="00F7364F"/>
    <w:rsid w:val="00F96F02"/>
    <w:rsid w:val="00FB4825"/>
    <w:rsid w:val="00FC1093"/>
    <w:rsid w:val="00FC1BF6"/>
    <w:rsid w:val="00FC1D39"/>
    <w:rsid w:val="00FC489F"/>
    <w:rsid w:val="00FD51BA"/>
    <w:rsid w:val="00FF441C"/>
    <w:rsid w:val="00FF754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0F"/>
    <w:rPr>
      <w:sz w:val="24"/>
      <w:szCs w:val="20"/>
      <w:lang w:val="nl-NL" w:eastAsia="nl-NL"/>
    </w:rPr>
  </w:style>
  <w:style w:type="paragraph" w:styleId="Heading1">
    <w:name w:val="heading 1"/>
    <w:basedOn w:val="Normal"/>
    <w:next w:val="Normal"/>
    <w:link w:val="Heading1Char"/>
    <w:uiPriority w:val="99"/>
    <w:qFormat/>
    <w:rsid w:val="00A22A0F"/>
    <w:pPr>
      <w:keepNext/>
      <w:numPr>
        <w:numId w:val="2"/>
      </w:numPr>
      <w:tabs>
        <w:tab w:val="clear" w:pos="360"/>
        <w:tab w:val="num" w:pos="567"/>
      </w:tabs>
      <w:ind w:left="567" w:hanging="567"/>
      <w:jc w:val="both"/>
      <w:outlineLvl w:val="0"/>
    </w:pPr>
    <w:rPr>
      <w:b/>
      <w:caps/>
    </w:rPr>
  </w:style>
  <w:style w:type="paragraph" w:styleId="Heading2">
    <w:name w:val="heading 2"/>
    <w:basedOn w:val="Normal"/>
    <w:next w:val="Normal"/>
    <w:link w:val="Heading2Char"/>
    <w:uiPriority w:val="99"/>
    <w:qFormat/>
    <w:rsid w:val="00A22A0F"/>
    <w:pPr>
      <w:keepNext/>
      <w:tabs>
        <w:tab w:val="num" w:pos="567"/>
      </w:tabs>
      <w:ind w:left="567" w:hanging="567"/>
      <w:outlineLvl w:val="1"/>
    </w:pPr>
    <w:rPr>
      <w:b/>
    </w:rPr>
  </w:style>
  <w:style w:type="paragraph" w:styleId="Heading3">
    <w:name w:val="heading 3"/>
    <w:basedOn w:val="Normal"/>
    <w:next w:val="Normal"/>
    <w:link w:val="Heading3Char"/>
    <w:uiPriority w:val="99"/>
    <w:qFormat/>
    <w:rsid w:val="00A22A0F"/>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3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4423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44232"/>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A22A0F"/>
    <w:pPr>
      <w:framePr w:w="7920" w:h="1980" w:hRule="exact" w:hSpace="141" w:wrap="auto" w:hAnchor="page" w:xAlign="center" w:yAlign="bottom"/>
      <w:ind w:left="2880"/>
    </w:pPr>
  </w:style>
  <w:style w:type="paragraph" w:styleId="EnvelopeReturn">
    <w:name w:val="envelope return"/>
    <w:basedOn w:val="Normal"/>
    <w:uiPriority w:val="99"/>
    <w:rsid w:val="00A22A0F"/>
  </w:style>
  <w:style w:type="paragraph" w:styleId="TOC1">
    <w:name w:val="toc 1"/>
    <w:basedOn w:val="Normal"/>
    <w:next w:val="Normal"/>
    <w:autoRedefine/>
    <w:uiPriority w:val="99"/>
    <w:semiHidden/>
    <w:rsid w:val="00A22A0F"/>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A22A0F"/>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A22A0F"/>
    <w:pPr>
      <w:tabs>
        <w:tab w:val="right" w:leader="dot" w:pos="9741"/>
      </w:tabs>
      <w:spacing w:before="40" w:after="40"/>
      <w:ind w:left="1701" w:hanging="567"/>
    </w:pPr>
    <w:rPr>
      <w:i/>
    </w:rPr>
  </w:style>
  <w:style w:type="paragraph" w:styleId="BodyText2">
    <w:name w:val="Body Text 2"/>
    <w:basedOn w:val="Normal"/>
    <w:link w:val="BodyText2Char"/>
    <w:uiPriority w:val="99"/>
    <w:rsid w:val="00A22A0F"/>
    <w:pPr>
      <w:jc w:val="both"/>
    </w:pPr>
    <w:rPr>
      <w:i/>
      <w:sz w:val="22"/>
    </w:rPr>
  </w:style>
  <w:style w:type="character" w:customStyle="1" w:styleId="BodyText2Char">
    <w:name w:val="Body Text 2 Char"/>
    <w:basedOn w:val="DefaultParagraphFont"/>
    <w:link w:val="BodyText2"/>
    <w:uiPriority w:val="99"/>
    <w:semiHidden/>
    <w:rsid w:val="00544232"/>
    <w:rPr>
      <w:sz w:val="24"/>
      <w:szCs w:val="20"/>
      <w:lang w:val="nl-NL" w:eastAsia="nl-NL"/>
    </w:rPr>
  </w:style>
  <w:style w:type="paragraph" w:styleId="ListParagraph">
    <w:name w:val="List Paragraph"/>
    <w:basedOn w:val="Normal"/>
    <w:link w:val="ListParagraphChar"/>
    <w:uiPriority w:val="99"/>
    <w:qFormat/>
    <w:rsid w:val="005D126C"/>
    <w:pPr>
      <w:ind w:left="708"/>
    </w:pPr>
  </w:style>
  <w:style w:type="paragraph" w:customStyle="1" w:styleId="SVVlaamsParlement">
    <w:name w:val="SV Vlaams Parlement"/>
    <w:basedOn w:val="Normal"/>
    <w:uiPriority w:val="99"/>
    <w:rsid w:val="00A22A0F"/>
    <w:pPr>
      <w:jc w:val="both"/>
    </w:pPr>
    <w:rPr>
      <w:b/>
      <w:smallCaps/>
      <w:sz w:val="22"/>
    </w:rPr>
  </w:style>
  <w:style w:type="paragraph" w:customStyle="1" w:styleId="SVTitel">
    <w:name w:val="SV Titel"/>
    <w:basedOn w:val="Normal"/>
    <w:uiPriority w:val="99"/>
    <w:rsid w:val="00A22A0F"/>
    <w:pPr>
      <w:jc w:val="both"/>
    </w:pPr>
    <w:rPr>
      <w:i/>
      <w:sz w:val="22"/>
    </w:rPr>
  </w:style>
  <w:style w:type="paragraph" w:customStyle="1" w:styleId="StandaardSV">
    <w:name w:val="Standaard SV"/>
    <w:basedOn w:val="Normal"/>
    <w:uiPriority w:val="99"/>
    <w:rsid w:val="00A22A0F"/>
    <w:pPr>
      <w:jc w:val="both"/>
    </w:pPr>
    <w:rPr>
      <w:sz w:val="22"/>
    </w:rPr>
  </w:style>
  <w:style w:type="paragraph" w:styleId="BalloonText">
    <w:name w:val="Balloon Text"/>
    <w:basedOn w:val="Normal"/>
    <w:link w:val="BalloonTextChar"/>
    <w:uiPriority w:val="99"/>
    <w:rsid w:val="00E12E1B"/>
    <w:rPr>
      <w:rFonts w:ascii="Tahoma" w:hAnsi="Tahoma"/>
      <w:sz w:val="16"/>
      <w:szCs w:val="16"/>
    </w:rPr>
  </w:style>
  <w:style w:type="character" w:customStyle="1" w:styleId="BalloonTextChar">
    <w:name w:val="Balloon Text Char"/>
    <w:basedOn w:val="DefaultParagraphFont"/>
    <w:link w:val="BalloonText"/>
    <w:uiPriority w:val="99"/>
    <w:locked/>
    <w:rsid w:val="00E12E1B"/>
    <w:rPr>
      <w:rFonts w:ascii="Tahoma" w:hAnsi="Tahoma"/>
      <w:sz w:val="16"/>
      <w:lang w:val="nl-NL" w:eastAsia="nl-NL"/>
    </w:rPr>
  </w:style>
  <w:style w:type="paragraph" w:customStyle="1" w:styleId="PlainText1">
    <w:name w:val="Plain Text1"/>
    <w:basedOn w:val="Normal"/>
    <w:uiPriority w:val="99"/>
    <w:rsid w:val="00B471F3"/>
    <w:rPr>
      <w:rFonts w:ascii="Courier New" w:hAnsi="Courier New"/>
      <w:sz w:val="20"/>
    </w:rPr>
  </w:style>
  <w:style w:type="character" w:styleId="FootnoteReference">
    <w:name w:val="footnote reference"/>
    <w:basedOn w:val="DefaultParagraphFont"/>
    <w:uiPriority w:val="99"/>
    <w:rsid w:val="00B471F3"/>
    <w:rPr>
      <w:rFonts w:cs="Times New Roman"/>
      <w:vertAlign w:val="superscript"/>
    </w:rPr>
  </w:style>
  <w:style w:type="paragraph" w:customStyle="1" w:styleId="Geenafstand1">
    <w:name w:val="Geen afstand1"/>
    <w:uiPriority w:val="99"/>
    <w:rsid w:val="00B471F3"/>
    <w:rPr>
      <w:sz w:val="20"/>
      <w:szCs w:val="20"/>
      <w:lang w:val="nl-NL" w:eastAsia="nl-NL"/>
    </w:rPr>
  </w:style>
  <w:style w:type="paragraph" w:styleId="ListBullet">
    <w:name w:val="List Bullet"/>
    <w:basedOn w:val="BodyText"/>
    <w:uiPriority w:val="99"/>
    <w:rsid w:val="00B471F3"/>
    <w:pPr>
      <w:numPr>
        <w:numId w:val="19"/>
      </w:numPr>
      <w:tabs>
        <w:tab w:val="num" w:pos="495"/>
        <w:tab w:val="num" w:pos="720"/>
      </w:tabs>
      <w:spacing w:after="200" w:line="276" w:lineRule="auto"/>
      <w:ind w:left="357" w:hanging="357"/>
    </w:pPr>
    <w:rPr>
      <w:rFonts w:ascii="Cambria" w:hAnsi="Cambria"/>
      <w:sz w:val="22"/>
      <w:szCs w:val="22"/>
      <w:lang w:val="nl-BE" w:eastAsia="en-US"/>
    </w:rPr>
  </w:style>
  <w:style w:type="paragraph" w:styleId="BodyText">
    <w:name w:val="Body Text"/>
    <w:basedOn w:val="Normal"/>
    <w:link w:val="BodyTextChar"/>
    <w:uiPriority w:val="99"/>
    <w:rsid w:val="00B471F3"/>
    <w:pPr>
      <w:spacing w:after="120"/>
    </w:pPr>
  </w:style>
  <w:style w:type="character" w:customStyle="1" w:styleId="BodyTextChar">
    <w:name w:val="Body Text Char"/>
    <w:basedOn w:val="DefaultParagraphFont"/>
    <w:link w:val="BodyText"/>
    <w:uiPriority w:val="99"/>
    <w:locked/>
    <w:rsid w:val="00B471F3"/>
    <w:rPr>
      <w:sz w:val="24"/>
      <w:lang w:val="nl-NL" w:eastAsia="nl-NL"/>
    </w:rPr>
  </w:style>
  <w:style w:type="paragraph" w:customStyle="1" w:styleId="Default">
    <w:name w:val="Default"/>
    <w:uiPriority w:val="99"/>
    <w:rsid w:val="009F4AA8"/>
    <w:pPr>
      <w:autoSpaceDE w:val="0"/>
      <w:autoSpaceDN w:val="0"/>
      <w:adjustRightInd w:val="0"/>
    </w:pPr>
    <w:rPr>
      <w:rFonts w:ascii="Arial" w:hAnsi="Arial" w:cs="Arial"/>
      <w:color w:val="000000"/>
      <w:sz w:val="24"/>
      <w:szCs w:val="24"/>
      <w:lang w:val="nl-NL" w:eastAsia="nl-NL"/>
    </w:rPr>
  </w:style>
  <w:style w:type="character" w:customStyle="1" w:styleId="A1">
    <w:name w:val="A1"/>
    <w:uiPriority w:val="99"/>
    <w:rsid w:val="00FD51BA"/>
    <w:rPr>
      <w:color w:val="000000"/>
      <w:sz w:val="22"/>
    </w:rPr>
  </w:style>
  <w:style w:type="paragraph" w:styleId="NoSpacing">
    <w:name w:val="No Spacing"/>
    <w:uiPriority w:val="99"/>
    <w:qFormat/>
    <w:rsid w:val="00FD51BA"/>
    <w:rPr>
      <w:rFonts w:ascii="Calibri" w:hAnsi="Calibri"/>
      <w:lang w:eastAsia="en-US"/>
    </w:rPr>
  </w:style>
  <w:style w:type="table" w:styleId="TableGrid">
    <w:name w:val="Table Grid"/>
    <w:basedOn w:val="TableNormal"/>
    <w:uiPriority w:val="99"/>
    <w:rsid w:val="008015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484F"/>
    <w:rPr>
      <w:rFonts w:cs="Times New Roman"/>
      <w:color w:val="0000FF"/>
      <w:u w:val="single"/>
    </w:rPr>
  </w:style>
  <w:style w:type="character" w:customStyle="1" w:styleId="ListParagraphChar">
    <w:name w:val="List Paragraph Char"/>
    <w:link w:val="ListParagraph"/>
    <w:uiPriority w:val="99"/>
    <w:locked/>
    <w:rsid w:val="007A098C"/>
    <w:rPr>
      <w:sz w:val="24"/>
      <w:lang w:val="nl-NL" w:eastAsia="nl-NL"/>
    </w:rPr>
  </w:style>
  <w:style w:type="paragraph" w:styleId="FootnoteText">
    <w:name w:val="footnote text"/>
    <w:basedOn w:val="Normal"/>
    <w:link w:val="FootnoteTextChar"/>
    <w:uiPriority w:val="99"/>
    <w:rsid w:val="00587445"/>
    <w:rPr>
      <w:rFonts w:ascii="Gill Sans Std" w:hAnsi="Gill Sans Std"/>
      <w:sz w:val="20"/>
      <w:lang w:eastAsia="en-US"/>
    </w:rPr>
  </w:style>
  <w:style w:type="character" w:customStyle="1" w:styleId="FootnoteTextChar">
    <w:name w:val="Footnote Text Char"/>
    <w:basedOn w:val="DefaultParagraphFont"/>
    <w:link w:val="FootnoteText"/>
    <w:uiPriority w:val="99"/>
    <w:locked/>
    <w:rsid w:val="00587445"/>
    <w:rPr>
      <w:rFonts w:ascii="Gill Sans Std" w:eastAsia="Times New Roman" w:hAnsi="Gill Sans Std"/>
      <w:lang w:val="nl-NL" w:eastAsia="en-US"/>
    </w:rPr>
  </w:style>
</w:styles>
</file>

<file path=word/webSettings.xml><?xml version="1.0" encoding="utf-8"?>
<w:webSettings xmlns:r="http://schemas.openxmlformats.org/officeDocument/2006/relationships" xmlns:w="http://schemas.openxmlformats.org/wordprocessingml/2006/main">
  <w:divs>
    <w:div w:id="1970892975">
      <w:marLeft w:val="0"/>
      <w:marRight w:val="0"/>
      <w:marTop w:val="0"/>
      <w:marBottom w:val="0"/>
      <w:divBdr>
        <w:top w:val="none" w:sz="0" w:space="0" w:color="auto"/>
        <w:left w:val="none" w:sz="0" w:space="0" w:color="auto"/>
        <w:bottom w:val="none" w:sz="0" w:space="0" w:color="auto"/>
        <w:right w:val="none" w:sz="0" w:space="0" w:color="auto"/>
      </w:divBdr>
    </w:div>
    <w:div w:id="1970892976">
      <w:marLeft w:val="0"/>
      <w:marRight w:val="0"/>
      <w:marTop w:val="0"/>
      <w:marBottom w:val="0"/>
      <w:divBdr>
        <w:top w:val="none" w:sz="0" w:space="0" w:color="auto"/>
        <w:left w:val="none" w:sz="0" w:space="0" w:color="auto"/>
        <w:bottom w:val="none" w:sz="0" w:space="0" w:color="auto"/>
        <w:right w:val="none" w:sz="0" w:space="0" w:color="auto"/>
      </w:divBdr>
    </w:div>
    <w:div w:id="1970892978">
      <w:marLeft w:val="0"/>
      <w:marRight w:val="0"/>
      <w:marTop w:val="0"/>
      <w:marBottom w:val="0"/>
      <w:divBdr>
        <w:top w:val="none" w:sz="0" w:space="0" w:color="auto"/>
        <w:left w:val="none" w:sz="0" w:space="0" w:color="auto"/>
        <w:bottom w:val="none" w:sz="0" w:space="0" w:color="auto"/>
        <w:right w:val="none" w:sz="0" w:space="0" w:color="auto"/>
      </w:divBdr>
    </w:div>
    <w:div w:id="1970892979">
      <w:marLeft w:val="0"/>
      <w:marRight w:val="0"/>
      <w:marTop w:val="0"/>
      <w:marBottom w:val="0"/>
      <w:divBdr>
        <w:top w:val="none" w:sz="0" w:space="0" w:color="auto"/>
        <w:left w:val="none" w:sz="0" w:space="0" w:color="auto"/>
        <w:bottom w:val="none" w:sz="0" w:space="0" w:color="auto"/>
        <w:right w:val="none" w:sz="0" w:space="0" w:color="auto"/>
      </w:divBdr>
      <w:divsChild>
        <w:div w:id="197089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wi-vlaanderen.be/ewi/wat-doen-we/beleidsevaluatie/evaluaties-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2516</Words>
  <Characters>13840</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7</cp:revision>
  <cp:lastPrinted>2012-04-19T09:18:00Z</cp:lastPrinted>
  <dcterms:created xsi:type="dcterms:W3CDTF">2012-05-15T13:17:00Z</dcterms:created>
  <dcterms:modified xsi:type="dcterms:W3CDTF">2012-05-23T14:40:00Z</dcterms:modified>
</cp:coreProperties>
</file>