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940002" w:rsidRPr="00DD4121" w:rsidRDefault="00940002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940002" w:rsidRDefault="00940002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940002" w:rsidRPr="00015BF7" w:rsidRDefault="00940002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940002" w:rsidRPr="00015BF7" w:rsidRDefault="00940002" w:rsidP="000976E9">
      <w:pPr>
        <w:rPr>
          <w:szCs w:val="22"/>
        </w:rPr>
      </w:pPr>
    </w:p>
    <w:p w:rsidR="00940002" w:rsidRPr="00DB41C0" w:rsidRDefault="00940002" w:rsidP="000976E9">
      <w:pPr>
        <w:pStyle w:val="A-Lijn"/>
      </w:pPr>
    </w:p>
    <w:p w:rsidR="00940002" w:rsidRDefault="00940002" w:rsidP="000976E9">
      <w:pPr>
        <w:pStyle w:val="A-Type"/>
        <w:sectPr w:rsidR="00940002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40002" w:rsidRDefault="00940002" w:rsidP="006F7B19">
      <w:pPr>
        <w:pStyle w:val="A-Type"/>
        <w:outlineLvl w:val="0"/>
        <w:sectPr w:rsidR="009400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940002" w:rsidRPr="00326A58" w:rsidRDefault="00940002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378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940002" w:rsidRDefault="00940002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vera jans</w:t>
      </w:r>
      <w:r w:rsidRPr="009D7043">
        <w:rPr>
          <w:rStyle w:val="AntwoordNaamMinisterChar"/>
          <w:sz w:val="22"/>
        </w:rPr>
        <w:fldChar w:fldCharType="end"/>
      </w:r>
    </w:p>
    <w:p w:rsidR="00940002" w:rsidRPr="00015BF7" w:rsidRDefault="00940002" w:rsidP="000976E9">
      <w:pPr>
        <w:rPr>
          <w:szCs w:val="22"/>
        </w:rPr>
      </w:pPr>
    </w:p>
    <w:p w:rsidR="00940002" w:rsidRPr="00DB41C0" w:rsidRDefault="00940002" w:rsidP="000976E9">
      <w:pPr>
        <w:pStyle w:val="A-Lijn"/>
      </w:pPr>
    </w:p>
    <w:p w:rsidR="00940002" w:rsidRPr="00DB41C0" w:rsidRDefault="00940002" w:rsidP="000976E9">
      <w:pPr>
        <w:pStyle w:val="A-Lijn"/>
      </w:pPr>
    </w:p>
    <w:p w:rsidR="00940002" w:rsidRDefault="00940002" w:rsidP="00DB41C0">
      <w:pPr>
        <w:sectPr w:rsidR="00940002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40002" w:rsidRDefault="00940002" w:rsidP="009401A7">
      <w:pPr>
        <w:pStyle w:val="StandaardSV"/>
        <w:numPr>
          <w:ilvl w:val="0"/>
          <w:numId w:val="2"/>
        </w:numPr>
      </w:pPr>
      <w:r>
        <w:t xml:space="preserve">De lijst van de toeristisch-recreatieve </w:t>
      </w:r>
      <w:r w:rsidRPr="00866C54">
        <w:t xml:space="preserve">projecten </w:t>
      </w:r>
      <w:r>
        <w:t>die in 2010 en 2011 werden betoelaagd gaat als bijlage 1, die uit drie tabbladen bestaat: projecten 2010, projecten 2011 en projecten WOI 2010.</w:t>
      </w:r>
    </w:p>
    <w:p w:rsidR="00940002" w:rsidRPr="00866C54" w:rsidRDefault="00940002" w:rsidP="009401A7">
      <w:pPr>
        <w:pStyle w:val="StandaardSV"/>
        <w:ind w:left="360"/>
      </w:pPr>
    </w:p>
    <w:p w:rsidR="00940002" w:rsidRDefault="00940002" w:rsidP="007F4EAA">
      <w:pPr>
        <w:pStyle w:val="StandaardSV"/>
        <w:numPr>
          <w:ilvl w:val="0"/>
          <w:numId w:val="2"/>
        </w:numPr>
      </w:pPr>
      <w:r>
        <w:t>Vanaf 2012 worden subsidies voor toeristisch-recreatieve projecten door impulsprogramma’s gestroomlijnd. In de oproep van 2012 zijn vijf impulsprogramma’s onderscheiden: drie op basis van geografische indeling: Kust, Vlaamse Kunststeden &amp; Brussel, Vlaamse regio’s en 2 thematische oproepen: WO I-evenementen en Wielererfgoed &amp; de Ronde 100. De beoordeling van de individuele subsidieaanvragen is nog in volle gang.</w:t>
      </w:r>
      <w:r w:rsidRPr="007F4EAA">
        <w:t xml:space="preserve"> Van zodra de beoordelingsprocedure is afgerond, maakt Toerisme Vlaanderen de resultaten </w:t>
      </w:r>
      <w:r>
        <w:t>van</w:t>
      </w:r>
      <w:r w:rsidRPr="007F4EAA">
        <w:t xml:space="preserve"> de ingediende projecten meer in detail bekend.</w:t>
      </w:r>
      <w:r>
        <w:t xml:space="preserve"> Het aantal ingediende dossiers en de totale gevraagde subsidie per impulsprogramma ziet er als volgt uit (ingediende dossiers op 16/02/2012):</w:t>
      </w:r>
    </w:p>
    <w:p w:rsidR="00940002" w:rsidRDefault="00940002" w:rsidP="007F4EAA">
      <w:pPr>
        <w:pStyle w:val="StandaardSV"/>
        <w:ind w:left="360"/>
      </w:pPr>
    </w:p>
    <w:tbl>
      <w:tblPr>
        <w:tblW w:w="8646" w:type="dxa"/>
        <w:tblInd w:w="534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3369"/>
        <w:gridCol w:w="2551"/>
        <w:gridCol w:w="2726"/>
      </w:tblGrid>
      <w:tr w:rsidR="00940002" w:rsidRPr="007F4EAA" w:rsidTr="0093739C">
        <w:tc>
          <w:tcPr>
            <w:tcW w:w="3369" w:type="dxa"/>
            <w:tcBorders>
              <w:top w:val="single" w:sz="12" w:space="0" w:color="000000"/>
              <w:bottom w:val="single" w:sz="12" w:space="0" w:color="000000"/>
            </w:tcBorders>
          </w:tcPr>
          <w:p w:rsidR="00940002" w:rsidRPr="0093739C" w:rsidRDefault="00940002" w:rsidP="00D032DB">
            <w:pPr>
              <w:pStyle w:val="StandaardSV"/>
              <w:rPr>
                <w:rStyle w:val="Strong"/>
                <w:b w:val="0"/>
                <w:bCs w:val="0"/>
              </w:rPr>
            </w:pPr>
            <w:r w:rsidRPr="0093739C">
              <w:rPr>
                <w:rStyle w:val="Strong"/>
                <w:b w:val="0"/>
                <w:bCs w:val="0"/>
              </w:rPr>
              <w:t>Impulsprogramma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940002" w:rsidRPr="0093739C" w:rsidRDefault="00940002" w:rsidP="0093739C">
            <w:pPr>
              <w:pStyle w:val="StandaardSV"/>
              <w:jc w:val="center"/>
              <w:rPr>
                <w:rStyle w:val="Strong"/>
                <w:b w:val="0"/>
                <w:bCs w:val="0"/>
              </w:rPr>
            </w:pPr>
            <w:r w:rsidRPr="0093739C">
              <w:rPr>
                <w:rStyle w:val="Strong"/>
                <w:b w:val="0"/>
                <w:bCs w:val="0"/>
              </w:rPr>
              <w:t>Aantal aanvragen</w:t>
            </w:r>
          </w:p>
        </w:tc>
        <w:tc>
          <w:tcPr>
            <w:tcW w:w="2726" w:type="dxa"/>
            <w:tcBorders>
              <w:top w:val="single" w:sz="12" w:space="0" w:color="000000"/>
              <w:bottom w:val="single" w:sz="12" w:space="0" w:color="000000"/>
            </w:tcBorders>
          </w:tcPr>
          <w:p w:rsidR="00940002" w:rsidRPr="0093739C" w:rsidRDefault="00940002" w:rsidP="0093739C">
            <w:pPr>
              <w:pStyle w:val="StandaardSV"/>
              <w:jc w:val="center"/>
              <w:rPr>
                <w:rStyle w:val="Strong"/>
                <w:b w:val="0"/>
                <w:bCs w:val="0"/>
              </w:rPr>
            </w:pPr>
            <w:r w:rsidRPr="0093739C">
              <w:rPr>
                <w:rStyle w:val="Strong"/>
                <w:b w:val="0"/>
                <w:bCs w:val="0"/>
              </w:rPr>
              <w:t>Totaal gevraagde subsidie</w:t>
            </w:r>
          </w:p>
        </w:tc>
      </w:tr>
      <w:tr w:rsidR="00940002" w:rsidRPr="007F4EAA" w:rsidTr="0093739C">
        <w:tc>
          <w:tcPr>
            <w:tcW w:w="3369" w:type="dxa"/>
          </w:tcPr>
          <w:p w:rsidR="00940002" w:rsidRPr="007F4EAA" w:rsidRDefault="00940002" w:rsidP="00D032DB">
            <w:pPr>
              <w:pStyle w:val="StandaardSV"/>
            </w:pPr>
            <w:r w:rsidRPr="007F4EAA">
              <w:t>Vlaamse regio’s</w:t>
            </w:r>
          </w:p>
        </w:tc>
        <w:tc>
          <w:tcPr>
            <w:tcW w:w="2551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34</w:t>
            </w:r>
          </w:p>
        </w:tc>
        <w:tc>
          <w:tcPr>
            <w:tcW w:w="2726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5 145 435 euro</w:t>
            </w:r>
          </w:p>
        </w:tc>
      </w:tr>
      <w:tr w:rsidR="00940002" w:rsidRPr="007F4EAA" w:rsidTr="0093739C">
        <w:tc>
          <w:tcPr>
            <w:tcW w:w="3369" w:type="dxa"/>
          </w:tcPr>
          <w:p w:rsidR="00940002" w:rsidRPr="007F4EAA" w:rsidRDefault="00940002" w:rsidP="00D032DB">
            <w:pPr>
              <w:pStyle w:val="StandaardSV"/>
            </w:pPr>
            <w:r w:rsidRPr="007F4EAA">
              <w:t>Vlaamse kunststeden – Brussel</w:t>
            </w:r>
          </w:p>
        </w:tc>
        <w:tc>
          <w:tcPr>
            <w:tcW w:w="2551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27</w:t>
            </w:r>
          </w:p>
        </w:tc>
        <w:tc>
          <w:tcPr>
            <w:tcW w:w="2726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4 683 730 euro</w:t>
            </w:r>
          </w:p>
        </w:tc>
      </w:tr>
      <w:tr w:rsidR="00940002" w:rsidRPr="007F4EAA" w:rsidTr="0093739C">
        <w:tc>
          <w:tcPr>
            <w:tcW w:w="3369" w:type="dxa"/>
          </w:tcPr>
          <w:p w:rsidR="00940002" w:rsidRPr="007F4EAA" w:rsidRDefault="00940002" w:rsidP="00D032DB">
            <w:pPr>
              <w:pStyle w:val="StandaardSV"/>
            </w:pPr>
            <w:r w:rsidRPr="007F4EAA">
              <w:t>Vlaamse kust</w:t>
            </w:r>
          </w:p>
        </w:tc>
        <w:tc>
          <w:tcPr>
            <w:tcW w:w="2551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20</w:t>
            </w:r>
          </w:p>
        </w:tc>
        <w:tc>
          <w:tcPr>
            <w:tcW w:w="2726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3 736 570 euro</w:t>
            </w:r>
          </w:p>
        </w:tc>
      </w:tr>
      <w:tr w:rsidR="00940002" w:rsidRPr="007F4EAA" w:rsidTr="0093739C">
        <w:tc>
          <w:tcPr>
            <w:tcW w:w="3369" w:type="dxa"/>
          </w:tcPr>
          <w:p w:rsidR="00940002" w:rsidRPr="007F4EAA" w:rsidRDefault="00940002" w:rsidP="00D032DB">
            <w:pPr>
              <w:pStyle w:val="StandaardSV"/>
            </w:pPr>
            <w:r w:rsidRPr="007F4EAA">
              <w:t>WO I-evenementen 2014-2015</w:t>
            </w:r>
          </w:p>
        </w:tc>
        <w:tc>
          <w:tcPr>
            <w:tcW w:w="2551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75</w:t>
            </w:r>
          </w:p>
        </w:tc>
        <w:tc>
          <w:tcPr>
            <w:tcW w:w="2726" w:type="dxa"/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19 006 843 euro</w:t>
            </w:r>
          </w:p>
        </w:tc>
      </w:tr>
      <w:tr w:rsidR="00940002" w:rsidRPr="007F4EAA" w:rsidTr="0093739C">
        <w:tc>
          <w:tcPr>
            <w:tcW w:w="3369" w:type="dxa"/>
            <w:tcBorders>
              <w:bottom w:val="single" w:sz="12" w:space="0" w:color="000000"/>
            </w:tcBorders>
          </w:tcPr>
          <w:p w:rsidR="00940002" w:rsidRPr="007F4EAA" w:rsidRDefault="00940002" w:rsidP="00D032DB">
            <w:pPr>
              <w:pStyle w:val="StandaardSV"/>
            </w:pPr>
            <w:r w:rsidRPr="007F4EAA">
              <w:t>Wielererfgoed &amp; de Ronde 100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30</w:t>
            </w:r>
          </w:p>
        </w:tc>
        <w:tc>
          <w:tcPr>
            <w:tcW w:w="2726" w:type="dxa"/>
            <w:tcBorders>
              <w:bottom w:val="single" w:sz="12" w:space="0" w:color="000000"/>
            </w:tcBorders>
          </w:tcPr>
          <w:p w:rsidR="00940002" w:rsidRPr="007F4EAA" w:rsidRDefault="00940002" w:rsidP="0093739C">
            <w:pPr>
              <w:pStyle w:val="StandaardSV"/>
              <w:jc w:val="center"/>
            </w:pPr>
            <w:r w:rsidRPr="007F4EAA">
              <w:t>5 539 033 euro</w:t>
            </w:r>
          </w:p>
        </w:tc>
      </w:tr>
    </w:tbl>
    <w:p w:rsidR="00940002" w:rsidRDefault="00940002" w:rsidP="007F4EAA">
      <w:pPr>
        <w:pStyle w:val="StandaardSV"/>
        <w:ind w:left="360"/>
      </w:pPr>
    </w:p>
    <w:p w:rsidR="00940002" w:rsidRDefault="00940002" w:rsidP="00412950">
      <w:pPr>
        <w:pStyle w:val="StandaardSV"/>
        <w:numPr>
          <w:ilvl w:val="0"/>
          <w:numId w:val="2"/>
        </w:numPr>
      </w:pPr>
      <w:r>
        <w:t>B</w:t>
      </w:r>
      <w:r w:rsidRPr="00620BC9">
        <w:t>ijlage</w:t>
      </w:r>
      <w:r>
        <w:t xml:space="preserve"> 2 geeft een</w:t>
      </w:r>
      <w:r w:rsidRPr="00620BC9">
        <w:t xml:space="preserve"> overzicht </w:t>
      </w:r>
      <w:r>
        <w:t xml:space="preserve">van de </w:t>
      </w:r>
      <w:r w:rsidRPr="00620BC9">
        <w:t>projecten</w:t>
      </w:r>
      <w:r>
        <w:t xml:space="preserve"> in 2010 en 2011 die niet in aanmerking kwamen voor betoelaging. De bijlage bestaat uit drie tabbladen: projecten 2010, projecten 2011 en projecten WOI 2010.</w:t>
      </w:r>
    </w:p>
    <w:p w:rsidR="00940002" w:rsidRDefault="00940002" w:rsidP="006B0AD0">
      <w:pPr>
        <w:pStyle w:val="StandaardSV"/>
        <w:ind w:left="360"/>
      </w:pPr>
    </w:p>
    <w:p w:rsidR="00940002" w:rsidRDefault="00940002" w:rsidP="006B0AD0">
      <w:pPr>
        <w:pStyle w:val="StandaardSV"/>
        <w:numPr>
          <w:ilvl w:val="0"/>
          <w:numId w:val="2"/>
        </w:numPr>
      </w:pPr>
      <w:r w:rsidRPr="00620BC9">
        <w:t>Eind juni</w:t>
      </w:r>
      <w:r>
        <w:t xml:space="preserve"> 2012</w:t>
      </w:r>
      <w:r w:rsidRPr="00620BC9">
        <w:t xml:space="preserve">, begin juli 2012 brengt </w:t>
      </w:r>
      <w:r>
        <w:t>Toerisme</w:t>
      </w:r>
      <w:r w:rsidRPr="00620BC9">
        <w:t xml:space="preserve"> </w:t>
      </w:r>
      <w:r>
        <w:t xml:space="preserve">Vlaanderen </w:t>
      </w:r>
      <w:r w:rsidRPr="00620BC9">
        <w:t xml:space="preserve">de aanvragers </w:t>
      </w:r>
      <w:r>
        <w:t>in kennis van zijn beslissing</w:t>
      </w:r>
      <w:r w:rsidRPr="00620BC9">
        <w:t>.</w:t>
      </w:r>
    </w:p>
    <w:p w:rsidR="00940002" w:rsidRDefault="00940002" w:rsidP="000D0340">
      <w:pPr>
        <w:pStyle w:val="StandaardSV"/>
        <w:rPr>
          <w:szCs w:val="22"/>
        </w:rPr>
      </w:pPr>
      <w:bookmarkStart w:id="6" w:name="_GoBack"/>
      <w:bookmarkEnd w:id="6"/>
    </w:p>
    <w:p w:rsidR="00940002" w:rsidRDefault="00940002" w:rsidP="000D0340">
      <w:pPr>
        <w:pStyle w:val="StandaardSV"/>
        <w:rPr>
          <w:szCs w:val="22"/>
        </w:rPr>
      </w:pPr>
    </w:p>
    <w:p w:rsidR="00940002" w:rsidRPr="00FD5BEF" w:rsidRDefault="00940002" w:rsidP="000D0340">
      <w:pPr>
        <w:pStyle w:val="StandaardSV"/>
        <w:rPr>
          <w:rFonts w:ascii="Times New Roman Vet" w:hAnsi="Times New Roman Vet"/>
          <w:b/>
          <w:smallCaps/>
          <w:color w:val="FF0000"/>
          <w:szCs w:val="22"/>
        </w:rPr>
      </w:pPr>
      <w:r>
        <w:rPr>
          <w:rFonts w:ascii="Times New Roman Vet" w:hAnsi="Times New Roman Vet"/>
          <w:b/>
          <w:smallCaps/>
          <w:color w:val="FF0000"/>
          <w:szCs w:val="22"/>
        </w:rPr>
        <w:t>bijlagen</w:t>
      </w:r>
    </w:p>
    <w:p w:rsidR="00940002" w:rsidRDefault="00940002" w:rsidP="000D0340">
      <w:pPr>
        <w:pStyle w:val="StandaardSV"/>
        <w:rPr>
          <w:szCs w:val="22"/>
        </w:rPr>
      </w:pPr>
    </w:p>
    <w:p w:rsidR="00940002" w:rsidRDefault="00940002" w:rsidP="00FD5BEF">
      <w:pPr>
        <w:pStyle w:val="StandaardSV"/>
        <w:numPr>
          <w:ilvl w:val="0"/>
          <w:numId w:val="5"/>
        </w:numPr>
        <w:rPr>
          <w:szCs w:val="22"/>
        </w:rPr>
      </w:pPr>
      <w:r>
        <w:rPr>
          <w:szCs w:val="22"/>
        </w:rPr>
        <w:t>Lijst betoelaagde toeristisch-recreatieve projecten 2010-2011</w:t>
      </w:r>
    </w:p>
    <w:p w:rsidR="00940002" w:rsidRPr="00645EDD" w:rsidRDefault="00940002" w:rsidP="00FD5BEF">
      <w:pPr>
        <w:pStyle w:val="StandaardSV"/>
        <w:numPr>
          <w:ilvl w:val="0"/>
          <w:numId w:val="5"/>
        </w:numPr>
        <w:rPr>
          <w:szCs w:val="22"/>
        </w:rPr>
      </w:pPr>
      <w:r>
        <w:rPr>
          <w:szCs w:val="22"/>
        </w:rPr>
        <w:t>Overzicht niet-betoelaagde projecten 2010-2011</w:t>
      </w:r>
    </w:p>
    <w:sectPr w:rsidR="00940002" w:rsidRPr="00645E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02" w:rsidRDefault="00940002">
      <w:r>
        <w:separator/>
      </w:r>
    </w:p>
  </w:endnote>
  <w:endnote w:type="continuationSeparator" w:id="0">
    <w:p w:rsidR="00940002" w:rsidRDefault="0094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02" w:rsidRDefault="00940002">
      <w:r>
        <w:separator/>
      </w:r>
    </w:p>
  </w:footnote>
  <w:footnote w:type="continuationSeparator" w:id="0">
    <w:p w:rsidR="00940002" w:rsidRDefault="00940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8C848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84075"/>
    <w:multiLevelType w:val="hybridMultilevel"/>
    <w:tmpl w:val="8988BF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31C40"/>
    <w:rsid w:val="000403BF"/>
    <w:rsid w:val="00046095"/>
    <w:rsid w:val="000526E0"/>
    <w:rsid w:val="00054C7F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D0340"/>
    <w:rsid w:val="000E2A2E"/>
    <w:rsid w:val="000F0ED4"/>
    <w:rsid w:val="000F176C"/>
    <w:rsid w:val="000F3532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039"/>
    <w:rsid w:val="001537E8"/>
    <w:rsid w:val="00154387"/>
    <w:rsid w:val="00165934"/>
    <w:rsid w:val="0018318D"/>
    <w:rsid w:val="0019567F"/>
    <w:rsid w:val="001B61ED"/>
    <w:rsid w:val="001B76AC"/>
    <w:rsid w:val="001C55D2"/>
    <w:rsid w:val="001E5A78"/>
    <w:rsid w:val="001E63BB"/>
    <w:rsid w:val="001E6B0E"/>
    <w:rsid w:val="00205DE3"/>
    <w:rsid w:val="00210C07"/>
    <w:rsid w:val="00213B03"/>
    <w:rsid w:val="00224495"/>
    <w:rsid w:val="00225012"/>
    <w:rsid w:val="00227023"/>
    <w:rsid w:val="002279CE"/>
    <w:rsid w:val="00230885"/>
    <w:rsid w:val="002527B0"/>
    <w:rsid w:val="00265FCA"/>
    <w:rsid w:val="00266E3B"/>
    <w:rsid w:val="00285C81"/>
    <w:rsid w:val="0029723F"/>
    <w:rsid w:val="002C7413"/>
    <w:rsid w:val="002C78BA"/>
    <w:rsid w:val="002D0961"/>
    <w:rsid w:val="002E334A"/>
    <w:rsid w:val="002E396C"/>
    <w:rsid w:val="002F35C9"/>
    <w:rsid w:val="002F38C6"/>
    <w:rsid w:val="002F46A1"/>
    <w:rsid w:val="002F7E14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3BEA"/>
    <w:rsid w:val="00390603"/>
    <w:rsid w:val="00391972"/>
    <w:rsid w:val="003B5469"/>
    <w:rsid w:val="003C3ED2"/>
    <w:rsid w:val="003C6A43"/>
    <w:rsid w:val="003E0094"/>
    <w:rsid w:val="003E6EAA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53B7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8CA"/>
    <w:rsid w:val="005E42E3"/>
    <w:rsid w:val="00601F50"/>
    <w:rsid w:val="00613D17"/>
    <w:rsid w:val="00613E21"/>
    <w:rsid w:val="00620BC9"/>
    <w:rsid w:val="00637F78"/>
    <w:rsid w:val="00642AC4"/>
    <w:rsid w:val="00645EDD"/>
    <w:rsid w:val="0064605E"/>
    <w:rsid w:val="006548DD"/>
    <w:rsid w:val="00671767"/>
    <w:rsid w:val="0067189C"/>
    <w:rsid w:val="00682F3A"/>
    <w:rsid w:val="00692B1C"/>
    <w:rsid w:val="006B0AD0"/>
    <w:rsid w:val="006C0DF4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7995"/>
    <w:rsid w:val="0071248C"/>
    <w:rsid w:val="007252C7"/>
    <w:rsid w:val="00734A85"/>
    <w:rsid w:val="007365DA"/>
    <w:rsid w:val="00742D4F"/>
    <w:rsid w:val="00773138"/>
    <w:rsid w:val="00775CF3"/>
    <w:rsid w:val="00787592"/>
    <w:rsid w:val="00793D26"/>
    <w:rsid w:val="007C2C73"/>
    <w:rsid w:val="007C3014"/>
    <w:rsid w:val="007D29F6"/>
    <w:rsid w:val="007D3002"/>
    <w:rsid w:val="007D4E00"/>
    <w:rsid w:val="007E16C6"/>
    <w:rsid w:val="007F4EAA"/>
    <w:rsid w:val="007F5BC8"/>
    <w:rsid w:val="0080548B"/>
    <w:rsid w:val="00825753"/>
    <w:rsid w:val="008265B2"/>
    <w:rsid w:val="008346AE"/>
    <w:rsid w:val="0085340E"/>
    <w:rsid w:val="0086086D"/>
    <w:rsid w:val="00861C81"/>
    <w:rsid w:val="00864E11"/>
    <w:rsid w:val="00866C54"/>
    <w:rsid w:val="00872F56"/>
    <w:rsid w:val="0088458A"/>
    <w:rsid w:val="00894185"/>
    <w:rsid w:val="00894770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168A"/>
    <w:rsid w:val="00925F2F"/>
    <w:rsid w:val="00932A34"/>
    <w:rsid w:val="0093344F"/>
    <w:rsid w:val="009347E0"/>
    <w:rsid w:val="00936565"/>
    <w:rsid w:val="0093739C"/>
    <w:rsid w:val="00940002"/>
    <w:rsid w:val="009401A7"/>
    <w:rsid w:val="00945A8E"/>
    <w:rsid w:val="00946291"/>
    <w:rsid w:val="009953C6"/>
    <w:rsid w:val="00996ECB"/>
    <w:rsid w:val="009A2A32"/>
    <w:rsid w:val="009A2FDC"/>
    <w:rsid w:val="009A4EF2"/>
    <w:rsid w:val="009B3E6F"/>
    <w:rsid w:val="009B6A44"/>
    <w:rsid w:val="009C439D"/>
    <w:rsid w:val="009C7A54"/>
    <w:rsid w:val="009D7043"/>
    <w:rsid w:val="009D7369"/>
    <w:rsid w:val="00A07AE6"/>
    <w:rsid w:val="00A135C1"/>
    <w:rsid w:val="00A25C2F"/>
    <w:rsid w:val="00A27E88"/>
    <w:rsid w:val="00A361CF"/>
    <w:rsid w:val="00A41BCA"/>
    <w:rsid w:val="00A470F3"/>
    <w:rsid w:val="00A479FD"/>
    <w:rsid w:val="00A73D40"/>
    <w:rsid w:val="00A76A4C"/>
    <w:rsid w:val="00A807D6"/>
    <w:rsid w:val="00A91BB3"/>
    <w:rsid w:val="00AA1483"/>
    <w:rsid w:val="00AB46B8"/>
    <w:rsid w:val="00AC484C"/>
    <w:rsid w:val="00AD477F"/>
    <w:rsid w:val="00AD7A5B"/>
    <w:rsid w:val="00AF2D67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0D4F"/>
    <w:rsid w:val="00BA26D9"/>
    <w:rsid w:val="00BA76D6"/>
    <w:rsid w:val="00BB3ADD"/>
    <w:rsid w:val="00BD6F25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677"/>
    <w:rsid w:val="00C535FE"/>
    <w:rsid w:val="00C55B7E"/>
    <w:rsid w:val="00C61F64"/>
    <w:rsid w:val="00C65734"/>
    <w:rsid w:val="00C65A46"/>
    <w:rsid w:val="00C67261"/>
    <w:rsid w:val="00C70932"/>
    <w:rsid w:val="00C712A2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032DB"/>
    <w:rsid w:val="00D23853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3C98"/>
    <w:rsid w:val="00DB41C0"/>
    <w:rsid w:val="00DC4DB6"/>
    <w:rsid w:val="00DC627B"/>
    <w:rsid w:val="00DD092F"/>
    <w:rsid w:val="00DD2474"/>
    <w:rsid w:val="00DD350E"/>
    <w:rsid w:val="00DD4121"/>
    <w:rsid w:val="00DE2E65"/>
    <w:rsid w:val="00DF4E20"/>
    <w:rsid w:val="00DF7000"/>
    <w:rsid w:val="00DF775C"/>
    <w:rsid w:val="00E12C7C"/>
    <w:rsid w:val="00E24FEB"/>
    <w:rsid w:val="00E305F4"/>
    <w:rsid w:val="00E31F4D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5E92"/>
    <w:rsid w:val="00F23443"/>
    <w:rsid w:val="00F24D7F"/>
    <w:rsid w:val="00F257E9"/>
    <w:rsid w:val="00F259BA"/>
    <w:rsid w:val="00F40A31"/>
    <w:rsid w:val="00F410BE"/>
    <w:rsid w:val="00F43CFD"/>
    <w:rsid w:val="00F5760D"/>
    <w:rsid w:val="00F60320"/>
    <w:rsid w:val="00F8193A"/>
    <w:rsid w:val="00F90996"/>
    <w:rsid w:val="00FA29D6"/>
    <w:rsid w:val="00FA3510"/>
    <w:rsid w:val="00FB37FA"/>
    <w:rsid w:val="00FC1A38"/>
    <w:rsid w:val="00FD5BEF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3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83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83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83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830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30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830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3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stNumber2">
    <w:name w:val="List Number 2"/>
    <w:basedOn w:val="Normal"/>
    <w:uiPriority w:val="99"/>
    <w:rsid w:val="000403BF"/>
    <w:pPr>
      <w:numPr>
        <w:numId w:val="4"/>
      </w:numPr>
    </w:pPr>
    <w:rPr>
      <w:sz w:val="24"/>
      <w:szCs w:val="20"/>
    </w:rPr>
  </w:style>
  <w:style w:type="table" w:styleId="TableList3">
    <w:name w:val="Table List 3"/>
    <w:basedOn w:val="TableNormal"/>
    <w:uiPriority w:val="99"/>
    <w:rsid w:val="007F4EA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294</Words>
  <Characters>1620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6</cp:revision>
  <cp:lastPrinted>2012-04-06T10:49:00Z</cp:lastPrinted>
  <dcterms:created xsi:type="dcterms:W3CDTF">2012-05-04T09:19:00Z</dcterms:created>
  <dcterms:modified xsi:type="dcterms:W3CDTF">2012-05-14T13:36:00Z</dcterms:modified>
</cp:coreProperties>
</file>