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D1E79" w:rsidRPr="00B31397" w:rsidRDefault="003D1E79" w:rsidP="0078691E">
      <w:pPr>
        <w:spacing w:after="0" w:line="240" w:lineRule="auto"/>
        <w:rPr>
          <w:rFonts w:ascii="Times New Roman" w:hAnsi="Times New Roman"/>
          <w:b/>
          <w:smallCaps/>
        </w:rPr>
      </w:pPr>
      <w:r w:rsidRPr="00B31397">
        <w:rPr>
          <w:rFonts w:ascii="Times New Roman" w:hAnsi="Times New Roman"/>
          <w:b/>
          <w:smallCaps/>
        </w:rPr>
        <w:fldChar w:fldCharType="begin">
          <w:ffData>
            <w:name w:val="Text1"/>
            <w:enabled/>
            <w:calcOnExit w:val="0"/>
            <w:textInput>
              <w:default w:val="freya van den bossche"/>
            </w:textInput>
          </w:ffData>
        </w:fldChar>
      </w:r>
      <w:r w:rsidRPr="00B31397">
        <w:rPr>
          <w:rFonts w:ascii="Times New Roman" w:hAnsi="Times New Roman"/>
          <w:b/>
          <w:smallCaps/>
        </w:rPr>
        <w:instrText xml:space="preserve"> FORMTEXT </w:instrText>
      </w:r>
      <w:r w:rsidRPr="00B31397">
        <w:rPr>
          <w:rFonts w:ascii="Times New Roman" w:hAnsi="Times New Roman"/>
          <w:b/>
          <w:smallCaps/>
        </w:rPr>
      </w:r>
      <w:r w:rsidRPr="00B31397">
        <w:rPr>
          <w:rFonts w:ascii="Times New Roman" w:hAnsi="Times New Roman"/>
          <w:b/>
          <w:smallCaps/>
        </w:rPr>
        <w:fldChar w:fldCharType="separate"/>
      </w:r>
      <w:r w:rsidRPr="00B31397">
        <w:rPr>
          <w:rFonts w:ascii="Times New Roman" w:hAnsi="Times New Roman"/>
          <w:b/>
          <w:smallCaps/>
          <w:noProof/>
        </w:rPr>
        <w:t>freya van den bossche</w:t>
      </w:r>
      <w:r w:rsidRPr="00B31397">
        <w:rPr>
          <w:rFonts w:ascii="Times New Roman" w:hAnsi="Times New Roman"/>
          <w:b/>
          <w:smallCaps/>
        </w:rPr>
        <w:fldChar w:fldCharType="end"/>
      </w:r>
      <w:bookmarkEnd w:id="0"/>
    </w:p>
    <w:bookmarkStart w:id="1" w:name="Text2"/>
    <w:p w:rsidR="003D1E79" w:rsidRPr="00B31397" w:rsidRDefault="003D1E79" w:rsidP="0078691E">
      <w:pPr>
        <w:spacing w:after="0" w:line="240" w:lineRule="auto"/>
        <w:rPr>
          <w:rFonts w:ascii="Times New Roman" w:hAnsi="Times New Roman"/>
          <w:smallCaps/>
        </w:rPr>
      </w:pPr>
      <w:r w:rsidRPr="00B31397">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B31397">
        <w:rPr>
          <w:rFonts w:ascii="Times New Roman" w:hAnsi="Times New Roman"/>
          <w:smallCaps/>
        </w:rPr>
        <w:instrText xml:space="preserve"> FORMTEXT </w:instrText>
      </w:r>
      <w:r w:rsidRPr="00B31397">
        <w:rPr>
          <w:rFonts w:ascii="Times New Roman" w:hAnsi="Times New Roman"/>
          <w:smallCaps/>
        </w:rPr>
      </w:r>
      <w:r w:rsidRPr="00B31397">
        <w:rPr>
          <w:rFonts w:ascii="Times New Roman" w:hAnsi="Times New Roman"/>
          <w:smallCaps/>
        </w:rPr>
        <w:fldChar w:fldCharType="separate"/>
      </w:r>
      <w:r w:rsidRPr="00B31397">
        <w:rPr>
          <w:rFonts w:ascii="Times New Roman" w:hAnsi="Times New Roman"/>
          <w:smallCaps/>
          <w:noProof/>
        </w:rPr>
        <w:t>vlaams minister van energie, wonen, steden en sociale economie</w:t>
      </w:r>
      <w:r w:rsidRPr="00B31397">
        <w:rPr>
          <w:rFonts w:ascii="Times New Roman" w:hAnsi="Times New Roman"/>
          <w:smallCaps/>
        </w:rPr>
        <w:fldChar w:fldCharType="end"/>
      </w:r>
      <w:bookmarkEnd w:id="1"/>
    </w:p>
    <w:p w:rsidR="003D1E79" w:rsidRPr="00B31397" w:rsidRDefault="003D1E79" w:rsidP="00B31397">
      <w:pPr>
        <w:pBdr>
          <w:bottom w:val="single" w:sz="4" w:space="1" w:color="auto"/>
        </w:pBdr>
        <w:spacing w:after="0" w:line="240" w:lineRule="auto"/>
        <w:rPr>
          <w:rFonts w:ascii="Times New Roman" w:hAnsi="Times New Roman"/>
          <w:smallCaps/>
        </w:rPr>
      </w:pPr>
    </w:p>
    <w:p w:rsidR="003D1E79" w:rsidRPr="00B31397" w:rsidRDefault="003D1E79" w:rsidP="0078691E">
      <w:pPr>
        <w:spacing w:after="0" w:line="240" w:lineRule="auto"/>
        <w:rPr>
          <w:rFonts w:ascii="Times New Roman" w:hAnsi="Times New Roman"/>
          <w:smallCaps/>
        </w:rPr>
      </w:pPr>
    </w:p>
    <w:bookmarkStart w:id="2" w:name="Text3"/>
    <w:p w:rsidR="003D1E79" w:rsidRPr="00B31397" w:rsidRDefault="003D1E79" w:rsidP="0078691E">
      <w:pPr>
        <w:spacing w:after="0" w:line="240" w:lineRule="auto"/>
        <w:rPr>
          <w:rFonts w:ascii="Times New Roman" w:hAnsi="Times New Roman"/>
          <w:b/>
          <w:smallCaps/>
        </w:rPr>
      </w:pPr>
      <w:r w:rsidRPr="00B31397">
        <w:rPr>
          <w:rFonts w:ascii="Times New Roman" w:hAnsi="Times New Roman"/>
          <w:b/>
          <w:smallCaps/>
        </w:rPr>
        <w:fldChar w:fldCharType="begin">
          <w:ffData>
            <w:name w:val="Text3"/>
            <w:enabled/>
            <w:calcOnExit w:val="0"/>
            <w:textInput/>
          </w:ffData>
        </w:fldChar>
      </w:r>
      <w:r w:rsidRPr="00B31397">
        <w:rPr>
          <w:rFonts w:ascii="Times New Roman" w:hAnsi="Times New Roman"/>
          <w:b/>
          <w:smallCaps/>
        </w:rPr>
        <w:instrText xml:space="preserve"> FORMTEXT </w:instrText>
      </w:r>
      <w:r w:rsidRPr="00B31397">
        <w:rPr>
          <w:rFonts w:ascii="Times New Roman" w:hAnsi="Times New Roman"/>
          <w:b/>
          <w:smallCaps/>
        </w:rPr>
      </w:r>
      <w:r w:rsidRPr="00B31397">
        <w:rPr>
          <w:rFonts w:ascii="Times New Roman" w:hAnsi="Times New Roman"/>
          <w:b/>
          <w:smallCaps/>
        </w:rPr>
        <w:fldChar w:fldCharType="separate"/>
      </w:r>
      <w:r w:rsidRPr="00B31397">
        <w:rPr>
          <w:rFonts w:ascii="Times New Roman" w:hAnsi="Times New Roman"/>
          <w:b/>
          <w:smallCaps/>
          <w:noProof/>
        </w:rPr>
        <w:t>antwoord</w:t>
      </w:r>
      <w:r w:rsidRPr="00B31397">
        <w:rPr>
          <w:rFonts w:ascii="Times New Roman" w:hAnsi="Times New Roman"/>
          <w:b/>
          <w:smallCaps/>
        </w:rPr>
        <w:fldChar w:fldCharType="end"/>
      </w:r>
      <w:bookmarkEnd w:id="2"/>
    </w:p>
    <w:p w:rsidR="003D1E79" w:rsidRPr="00B31397" w:rsidRDefault="003D1E79" w:rsidP="0078691E">
      <w:pPr>
        <w:spacing w:after="0" w:line="240" w:lineRule="auto"/>
        <w:rPr>
          <w:rFonts w:ascii="Times New Roman" w:hAnsi="Times New Roman"/>
        </w:rPr>
      </w:pPr>
      <w:r w:rsidRPr="00B31397">
        <w:rPr>
          <w:rFonts w:ascii="Times New Roman" w:hAnsi="Times New Roman"/>
        </w:rPr>
        <w:t xml:space="preserve">op vraag nr. </w:t>
      </w:r>
      <w:bookmarkStart w:id="3" w:name="Text4"/>
      <w:r w:rsidRPr="00B31397">
        <w:rPr>
          <w:rFonts w:ascii="Times New Roman" w:hAnsi="Times New Roman"/>
        </w:rPr>
        <w:fldChar w:fldCharType="begin">
          <w:ffData>
            <w:name w:val="Text4"/>
            <w:enabled/>
            <w:calcOnExit w:val="0"/>
            <w:textInput/>
          </w:ffData>
        </w:fldChar>
      </w:r>
      <w:r w:rsidRPr="00B31397">
        <w:rPr>
          <w:rFonts w:ascii="Times New Roman" w:hAnsi="Times New Roman"/>
        </w:rPr>
        <w:instrText xml:space="preserve"> FORMTEXT </w:instrText>
      </w:r>
      <w:r w:rsidRPr="00B31397">
        <w:rPr>
          <w:rFonts w:ascii="Times New Roman" w:hAnsi="Times New Roman"/>
        </w:rPr>
      </w:r>
      <w:r w:rsidRPr="00B31397">
        <w:rPr>
          <w:rFonts w:ascii="Times New Roman" w:hAnsi="Times New Roman"/>
        </w:rPr>
        <w:fldChar w:fldCharType="separate"/>
      </w:r>
      <w:r w:rsidRPr="00B31397">
        <w:rPr>
          <w:rFonts w:ascii="Times New Roman" w:hAnsi="Times New Roman"/>
          <w:noProof/>
        </w:rPr>
        <w:t>424</w:t>
      </w:r>
      <w:r w:rsidRPr="00B31397">
        <w:rPr>
          <w:rFonts w:ascii="Times New Roman" w:hAnsi="Times New Roman"/>
        </w:rPr>
        <w:fldChar w:fldCharType="end"/>
      </w:r>
      <w:bookmarkEnd w:id="3"/>
      <w:r w:rsidRPr="00B31397">
        <w:rPr>
          <w:rFonts w:ascii="Times New Roman" w:hAnsi="Times New Roman"/>
        </w:rPr>
        <w:t xml:space="preserve"> van </w:t>
      </w:r>
      <w:bookmarkStart w:id="4" w:name="Text5"/>
      <w:r w:rsidRPr="00B31397">
        <w:rPr>
          <w:rFonts w:ascii="Times New Roman" w:hAnsi="Times New Roman"/>
        </w:rPr>
        <w:fldChar w:fldCharType="begin">
          <w:ffData>
            <w:name w:val="Text5"/>
            <w:enabled/>
            <w:calcOnExit w:val="0"/>
            <w:textInput/>
          </w:ffData>
        </w:fldChar>
      </w:r>
      <w:r w:rsidRPr="00B31397">
        <w:rPr>
          <w:rFonts w:ascii="Times New Roman" w:hAnsi="Times New Roman"/>
        </w:rPr>
        <w:instrText xml:space="preserve"> FORMTEXT </w:instrText>
      </w:r>
      <w:r w:rsidRPr="00B31397">
        <w:rPr>
          <w:rFonts w:ascii="Times New Roman" w:hAnsi="Times New Roman"/>
        </w:rPr>
      </w:r>
      <w:r w:rsidRPr="00B31397">
        <w:rPr>
          <w:rFonts w:ascii="Times New Roman" w:hAnsi="Times New Roman"/>
        </w:rPr>
        <w:fldChar w:fldCharType="separate"/>
      </w:r>
      <w:r w:rsidRPr="00B31397">
        <w:rPr>
          <w:rFonts w:ascii="Times New Roman" w:hAnsi="Times New Roman"/>
          <w:noProof/>
        </w:rPr>
        <w:t>27</w:t>
      </w:r>
      <w:r w:rsidRPr="00B31397">
        <w:rPr>
          <w:rFonts w:ascii="Times New Roman" w:hAnsi="Times New Roman"/>
        </w:rPr>
        <w:fldChar w:fldCharType="end"/>
      </w:r>
      <w:bookmarkEnd w:id="4"/>
      <w:r w:rsidRPr="00B31397">
        <w:rPr>
          <w:rFonts w:ascii="Times New Roman" w:hAnsi="Times New Roman"/>
        </w:rPr>
        <w:t xml:space="preserve"> </w:t>
      </w:r>
      <w:bookmarkStart w:id="5" w:name="Dropdown1"/>
      <w:r w:rsidRPr="00B31397">
        <w:rPr>
          <w:rFonts w:ascii="Times New Roman" w:hAnsi="Times New Roman"/>
        </w:rPr>
        <w:fldChar w:fldCharType="begin">
          <w:ffData>
            <w:name w:val="Dropdown1"/>
            <w:enabled/>
            <w:calcOnExit w:val="0"/>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B31397">
        <w:rPr>
          <w:rFonts w:ascii="Times New Roman" w:hAnsi="Times New Roman"/>
        </w:rPr>
        <w:instrText xml:space="preserve"> FORMDROPDOWN </w:instrText>
      </w:r>
      <w:r w:rsidRPr="00B31397">
        <w:rPr>
          <w:rFonts w:ascii="Times New Roman" w:hAnsi="Times New Roman"/>
        </w:rPr>
      </w:r>
      <w:r w:rsidRPr="00B31397">
        <w:rPr>
          <w:rFonts w:ascii="Times New Roman" w:hAnsi="Times New Roman"/>
        </w:rPr>
        <w:fldChar w:fldCharType="end"/>
      </w:r>
      <w:bookmarkEnd w:id="5"/>
      <w:r w:rsidRPr="00B31397">
        <w:rPr>
          <w:rFonts w:ascii="Times New Roman" w:hAnsi="Times New Roman"/>
        </w:rPr>
        <w:t xml:space="preserve"> </w:t>
      </w:r>
      <w:bookmarkStart w:id="6" w:name="Dropdown2"/>
      <w:r w:rsidRPr="00B31397">
        <w:rPr>
          <w:rFonts w:ascii="Times New Roman" w:hAnsi="Times New Roman"/>
        </w:rPr>
        <w:fldChar w:fldCharType="begin">
          <w:ffData>
            <w:name w:val="Dropdown2"/>
            <w:enabled/>
            <w:calcOnExit w:val="0"/>
            <w:ddList>
              <w:result w:val="3"/>
              <w:listEntry w:val="2009"/>
              <w:listEntry w:val="2010"/>
              <w:listEntry w:val="2011"/>
              <w:listEntry w:val="2012"/>
              <w:listEntry w:val="2013"/>
            </w:ddList>
          </w:ffData>
        </w:fldChar>
      </w:r>
      <w:r w:rsidRPr="00B31397">
        <w:rPr>
          <w:rFonts w:ascii="Times New Roman" w:hAnsi="Times New Roman"/>
        </w:rPr>
        <w:instrText xml:space="preserve"> FORMDROPDOWN </w:instrText>
      </w:r>
      <w:r w:rsidRPr="00B31397">
        <w:rPr>
          <w:rFonts w:ascii="Times New Roman" w:hAnsi="Times New Roman"/>
        </w:rPr>
      </w:r>
      <w:r w:rsidRPr="00B31397">
        <w:rPr>
          <w:rFonts w:ascii="Times New Roman" w:hAnsi="Times New Roman"/>
        </w:rPr>
        <w:fldChar w:fldCharType="end"/>
      </w:r>
      <w:bookmarkEnd w:id="6"/>
    </w:p>
    <w:p w:rsidR="003D1E79" w:rsidRPr="00B31397" w:rsidRDefault="003D1E79" w:rsidP="0078691E">
      <w:pPr>
        <w:spacing w:after="0" w:line="240" w:lineRule="auto"/>
        <w:rPr>
          <w:rFonts w:ascii="Times New Roman" w:hAnsi="Times New Roman"/>
          <w:b/>
          <w:smallCaps/>
        </w:rPr>
      </w:pPr>
      <w:r w:rsidRPr="00B31397">
        <w:rPr>
          <w:rFonts w:ascii="Times New Roman" w:hAnsi="Times New Roman"/>
        </w:rPr>
        <w:t xml:space="preserve">van </w:t>
      </w:r>
      <w:bookmarkStart w:id="7" w:name="Text6"/>
      <w:r w:rsidRPr="00B31397">
        <w:rPr>
          <w:rFonts w:ascii="Times New Roman" w:hAnsi="Times New Roman"/>
          <w:b/>
          <w:smallCaps/>
        </w:rPr>
        <w:fldChar w:fldCharType="begin">
          <w:ffData>
            <w:name w:val="Text6"/>
            <w:enabled/>
            <w:calcOnExit w:val="0"/>
            <w:textInput/>
          </w:ffData>
        </w:fldChar>
      </w:r>
      <w:r w:rsidRPr="00B31397">
        <w:rPr>
          <w:rFonts w:ascii="Times New Roman" w:hAnsi="Times New Roman"/>
          <w:b/>
          <w:smallCaps/>
        </w:rPr>
        <w:instrText xml:space="preserve"> FORMTEXT </w:instrText>
      </w:r>
      <w:r w:rsidRPr="00B31397">
        <w:rPr>
          <w:rFonts w:ascii="Times New Roman" w:hAnsi="Times New Roman"/>
          <w:b/>
          <w:smallCaps/>
        </w:rPr>
      </w:r>
      <w:r w:rsidRPr="00B31397">
        <w:rPr>
          <w:rFonts w:ascii="Times New Roman" w:hAnsi="Times New Roman"/>
          <w:b/>
          <w:smallCaps/>
        </w:rPr>
        <w:fldChar w:fldCharType="separate"/>
      </w:r>
      <w:r w:rsidRPr="00B31397">
        <w:rPr>
          <w:rFonts w:ascii="Times New Roman" w:hAnsi="Times New Roman"/>
          <w:b/>
          <w:smallCaps/>
        </w:rPr>
        <w:t>robrecht bothuyne</w:t>
      </w:r>
      <w:r w:rsidRPr="00B31397">
        <w:rPr>
          <w:rFonts w:ascii="Times New Roman" w:hAnsi="Times New Roman"/>
          <w:b/>
          <w:smallCaps/>
        </w:rPr>
        <w:fldChar w:fldCharType="end"/>
      </w:r>
      <w:bookmarkEnd w:id="7"/>
    </w:p>
    <w:p w:rsidR="003D1E79" w:rsidRPr="00B31397" w:rsidRDefault="003D1E79" w:rsidP="00B31397">
      <w:pPr>
        <w:pBdr>
          <w:bottom w:val="single" w:sz="4" w:space="1" w:color="auto"/>
        </w:pBdr>
        <w:spacing w:after="0" w:line="240" w:lineRule="auto"/>
        <w:rPr>
          <w:rFonts w:ascii="Times New Roman" w:hAnsi="Times New Roman"/>
          <w:smallCaps/>
        </w:rPr>
      </w:pPr>
    </w:p>
    <w:p w:rsidR="003D1E79" w:rsidRPr="00B31397" w:rsidRDefault="003D1E79" w:rsidP="0078691E">
      <w:pPr>
        <w:spacing w:after="0" w:line="240" w:lineRule="auto"/>
        <w:rPr>
          <w:rFonts w:ascii="Times New Roman" w:hAnsi="Times New Roman"/>
          <w:smallCaps/>
        </w:rPr>
      </w:pPr>
    </w:p>
    <w:p w:rsidR="003D1E79" w:rsidRPr="00B31397" w:rsidRDefault="003D1E79" w:rsidP="0078691E">
      <w:pPr>
        <w:spacing w:after="0" w:line="240" w:lineRule="auto"/>
        <w:rPr>
          <w:rFonts w:ascii="Times New Roman" w:hAnsi="Times New Roman"/>
          <w:smallCaps/>
        </w:rPr>
      </w:pPr>
    </w:p>
    <w:p w:rsidR="003D1E79" w:rsidRPr="00B31397" w:rsidRDefault="003D1E79" w:rsidP="0078691E">
      <w:pPr>
        <w:spacing w:after="0" w:line="240" w:lineRule="auto"/>
        <w:rPr>
          <w:rFonts w:ascii="Times New Roman" w:hAnsi="Times New Roman"/>
        </w:rPr>
        <w:sectPr w:rsidR="003D1E79" w:rsidRPr="00B31397" w:rsidSect="00F45FA5">
          <w:pgSz w:w="11906" w:h="16838"/>
          <w:pgMar w:top="1417" w:right="1417" w:bottom="1417" w:left="1417" w:header="708" w:footer="708" w:gutter="0"/>
          <w:cols w:space="708"/>
          <w:docGrid w:linePitch="360"/>
        </w:sectPr>
      </w:pPr>
    </w:p>
    <w:p w:rsidR="003D1E79" w:rsidRPr="00B31397" w:rsidRDefault="003D1E79" w:rsidP="00B31397">
      <w:pPr>
        <w:numPr>
          <w:ilvl w:val="0"/>
          <w:numId w:val="1"/>
        </w:numPr>
        <w:tabs>
          <w:tab w:val="clear" w:pos="10"/>
          <w:tab w:val="left" w:pos="0"/>
        </w:tabs>
        <w:spacing w:after="0" w:line="240" w:lineRule="auto"/>
        <w:ind w:left="360"/>
        <w:jc w:val="both"/>
        <w:rPr>
          <w:rFonts w:ascii="Times New Roman" w:hAnsi="Times New Roman"/>
        </w:rPr>
      </w:pPr>
      <w:r w:rsidRPr="00B31397">
        <w:rPr>
          <w:rFonts w:ascii="Times New Roman" w:hAnsi="Times New Roman"/>
        </w:rPr>
        <w:t xml:space="preserve">De hoofddoelstelling van de energieprestatieregelgeving is het bevorderen van energiezuinig en gezond bouwen en verbouwen. Drie verschillende middelen worden ingezet om dit doel te bereiken: premies als ondersteuningsmechanisme voor zij die het een stuk beter doen dan de wettelijke eisen, communicatie en sensibilisatie om elke bouwer en verbouwer te informeren omtrent de verplicht na te leven wettelijke eisen en handhaving bij niet-naleving van de gestelde EPB-eisen. De energieprestatieregelgeving heeft een grote impact op het bouwgebeuren. De handhaving moet ervoor zorgen dat de naleving van de regelgeving geen dode letter blijft en dat concurrentieverstoring tussen bouwbedrijven wordt vermeden. Uit de evolutie van het relatief aandeel dossiers dat niet voldoet aan de EPB-eisen dat opgenomen is als bijlage 1, blijkt dat dit relatief aandeel de voorbije jaren stelselmatig is gedaald. </w:t>
      </w:r>
    </w:p>
    <w:p w:rsidR="003D1E79" w:rsidRPr="00B31397" w:rsidRDefault="003D1E79" w:rsidP="00B31397">
      <w:pPr>
        <w:tabs>
          <w:tab w:val="left" w:pos="0"/>
        </w:tabs>
        <w:spacing w:after="0" w:line="240" w:lineRule="auto"/>
        <w:ind w:left="426" w:hanging="284"/>
        <w:jc w:val="both"/>
        <w:rPr>
          <w:rFonts w:ascii="Times New Roman" w:hAnsi="Times New Roman"/>
        </w:rPr>
      </w:pPr>
    </w:p>
    <w:p w:rsidR="003D1E79" w:rsidRPr="00B31397" w:rsidRDefault="003D1E79" w:rsidP="00B31397">
      <w:pPr>
        <w:numPr>
          <w:ilvl w:val="0"/>
          <w:numId w:val="1"/>
        </w:numPr>
        <w:tabs>
          <w:tab w:val="clear" w:pos="10"/>
          <w:tab w:val="left" w:pos="0"/>
        </w:tabs>
        <w:spacing w:after="0" w:line="240" w:lineRule="auto"/>
        <w:ind w:left="360"/>
        <w:jc w:val="both"/>
        <w:rPr>
          <w:rFonts w:ascii="Times New Roman" w:hAnsi="Times New Roman"/>
        </w:rPr>
      </w:pPr>
      <w:r w:rsidRPr="00B31397">
        <w:rPr>
          <w:rFonts w:ascii="Times New Roman" w:hAnsi="Times New Roman"/>
        </w:rPr>
        <w:t>Als bijlage 2 is een figuur opgenomen met het relatief aandeel van de verschillende types van inbreuken op de EPB-eisen. De meest frequent voorkomende inbreuk betreft het niet naleven van de ventilatie-eisen. Dit komt voor bij 87% van alle boetedossiers. Meestal betreft de inbreuk een of meerdere ruimten in een gebouw die niet voldoen aan de toevoereisen of de afvoereisen. Het niet voldoen aan de eisen voor de thermische isolatie (Umax) van schildelen (bijv. dak, vloer, muur) is de tweede voornaamste reden van inbreuken. Dit komt voor bij 24% van het totale aantal boetedossiers aangaande de EPB-eisen. Het niet voldoen aan de eis wat betreft het risico op oververhitting, komt voor bij 4% van het totale aantal boetedossiers EPB-eisen. Het niet voldoen aan de eisen op het vlak van het K-peil komt voor bij 3% van de boetedossiers EPB-eisen. Het niet voldoen aan de eisen op het vlak van het E-peil is het uitzonderlijkst en komt slechts voor bij 1% van de boetedossiers EPB-eisen.</w:t>
      </w:r>
    </w:p>
    <w:p w:rsidR="003D1E79" w:rsidRPr="00B31397" w:rsidRDefault="003D1E79" w:rsidP="00B31397">
      <w:pPr>
        <w:tabs>
          <w:tab w:val="left" w:pos="0"/>
        </w:tabs>
        <w:spacing w:after="0" w:line="240" w:lineRule="auto"/>
        <w:ind w:left="426" w:hanging="284"/>
        <w:jc w:val="both"/>
        <w:rPr>
          <w:rFonts w:ascii="Times New Roman" w:hAnsi="Times New Roman"/>
        </w:rPr>
      </w:pPr>
    </w:p>
    <w:p w:rsidR="003D1E79" w:rsidRPr="00B31397" w:rsidRDefault="003D1E79" w:rsidP="00B31397">
      <w:pPr>
        <w:numPr>
          <w:ilvl w:val="0"/>
          <w:numId w:val="1"/>
        </w:numPr>
        <w:tabs>
          <w:tab w:val="clear" w:pos="10"/>
          <w:tab w:val="num" w:pos="0"/>
        </w:tabs>
        <w:spacing w:after="0" w:line="240" w:lineRule="auto"/>
        <w:ind w:left="360"/>
        <w:jc w:val="both"/>
        <w:rPr>
          <w:rFonts w:ascii="Times New Roman" w:hAnsi="Times New Roman"/>
        </w:rPr>
      </w:pPr>
      <w:r w:rsidRPr="00B31397">
        <w:rPr>
          <w:rFonts w:ascii="Times New Roman" w:hAnsi="Times New Roman"/>
        </w:rPr>
        <w:t xml:space="preserve">Er is reeds een dalende lijn merkbaar in het relatief aandeel dossiers dat niet voldoet aan de EPB-eisen. Uit het overzicht opgenomen als bijlage 1 blijkt dat aan ruim 9 % van de EPB-aangiften voor vergunningen aangevraagd in 2006 een indicatieve geldboete moet worden opgelegd van 250 euro of meer ten gevolge van het niet voldoen aan een of meerdere van de EPB-eisen. Dit percentage is zeer sterk gedaald tot 3% voor EPB-aangiftes van vergunningen aangevraagd in 2010. Deze daling zet zich ook door bij elk van de verschillende redenen waarom een boete opgelegd moet worden (zie bijlage 2). De communicatie- en sensibilisatie-inspanningen die mee geleid hebben tot deze daling worden verder gezet. Ook de vanaf 1 januari 2012 ingevoerde verplichte voorafberekening (zie ook verder) zal naar verwachting een positieve impact hebben. </w:t>
      </w:r>
    </w:p>
    <w:p w:rsidR="003D1E79" w:rsidRPr="00B31397" w:rsidRDefault="003D1E79" w:rsidP="00B31397">
      <w:pPr>
        <w:tabs>
          <w:tab w:val="left" w:pos="0"/>
        </w:tabs>
        <w:spacing w:after="0" w:line="240" w:lineRule="auto"/>
        <w:ind w:left="426" w:hanging="284"/>
        <w:jc w:val="both"/>
        <w:rPr>
          <w:rFonts w:ascii="Times New Roman" w:hAnsi="Times New Roman"/>
        </w:rPr>
      </w:pPr>
    </w:p>
    <w:p w:rsidR="003D1E79" w:rsidRDefault="003D1E79" w:rsidP="00B31397">
      <w:pPr>
        <w:numPr>
          <w:ilvl w:val="0"/>
          <w:numId w:val="1"/>
        </w:numPr>
        <w:tabs>
          <w:tab w:val="clear" w:pos="10"/>
          <w:tab w:val="num" w:pos="0"/>
        </w:tabs>
        <w:spacing w:after="0" w:line="240" w:lineRule="auto"/>
        <w:ind w:left="360"/>
        <w:jc w:val="both"/>
        <w:rPr>
          <w:rFonts w:ascii="Times New Roman" w:hAnsi="Times New Roman"/>
        </w:rPr>
      </w:pPr>
      <w:r w:rsidRPr="00B31397">
        <w:rPr>
          <w:rFonts w:ascii="Times New Roman" w:hAnsi="Times New Roman"/>
        </w:rPr>
        <w:t xml:space="preserve">Het is belangrijk dat de volledige doorrekening van het bouwproject vroeger in het bouwproces gebeurt. Zo kan er van bij de aanvang van het project rekening worden gehouden met de EPB-eisen en kunnen van in een vroeg stadium, samen met de ontwerpbeslissingen, de nodige maatregelen worden genomen. In uitvoering van het wijzigingsdecreet van 18 november 2011 van het Energiedecreet, is de verslaggever daarom sinds 1 januari 2012 verplicht om voor de start van de werken een berekening te maken. Hij/zij maakt de berekening op basis van de materialen en de keuzes die door de architect en de ontwerper van de technische bouwsystemen zijn gemaakt om aan de EPB-eisen te voldoen. De architect en de ontwerper van de technische bouwsystemen moeten die gegevens uiteraard ter beschikking stellen aan de verslaggever en aan de aangifteplichtige. Als de berekening aantoont dat het ontworpen gebouw niet zal voldoen aan de EPB-eisen, signaleert de verslaggever dat aan de aangifteplichtige en aan de architect. De verslaggever geeft hen één schriftelijk niet-bindend advies over hoe ze kunnen voldoen aan de EPB-eisen. De verslaggever toont aan welke punten kunnen worden bijgestuurd en bakent de probleemzones af. Het is uiteindelijk nog steeds de aangifteplichtige die, in samenspraak met de architect, beslist welke maatregelen hij/zij zal nemen om te voldoen aan de EPB-eisen en of hij/zij de door de verslaggever voorgestelde bijsturingen al dan niet zal volgen. </w:t>
      </w:r>
    </w:p>
    <w:p w:rsidR="003D1E79" w:rsidRDefault="003D1E79" w:rsidP="00082CA7">
      <w:pPr>
        <w:spacing w:after="0" w:line="240" w:lineRule="auto"/>
        <w:jc w:val="both"/>
        <w:rPr>
          <w:rFonts w:ascii="Times New Roman" w:hAnsi="Times New Roman"/>
        </w:rPr>
      </w:pPr>
    </w:p>
    <w:p w:rsidR="003D1E79" w:rsidRDefault="003D1E79" w:rsidP="00082CA7">
      <w:pPr>
        <w:spacing w:after="0" w:line="240" w:lineRule="auto"/>
        <w:jc w:val="both"/>
        <w:rPr>
          <w:rFonts w:ascii="Times New Roman" w:hAnsi="Times New Roman"/>
        </w:rPr>
      </w:pPr>
    </w:p>
    <w:p w:rsidR="003D1E79" w:rsidRPr="00082CA7" w:rsidRDefault="003D1E79" w:rsidP="00082CA7">
      <w:pPr>
        <w:spacing w:after="0" w:line="240" w:lineRule="auto"/>
        <w:jc w:val="both"/>
        <w:rPr>
          <w:rFonts w:ascii="Times New Roman Vet" w:hAnsi="Times New Roman Vet"/>
          <w:b/>
          <w:smallCaps/>
          <w:color w:val="FF0000"/>
        </w:rPr>
      </w:pPr>
      <w:r>
        <w:rPr>
          <w:rFonts w:ascii="Times New Roman Vet" w:hAnsi="Times New Roman Vet"/>
          <w:b/>
          <w:smallCaps/>
          <w:color w:val="FF0000"/>
        </w:rPr>
        <w:t>bijlagen</w:t>
      </w:r>
    </w:p>
    <w:p w:rsidR="003D1E79" w:rsidRDefault="003D1E79" w:rsidP="00082CA7">
      <w:pPr>
        <w:spacing w:after="0" w:line="240" w:lineRule="auto"/>
        <w:jc w:val="both"/>
        <w:rPr>
          <w:rFonts w:ascii="Times New Roman" w:hAnsi="Times New Roman"/>
        </w:rPr>
      </w:pPr>
    </w:p>
    <w:p w:rsidR="003D1E79" w:rsidRDefault="003D1E79" w:rsidP="001F2E95">
      <w:pPr>
        <w:numPr>
          <w:ilvl w:val="0"/>
          <w:numId w:val="2"/>
        </w:numPr>
        <w:spacing w:after="0" w:line="240" w:lineRule="auto"/>
        <w:jc w:val="both"/>
        <w:rPr>
          <w:rFonts w:ascii="Times New Roman" w:hAnsi="Times New Roman"/>
        </w:rPr>
      </w:pPr>
      <w:r>
        <w:rPr>
          <w:rFonts w:ascii="Times New Roman" w:hAnsi="Times New Roman"/>
        </w:rPr>
        <w:t>Overzicht opgelegde boetes EPB-eisen per aanvraagjaar</w:t>
      </w:r>
    </w:p>
    <w:p w:rsidR="003D1E79" w:rsidRPr="00B31397" w:rsidRDefault="003D1E79" w:rsidP="001F2E95">
      <w:pPr>
        <w:numPr>
          <w:ilvl w:val="0"/>
          <w:numId w:val="2"/>
        </w:numPr>
        <w:spacing w:after="0" w:line="240" w:lineRule="auto"/>
        <w:jc w:val="both"/>
        <w:rPr>
          <w:rFonts w:ascii="Times New Roman" w:hAnsi="Times New Roman"/>
        </w:rPr>
      </w:pPr>
      <w:r>
        <w:rPr>
          <w:rFonts w:ascii="Times New Roman" w:hAnsi="Times New Roman"/>
        </w:rPr>
        <w:t>Overzicht reden opgelegde boetes EPB-eisen per aanvraagjaar</w:t>
      </w:r>
    </w:p>
    <w:sectPr w:rsidR="003D1E79" w:rsidRPr="00B31397" w:rsidSect="00AD28D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0B03"/>
    <w:multiLevelType w:val="hybridMultilevel"/>
    <w:tmpl w:val="95B257E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7B87311E"/>
    <w:multiLevelType w:val="hybridMultilevel"/>
    <w:tmpl w:val="4C04B78E"/>
    <w:lvl w:ilvl="0" w:tplc="0413000F">
      <w:start w:val="1"/>
      <w:numFmt w:val="decimal"/>
      <w:lvlText w:val="%1."/>
      <w:lvlJc w:val="left"/>
      <w:pPr>
        <w:tabs>
          <w:tab w:val="num" w:pos="10"/>
        </w:tabs>
        <w:ind w:left="10" w:hanging="360"/>
      </w:pPr>
      <w:rPr>
        <w:rFonts w:cs="Times New Roman" w:hint="default"/>
      </w:rPr>
    </w:lvl>
    <w:lvl w:ilvl="1" w:tplc="04130019" w:tentative="1">
      <w:start w:val="1"/>
      <w:numFmt w:val="lowerLetter"/>
      <w:lvlText w:val="%2."/>
      <w:lvlJc w:val="left"/>
      <w:pPr>
        <w:tabs>
          <w:tab w:val="num" w:pos="730"/>
        </w:tabs>
        <w:ind w:left="730" w:hanging="360"/>
      </w:pPr>
      <w:rPr>
        <w:rFonts w:cs="Times New Roman"/>
      </w:rPr>
    </w:lvl>
    <w:lvl w:ilvl="2" w:tplc="0413001B" w:tentative="1">
      <w:start w:val="1"/>
      <w:numFmt w:val="lowerRoman"/>
      <w:lvlText w:val="%3."/>
      <w:lvlJc w:val="right"/>
      <w:pPr>
        <w:tabs>
          <w:tab w:val="num" w:pos="1450"/>
        </w:tabs>
        <w:ind w:left="1450" w:hanging="180"/>
      </w:pPr>
      <w:rPr>
        <w:rFonts w:cs="Times New Roman"/>
      </w:rPr>
    </w:lvl>
    <w:lvl w:ilvl="3" w:tplc="0413000F" w:tentative="1">
      <w:start w:val="1"/>
      <w:numFmt w:val="decimal"/>
      <w:lvlText w:val="%4."/>
      <w:lvlJc w:val="left"/>
      <w:pPr>
        <w:tabs>
          <w:tab w:val="num" w:pos="2170"/>
        </w:tabs>
        <w:ind w:left="2170" w:hanging="360"/>
      </w:pPr>
      <w:rPr>
        <w:rFonts w:cs="Times New Roman"/>
      </w:rPr>
    </w:lvl>
    <w:lvl w:ilvl="4" w:tplc="04130019" w:tentative="1">
      <w:start w:val="1"/>
      <w:numFmt w:val="lowerLetter"/>
      <w:lvlText w:val="%5."/>
      <w:lvlJc w:val="left"/>
      <w:pPr>
        <w:tabs>
          <w:tab w:val="num" w:pos="2890"/>
        </w:tabs>
        <w:ind w:left="2890" w:hanging="360"/>
      </w:pPr>
      <w:rPr>
        <w:rFonts w:cs="Times New Roman"/>
      </w:rPr>
    </w:lvl>
    <w:lvl w:ilvl="5" w:tplc="0413001B" w:tentative="1">
      <w:start w:val="1"/>
      <w:numFmt w:val="lowerRoman"/>
      <w:lvlText w:val="%6."/>
      <w:lvlJc w:val="right"/>
      <w:pPr>
        <w:tabs>
          <w:tab w:val="num" w:pos="3610"/>
        </w:tabs>
        <w:ind w:left="3610" w:hanging="180"/>
      </w:pPr>
      <w:rPr>
        <w:rFonts w:cs="Times New Roman"/>
      </w:rPr>
    </w:lvl>
    <w:lvl w:ilvl="6" w:tplc="0413000F" w:tentative="1">
      <w:start w:val="1"/>
      <w:numFmt w:val="decimal"/>
      <w:lvlText w:val="%7."/>
      <w:lvlJc w:val="left"/>
      <w:pPr>
        <w:tabs>
          <w:tab w:val="num" w:pos="4330"/>
        </w:tabs>
        <w:ind w:left="4330" w:hanging="360"/>
      </w:pPr>
      <w:rPr>
        <w:rFonts w:cs="Times New Roman"/>
      </w:rPr>
    </w:lvl>
    <w:lvl w:ilvl="7" w:tplc="04130019" w:tentative="1">
      <w:start w:val="1"/>
      <w:numFmt w:val="lowerLetter"/>
      <w:lvlText w:val="%8."/>
      <w:lvlJc w:val="left"/>
      <w:pPr>
        <w:tabs>
          <w:tab w:val="num" w:pos="5050"/>
        </w:tabs>
        <w:ind w:left="5050" w:hanging="360"/>
      </w:pPr>
      <w:rPr>
        <w:rFonts w:cs="Times New Roman"/>
      </w:rPr>
    </w:lvl>
    <w:lvl w:ilvl="8" w:tplc="0413001B" w:tentative="1">
      <w:start w:val="1"/>
      <w:numFmt w:val="lowerRoman"/>
      <w:lvlText w:val="%9."/>
      <w:lvlJc w:val="right"/>
      <w:pPr>
        <w:tabs>
          <w:tab w:val="num" w:pos="5770"/>
        </w:tabs>
        <w:ind w:left="577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8D9"/>
    <w:rsid w:val="000374B8"/>
    <w:rsid w:val="00037BB1"/>
    <w:rsid w:val="00082CA7"/>
    <w:rsid w:val="000A3852"/>
    <w:rsid w:val="00153B84"/>
    <w:rsid w:val="001F2E95"/>
    <w:rsid w:val="001F6F75"/>
    <w:rsid w:val="00232DAF"/>
    <w:rsid w:val="00266EDB"/>
    <w:rsid w:val="002742BE"/>
    <w:rsid w:val="002A6E8B"/>
    <w:rsid w:val="002C2C44"/>
    <w:rsid w:val="003A3F95"/>
    <w:rsid w:val="003D1E79"/>
    <w:rsid w:val="00561406"/>
    <w:rsid w:val="005D579D"/>
    <w:rsid w:val="00623F46"/>
    <w:rsid w:val="006831D5"/>
    <w:rsid w:val="006B5ECC"/>
    <w:rsid w:val="0078691E"/>
    <w:rsid w:val="007A62AD"/>
    <w:rsid w:val="0080625F"/>
    <w:rsid w:val="00854694"/>
    <w:rsid w:val="00857A55"/>
    <w:rsid w:val="008E252D"/>
    <w:rsid w:val="00AA5A40"/>
    <w:rsid w:val="00AD28D9"/>
    <w:rsid w:val="00AD7FC8"/>
    <w:rsid w:val="00B31397"/>
    <w:rsid w:val="00BD1900"/>
    <w:rsid w:val="00CA5F59"/>
    <w:rsid w:val="00CD5715"/>
    <w:rsid w:val="00CE0C00"/>
    <w:rsid w:val="00D90533"/>
    <w:rsid w:val="00DA5F80"/>
    <w:rsid w:val="00DD0664"/>
    <w:rsid w:val="00E3306E"/>
    <w:rsid w:val="00E34BBD"/>
    <w:rsid w:val="00EA7AD0"/>
    <w:rsid w:val="00EC108A"/>
    <w:rsid w:val="00F45FA5"/>
    <w:rsid w:val="00FD6B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1E"/>
    <w:rPr>
      <w:rFonts w:cs="Times New Roman"/>
      <w:color w:val="808080"/>
    </w:rPr>
  </w:style>
  <w:style w:type="paragraph" w:styleId="BalloonText">
    <w:name w:val="Balloon Text"/>
    <w:basedOn w:val="Normal"/>
    <w:link w:val="BalloonTextChar"/>
    <w:uiPriority w:val="99"/>
    <w:semiHidden/>
    <w:rsid w:val="0078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91E"/>
    <w:rPr>
      <w:rFonts w:ascii="Tahoma" w:hAnsi="Tahoma" w:cs="Tahoma"/>
      <w:sz w:val="16"/>
      <w:szCs w:val="16"/>
    </w:rPr>
  </w:style>
  <w:style w:type="paragraph" w:customStyle="1" w:styleId="SVTitel">
    <w:name w:val="SV Titel"/>
    <w:basedOn w:val="Normal"/>
    <w:uiPriority w:val="99"/>
    <w:rsid w:val="00AD28D9"/>
    <w:pPr>
      <w:spacing w:after="0" w:line="240" w:lineRule="auto"/>
      <w:jc w:val="both"/>
    </w:pPr>
    <w:rPr>
      <w:rFonts w:ascii="Times New Roman" w:eastAsia="Times New Roman" w:hAnsi="Times New Roman"/>
      <w:i/>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aeckfe\Desktop\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14</TotalTime>
  <Pages>2</Pages>
  <Words>704</Words>
  <Characters>3876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Braeckman</dc:creator>
  <cp:keywords/>
  <dc:description/>
  <cp:lastModifiedBy>Vlaams Parlement</cp:lastModifiedBy>
  <cp:revision>5</cp:revision>
  <cp:lastPrinted>2012-05-08T07:38:00Z</cp:lastPrinted>
  <dcterms:created xsi:type="dcterms:W3CDTF">2012-04-02T14:11:00Z</dcterms:created>
  <dcterms:modified xsi:type="dcterms:W3CDTF">2012-05-08T07:43:00Z</dcterms:modified>
</cp:coreProperties>
</file>