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27" w:rsidRPr="009C1C5D" w:rsidRDefault="00261E27" w:rsidP="00B93773">
      <w:pPr>
        <w:pStyle w:val="A-NaamMinister"/>
        <w:tabs>
          <w:tab w:val="left" w:pos="2436"/>
        </w:tabs>
        <w:outlineLvl w:val="0"/>
        <w:rPr>
          <w:szCs w:val="22"/>
        </w:rPr>
      </w:pPr>
      <w:r>
        <w:rPr>
          <w:szCs w:val="22"/>
        </w:rPr>
        <w:t>k</w:t>
      </w:r>
      <w:r w:rsidRPr="009C1C5D">
        <w:rPr>
          <w:szCs w:val="22"/>
        </w:rPr>
        <w:t>ris</w:t>
      </w:r>
      <w:r>
        <w:rPr>
          <w:szCs w:val="22"/>
        </w:rPr>
        <w:t xml:space="preserve"> p</w:t>
      </w:r>
      <w:r w:rsidRPr="009C1C5D">
        <w:rPr>
          <w:szCs w:val="22"/>
        </w:rPr>
        <w:t>eeters</w:t>
      </w:r>
    </w:p>
    <w:p w:rsidR="00261E27" w:rsidRPr="009C1C5D" w:rsidRDefault="00261E27" w:rsidP="009F0FB2">
      <w:pPr>
        <w:pStyle w:val="A-NaamMinister"/>
        <w:rPr>
          <w:b w:val="0"/>
          <w:szCs w:val="22"/>
        </w:rPr>
      </w:pPr>
      <w:bookmarkStart w:id="0" w:name="Text2"/>
      <w:r w:rsidRPr="009C1C5D">
        <w:rPr>
          <w:b w:val="0"/>
          <w:szCs w:val="22"/>
        </w:rPr>
        <w:t xml:space="preserve">minister-president van de </w:t>
      </w:r>
      <w:r>
        <w:rPr>
          <w:b w:val="0"/>
          <w:szCs w:val="22"/>
        </w:rPr>
        <w:t>v</w:t>
      </w:r>
      <w:r w:rsidRPr="009C1C5D">
        <w:rPr>
          <w:b w:val="0"/>
          <w:szCs w:val="22"/>
        </w:rPr>
        <w:t>laamse regering</w:t>
      </w:r>
      <w:r>
        <w:rPr>
          <w:b w:val="0"/>
          <w:szCs w:val="22"/>
        </w:rPr>
        <w:t>, v</w:t>
      </w:r>
      <w:r w:rsidRPr="009C1C5D">
        <w:rPr>
          <w:b w:val="0"/>
          <w:szCs w:val="22"/>
        </w:rPr>
        <w:t xml:space="preserve">laams minister van </w:t>
      </w:r>
      <w:bookmarkEnd w:id="0"/>
      <w:r w:rsidRPr="009C1C5D">
        <w:rPr>
          <w:b w:val="0"/>
          <w:szCs w:val="22"/>
        </w:rPr>
        <w:t>economie, buitenlands beleid, landbouw en plattelandsbeleid</w:t>
      </w:r>
    </w:p>
    <w:p w:rsidR="00261E27" w:rsidRPr="009C1C5D" w:rsidRDefault="00261E27">
      <w:pPr>
        <w:rPr>
          <w:sz w:val="22"/>
          <w:szCs w:val="22"/>
        </w:rPr>
      </w:pPr>
    </w:p>
    <w:p w:rsidR="00261E27" w:rsidRPr="009C1C5D" w:rsidRDefault="00261E27">
      <w:pPr>
        <w:pStyle w:val="A-Lijn"/>
        <w:rPr>
          <w:szCs w:val="22"/>
        </w:rPr>
      </w:pPr>
    </w:p>
    <w:p w:rsidR="00261E27" w:rsidRPr="009C1C5D" w:rsidRDefault="00261E27">
      <w:pPr>
        <w:pStyle w:val="A-Type"/>
        <w:rPr>
          <w:szCs w:val="22"/>
        </w:rPr>
        <w:sectPr w:rsidR="00261E27" w:rsidRPr="009C1C5D" w:rsidSect="00FA7C02">
          <w:pgSz w:w="11906" w:h="16838"/>
          <w:pgMar w:top="1418" w:right="1418" w:bottom="1134" w:left="1418" w:header="709" w:footer="709" w:gutter="0"/>
          <w:cols w:space="708"/>
          <w:rtlGutter/>
        </w:sectPr>
      </w:pPr>
    </w:p>
    <w:p w:rsidR="00261E27" w:rsidRDefault="00261E27" w:rsidP="005B5FD6">
      <w:pPr>
        <w:jc w:val="both"/>
        <w:rPr>
          <w:sz w:val="22"/>
          <w:szCs w:val="22"/>
        </w:rPr>
      </w:pPr>
      <w:r w:rsidRPr="00F60BEA">
        <w:rPr>
          <w:b/>
          <w:smallCaps/>
          <w:sz w:val="22"/>
          <w:szCs w:val="22"/>
        </w:rPr>
        <w:t>a</w:t>
      </w:r>
      <w:r w:rsidRPr="00AB01CB">
        <w:rPr>
          <w:b/>
          <w:smallCaps/>
          <w:sz w:val="22"/>
          <w:szCs w:val="22"/>
        </w:rPr>
        <w:t>ntwoord</w:t>
      </w:r>
      <w:r>
        <w:rPr>
          <w:sz w:val="22"/>
          <w:szCs w:val="22"/>
        </w:rPr>
        <w:t xml:space="preserve"> </w:t>
      </w:r>
    </w:p>
    <w:p w:rsidR="00261E27" w:rsidRPr="009C1C5D" w:rsidRDefault="00261E27" w:rsidP="005B5FD6">
      <w:pPr>
        <w:jc w:val="both"/>
        <w:rPr>
          <w:sz w:val="22"/>
          <w:szCs w:val="22"/>
        </w:rPr>
      </w:pPr>
      <w:r>
        <w:rPr>
          <w:sz w:val="22"/>
          <w:szCs w:val="22"/>
        </w:rPr>
        <w:t>op v</w:t>
      </w:r>
      <w:r w:rsidRPr="009C1C5D">
        <w:rPr>
          <w:sz w:val="22"/>
          <w:szCs w:val="22"/>
        </w:rPr>
        <w:t xml:space="preserve">raag nr. </w:t>
      </w:r>
      <w:r>
        <w:rPr>
          <w:sz w:val="22"/>
          <w:szCs w:val="22"/>
        </w:rPr>
        <w:t>266 van 14 maart 2012</w:t>
      </w:r>
    </w:p>
    <w:p w:rsidR="00261E27" w:rsidRPr="008B753D" w:rsidRDefault="00261E27" w:rsidP="005B5FD6">
      <w:pPr>
        <w:jc w:val="both"/>
        <w:rPr>
          <w:rFonts w:ascii="Times New Roman Vet" w:hAnsi="Times New Roman Vet"/>
          <w:b/>
          <w:smallCaps/>
          <w:sz w:val="22"/>
          <w:szCs w:val="22"/>
        </w:rPr>
      </w:pPr>
      <w:r w:rsidRPr="009C1C5D">
        <w:rPr>
          <w:sz w:val="22"/>
          <w:szCs w:val="22"/>
        </w:rPr>
        <w:t>va</w:t>
      </w:r>
      <w:r>
        <w:rPr>
          <w:sz w:val="22"/>
          <w:szCs w:val="22"/>
        </w:rPr>
        <w:t xml:space="preserve">n </w:t>
      </w:r>
      <w:r>
        <w:rPr>
          <w:rFonts w:ascii="Times New Roman Vet" w:hAnsi="Times New Roman Vet"/>
          <w:b/>
          <w:smallCaps/>
          <w:sz w:val="22"/>
          <w:szCs w:val="22"/>
        </w:rPr>
        <w:t>matthias diependaele</w:t>
      </w:r>
    </w:p>
    <w:p w:rsidR="00261E27" w:rsidRPr="009C1C5D" w:rsidRDefault="00261E27" w:rsidP="005B5FD6">
      <w:pPr>
        <w:pBdr>
          <w:bottom w:val="single" w:sz="4" w:space="1" w:color="auto"/>
        </w:pBdr>
        <w:jc w:val="both"/>
        <w:rPr>
          <w:sz w:val="22"/>
          <w:szCs w:val="22"/>
        </w:rPr>
      </w:pPr>
    </w:p>
    <w:p w:rsidR="00261E27" w:rsidRDefault="00261E27" w:rsidP="005E70C1">
      <w:pPr>
        <w:pStyle w:val="StandaardSV"/>
        <w:rPr>
          <w:szCs w:val="22"/>
        </w:rPr>
      </w:pPr>
    </w:p>
    <w:p w:rsidR="00261E27" w:rsidRDefault="00261E27" w:rsidP="005E70C1">
      <w:pPr>
        <w:pStyle w:val="StandaardSV"/>
        <w:rPr>
          <w:szCs w:val="22"/>
        </w:rPr>
      </w:pPr>
    </w:p>
    <w:p w:rsidR="00261E27" w:rsidRDefault="00261E27" w:rsidP="00F60BEA">
      <w:pPr>
        <w:pStyle w:val="StandaardSV"/>
        <w:numPr>
          <w:ilvl w:val="0"/>
          <w:numId w:val="3"/>
        </w:numPr>
        <w:rPr>
          <w:szCs w:val="22"/>
        </w:rPr>
      </w:pPr>
      <w:r>
        <w:rPr>
          <w:szCs w:val="22"/>
        </w:rPr>
        <w:t>Onderstaande tabel biedt een overzicht van het aantal aangetrokken buitenlandse investeringen in Vlaanderen tussen 2007 en 2011.</w:t>
      </w:r>
    </w:p>
    <w:p w:rsidR="00261E27" w:rsidRDefault="00261E27" w:rsidP="00F335B4">
      <w:pPr>
        <w:pStyle w:val="StandaardSV"/>
        <w:ind w:left="284" w:hanging="284"/>
        <w:rPr>
          <w:szCs w:val="22"/>
        </w:rPr>
      </w:pPr>
    </w:p>
    <w:tbl>
      <w:tblPr>
        <w:tblW w:w="8788" w:type="dxa"/>
        <w:tblInd w:w="392" w:type="dxa"/>
        <w:tblBorders>
          <w:top w:val="single" w:sz="12" w:space="0" w:color="008000"/>
          <w:bottom w:val="single" w:sz="12" w:space="0" w:color="008000"/>
        </w:tblBorders>
        <w:tblLayout w:type="fixed"/>
        <w:tblLook w:val="00A0"/>
      </w:tblPr>
      <w:tblGrid>
        <w:gridCol w:w="850"/>
        <w:gridCol w:w="1843"/>
        <w:gridCol w:w="3506"/>
        <w:gridCol w:w="2589"/>
      </w:tblGrid>
      <w:tr w:rsidR="00261E27" w:rsidRPr="00C65B4F" w:rsidTr="007A4797">
        <w:trPr>
          <w:trHeight w:val="540"/>
        </w:trPr>
        <w:tc>
          <w:tcPr>
            <w:tcW w:w="850" w:type="dxa"/>
            <w:tcBorders>
              <w:top w:val="single" w:sz="12" w:space="0" w:color="000000"/>
              <w:bottom w:val="single" w:sz="6" w:space="0" w:color="008000"/>
            </w:tcBorders>
            <w:noWrap/>
            <w:vAlign w:val="center"/>
          </w:tcPr>
          <w:p w:rsidR="00261E27" w:rsidRPr="007A4797" w:rsidRDefault="00261E27" w:rsidP="007A4797">
            <w:pPr>
              <w:jc w:val="center"/>
              <w:rPr>
                <w:b/>
                <w:bCs/>
                <w:i/>
                <w:sz w:val="22"/>
                <w:szCs w:val="22"/>
              </w:rPr>
            </w:pPr>
            <w:r w:rsidRPr="007A4797">
              <w:rPr>
                <w:b/>
                <w:bCs/>
                <w:i/>
                <w:sz w:val="22"/>
                <w:szCs w:val="22"/>
              </w:rPr>
              <w:t>Jaar</w:t>
            </w:r>
          </w:p>
        </w:tc>
        <w:tc>
          <w:tcPr>
            <w:tcW w:w="1843" w:type="dxa"/>
            <w:tcBorders>
              <w:top w:val="single" w:sz="12" w:space="0" w:color="000000"/>
              <w:bottom w:val="single" w:sz="6" w:space="0" w:color="008000"/>
            </w:tcBorders>
            <w:noWrap/>
            <w:vAlign w:val="center"/>
          </w:tcPr>
          <w:p w:rsidR="00261E27" w:rsidRPr="007A4797" w:rsidRDefault="00261E27" w:rsidP="007A4797">
            <w:pPr>
              <w:jc w:val="center"/>
              <w:rPr>
                <w:b/>
                <w:bCs/>
                <w:i/>
                <w:sz w:val="22"/>
                <w:szCs w:val="22"/>
              </w:rPr>
            </w:pPr>
            <w:r w:rsidRPr="007A4797">
              <w:rPr>
                <w:b/>
                <w:bCs/>
                <w:i/>
                <w:sz w:val="22"/>
                <w:szCs w:val="22"/>
              </w:rPr>
              <w:t>Aantal</w:t>
            </w:r>
          </w:p>
          <w:p w:rsidR="00261E27" w:rsidRPr="007A4797" w:rsidRDefault="00261E27" w:rsidP="007A4797">
            <w:pPr>
              <w:jc w:val="center"/>
              <w:rPr>
                <w:b/>
                <w:bCs/>
                <w:i/>
                <w:sz w:val="22"/>
                <w:szCs w:val="22"/>
              </w:rPr>
            </w:pPr>
            <w:r w:rsidRPr="007A4797">
              <w:rPr>
                <w:b/>
                <w:bCs/>
                <w:i/>
                <w:sz w:val="22"/>
                <w:szCs w:val="22"/>
              </w:rPr>
              <w:t>projecten</w:t>
            </w:r>
          </w:p>
        </w:tc>
        <w:tc>
          <w:tcPr>
            <w:tcW w:w="3506" w:type="dxa"/>
            <w:tcBorders>
              <w:top w:val="single" w:sz="12" w:space="0" w:color="000000"/>
              <w:bottom w:val="single" w:sz="6" w:space="0" w:color="008000"/>
            </w:tcBorders>
            <w:noWrap/>
            <w:vAlign w:val="center"/>
          </w:tcPr>
          <w:p w:rsidR="00261E27" w:rsidRPr="007A4797" w:rsidRDefault="00261E27" w:rsidP="007A4797">
            <w:pPr>
              <w:jc w:val="center"/>
              <w:rPr>
                <w:b/>
                <w:bCs/>
                <w:i/>
                <w:sz w:val="22"/>
                <w:szCs w:val="22"/>
              </w:rPr>
            </w:pPr>
            <w:r w:rsidRPr="007A4797">
              <w:rPr>
                <w:b/>
                <w:bCs/>
                <w:i/>
                <w:sz w:val="22"/>
                <w:szCs w:val="22"/>
              </w:rPr>
              <w:t>Investeringsbedrag</w:t>
            </w:r>
          </w:p>
          <w:p w:rsidR="00261E27" w:rsidRPr="007A4797" w:rsidRDefault="00261E27" w:rsidP="007A4797">
            <w:pPr>
              <w:jc w:val="center"/>
              <w:rPr>
                <w:b/>
                <w:bCs/>
                <w:i/>
                <w:sz w:val="22"/>
                <w:szCs w:val="22"/>
              </w:rPr>
            </w:pPr>
            <w:r w:rsidRPr="007A4797">
              <w:rPr>
                <w:b/>
                <w:bCs/>
                <w:i/>
                <w:sz w:val="22"/>
                <w:szCs w:val="22"/>
              </w:rPr>
              <w:t>(miljard euro)</w:t>
            </w:r>
          </w:p>
        </w:tc>
        <w:tc>
          <w:tcPr>
            <w:tcW w:w="2589" w:type="dxa"/>
            <w:tcBorders>
              <w:top w:val="single" w:sz="12" w:space="0" w:color="000000"/>
              <w:bottom w:val="single" w:sz="6" w:space="0" w:color="008000"/>
            </w:tcBorders>
            <w:noWrap/>
            <w:vAlign w:val="center"/>
          </w:tcPr>
          <w:p w:rsidR="00261E27" w:rsidRPr="007A4797" w:rsidRDefault="00261E27" w:rsidP="007A4797">
            <w:pPr>
              <w:ind w:left="72"/>
              <w:jc w:val="center"/>
              <w:rPr>
                <w:b/>
                <w:bCs/>
                <w:i/>
                <w:sz w:val="22"/>
                <w:szCs w:val="22"/>
              </w:rPr>
            </w:pPr>
            <w:r w:rsidRPr="007A4797">
              <w:rPr>
                <w:b/>
                <w:bCs/>
                <w:i/>
                <w:sz w:val="22"/>
                <w:szCs w:val="22"/>
              </w:rPr>
              <w:t xml:space="preserve">Aantal gecreëerde </w:t>
            </w:r>
          </w:p>
          <w:p w:rsidR="00261E27" w:rsidRPr="007A4797" w:rsidRDefault="00261E27" w:rsidP="007A4797">
            <w:pPr>
              <w:ind w:left="72"/>
              <w:jc w:val="center"/>
              <w:rPr>
                <w:b/>
                <w:bCs/>
                <w:i/>
                <w:sz w:val="22"/>
                <w:szCs w:val="22"/>
              </w:rPr>
            </w:pPr>
            <w:r w:rsidRPr="007A4797">
              <w:rPr>
                <w:b/>
                <w:bCs/>
                <w:i/>
                <w:sz w:val="22"/>
                <w:szCs w:val="22"/>
              </w:rPr>
              <w:t>jobs</w:t>
            </w:r>
          </w:p>
        </w:tc>
      </w:tr>
      <w:tr w:rsidR="00261E27" w:rsidRPr="00C65B4F" w:rsidTr="007A4797">
        <w:trPr>
          <w:trHeight w:val="255"/>
        </w:trPr>
        <w:tc>
          <w:tcPr>
            <w:tcW w:w="850" w:type="dxa"/>
            <w:tcBorders>
              <w:top w:val="single" w:sz="6" w:space="0" w:color="000000"/>
            </w:tcBorders>
            <w:noWrap/>
            <w:vAlign w:val="center"/>
          </w:tcPr>
          <w:p w:rsidR="00261E27" w:rsidRPr="007A4797" w:rsidRDefault="00261E27" w:rsidP="007A4797">
            <w:pPr>
              <w:jc w:val="center"/>
              <w:rPr>
                <w:sz w:val="22"/>
                <w:szCs w:val="22"/>
              </w:rPr>
            </w:pPr>
            <w:r w:rsidRPr="007A4797">
              <w:rPr>
                <w:sz w:val="22"/>
                <w:szCs w:val="22"/>
              </w:rPr>
              <w:t>2007</w:t>
            </w:r>
          </w:p>
        </w:tc>
        <w:tc>
          <w:tcPr>
            <w:tcW w:w="1843" w:type="dxa"/>
            <w:tcBorders>
              <w:top w:val="single" w:sz="6" w:space="0" w:color="000000"/>
            </w:tcBorders>
            <w:noWrap/>
          </w:tcPr>
          <w:p w:rsidR="00261E27" w:rsidRPr="007A4797" w:rsidRDefault="00261E27" w:rsidP="007A4797">
            <w:pPr>
              <w:tabs>
                <w:tab w:val="left" w:pos="885"/>
              </w:tabs>
              <w:ind w:right="601"/>
              <w:jc w:val="right"/>
              <w:rPr>
                <w:sz w:val="22"/>
                <w:szCs w:val="22"/>
              </w:rPr>
            </w:pPr>
            <w:r w:rsidRPr="007A4797">
              <w:rPr>
                <w:sz w:val="22"/>
                <w:szCs w:val="22"/>
              </w:rPr>
              <w:t>154</w:t>
            </w:r>
          </w:p>
        </w:tc>
        <w:tc>
          <w:tcPr>
            <w:tcW w:w="3506" w:type="dxa"/>
            <w:tcBorders>
              <w:top w:val="single" w:sz="6" w:space="0" w:color="000000"/>
            </w:tcBorders>
            <w:noWrap/>
          </w:tcPr>
          <w:p w:rsidR="00261E27" w:rsidRPr="007A4797" w:rsidRDefault="00261E27" w:rsidP="007A4797">
            <w:pPr>
              <w:ind w:right="1413"/>
              <w:jc w:val="right"/>
              <w:rPr>
                <w:sz w:val="22"/>
                <w:szCs w:val="22"/>
              </w:rPr>
            </w:pPr>
            <w:r w:rsidRPr="007A4797">
              <w:rPr>
                <w:sz w:val="22"/>
                <w:szCs w:val="22"/>
              </w:rPr>
              <w:t>1,37</w:t>
            </w:r>
          </w:p>
        </w:tc>
        <w:tc>
          <w:tcPr>
            <w:tcW w:w="2589" w:type="dxa"/>
            <w:tcBorders>
              <w:top w:val="single" w:sz="6" w:space="0" w:color="000000"/>
            </w:tcBorders>
            <w:noWrap/>
          </w:tcPr>
          <w:p w:rsidR="00261E27" w:rsidRPr="007A4797" w:rsidRDefault="00261E27" w:rsidP="007A4797">
            <w:pPr>
              <w:tabs>
                <w:tab w:val="left" w:pos="1347"/>
              </w:tabs>
              <w:ind w:right="917"/>
              <w:jc w:val="right"/>
              <w:rPr>
                <w:sz w:val="22"/>
                <w:szCs w:val="22"/>
              </w:rPr>
            </w:pPr>
            <w:r w:rsidRPr="007A4797">
              <w:rPr>
                <w:sz w:val="22"/>
                <w:szCs w:val="22"/>
              </w:rPr>
              <w:t>3766</w:t>
            </w:r>
          </w:p>
        </w:tc>
      </w:tr>
      <w:tr w:rsidR="00261E27" w:rsidRPr="00C65B4F" w:rsidTr="007A4797">
        <w:trPr>
          <w:trHeight w:val="255"/>
        </w:trPr>
        <w:tc>
          <w:tcPr>
            <w:tcW w:w="850" w:type="dxa"/>
            <w:noWrap/>
            <w:vAlign w:val="center"/>
          </w:tcPr>
          <w:p w:rsidR="00261E27" w:rsidRPr="007A4797" w:rsidRDefault="00261E27" w:rsidP="007A4797">
            <w:pPr>
              <w:jc w:val="center"/>
              <w:rPr>
                <w:sz w:val="22"/>
                <w:szCs w:val="22"/>
              </w:rPr>
            </w:pPr>
            <w:r w:rsidRPr="007A4797">
              <w:rPr>
                <w:sz w:val="22"/>
                <w:szCs w:val="22"/>
              </w:rPr>
              <w:t>2008</w:t>
            </w:r>
          </w:p>
        </w:tc>
        <w:tc>
          <w:tcPr>
            <w:tcW w:w="1843" w:type="dxa"/>
            <w:noWrap/>
          </w:tcPr>
          <w:p w:rsidR="00261E27" w:rsidRPr="007A4797" w:rsidRDefault="00261E27" w:rsidP="007A4797">
            <w:pPr>
              <w:tabs>
                <w:tab w:val="left" w:pos="885"/>
              </w:tabs>
              <w:ind w:right="601"/>
              <w:jc w:val="right"/>
              <w:rPr>
                <w:sz w:val="22"/>
                <w:szCs w:val="22"/>
              </w:rPr>
            </w:pPr>
            <w:r w:rsidRPr="007A4797">
              <w:rPr>
                <w:sz w:val="22"/>
                <w:szCs w:val="22"/>
              </w:rPr>
              <w:t>157</w:t>
            </w:r>
          </w:p>
        </w:tc>
        <w:tc>
          <w:tcPr>
            <w:tcW w:w="3506" w:type="dxa"/>
            <w:noWrap/>
          </w:tcPr>
          <w:p w:rsidR="00261E27" w:rsidRPr="007A4797" w:rsidRDefault="00261E27" w:rsidP="007A4797">
            <w:pPr>
              <w:ind w:right="1413"/>
              <w:jc w:val="right"/>
              <w:rPr>
                <w:sz w:val="22"/>
                <w:szCs w:val="22"/>
              </w:rPr>
            </w:pPr>
            <w:r w:rsidRPr="007A4797">
              <w:rPr>
                <w:sz w:val="22"/>
                <w:szCs w:val="22"/>
              </w:rPr>
              <w:t>2,11</w:t>
            </w:r>
          </w:p>
        </w:tc>
        <w:tc>
          <w:tcPr>
            <w:tcW w:w="2589" w:type="dxa"/>
            <w:noWrap/>
          </w:tcPr>
          <w:p w:rsidR="00261E27" w:rsidRPr="007A4797" w:rsidRDefault="00261E27" w:rsidP="007A4797">
            <w:pPr>
              <w:tabs>
                <w:tab w:val="left" w:pos="1347"/>
              </w:tabs>
              <w:ind w:right="917"/>
              <w:jc w:val="right"/>
              <w:rPr>
                <w:sz w:val="22"/>
                <w:szCs w:val="22"/>
              </w:rPr>
            </w:pPr>
            <w:r w:rsidRPr="007A4797">
              <w:rPr>
                <w:sz w:val="22"/>
                <w:szCs w:val="22"/>
              </w:rPr>
              <w:t>3154</w:t>
            </w:r>
          </w:p>
        </w:tc>
      </w:tr>
      <w:tr w:rsidR="00261E27" w:rsidRPr="00C65B4F" w:rsidTr="007A4797">
        <w:trPr>
          <w:trHeight w:val="255"/>
        </w:trPr>
        <w:tc>
          <w:tcPr>
            <w:tcW w:w="850" w:type="dxa"/>
            <w:noWrap/>
            <w:vAlign w:val="center"/>
          </w:tcPr>
          <w:p w:rsidR="00261E27" w:rsidRPr="007A4797" w:rsidRDefault="00261E27" w:rsidP="007A4797">
            <w:pPr>
              <w:jc w:val="center"/>
              <w:rPr>
                <w:sz w:val="22"/>
                <w:szCs w:val="22"/>
              </w:rPr>
            </w:pPr>
            <w:r w:rsidRPr="007A4797">
              <w:rPr>
                <w:sz w:val="22"/>
                <w:szCs w:val="22"/>
              </w:rPr>
              <w:t>2009</w:t>
            </w:r>
          </w:p>
        </w:tc>
        <w:tc>
          <w:tcPr>
            <w:tcW w:w="1843" w:type="dxa"/>
            <w:noWrap/>
          </w:tcPr>
          <w:p w:rsidR="00261E27" w:rsidRPr="007A4797" w:rsidRDefault="00261E27" w:rsidP="007A4797">
            <w:pPr>
              <w:tabs>
                <w:tab w:val="left" w:pos="885"/>
              </w:tabs>
              <w:ind w:right="601"/>
              <w:jc w:val="right"/>
              <w:rPr>
                <w:sz w:val="22"/>
                <w:szCs w:val="22"/>
              </w:rPr>
            </w:pPr>
            <w:r w:rsidRPr="007A4797">
              <w:rPr>
                <w:sz w:val="22"/>
                <w:szCs w:val="22"/>
              </w:rPr>
              <w:t>115</w:t>
            </w:r>
          </w:p>
        </w:tc>
        <w:tc>
          <w:tcPr>
            <w:tcW w:w="3506" w:type="dxa"/>
            <w:noWrap/>
          </w:tcPr>
          <w:p w:rsidR="00261E27" w:rsidRPr="007A4797" w:rsidRDefault="00261E27" w:rsidP="007A4797">
            <w:pPr>
              <w:ind w:right="1413"/>
              <w:jc w:val="right"/>
              <w:rPr>
                <w:sz w:val="22"/>
                <w:szCs w:val="22"/>
              </w:rPr>
            </w:pPr>
            <w:r w:rsidRPr="007A4797">
              <w:rPr>
                <w:sz w:val="22"/>
                <w:szCs w:val="22"/>
              </w:rPr>
              <w:t>1,16</w:t>
            </w:r>
          </w:p>
        </w:tc>
        <w:tc>
          <w:tcPr>
            <w:tcW w:w="2589" w:type="dxa"/>
            <w:noWrap/>
          </w:tcPr>
          <w:p w:rsidR="00261E27" w:rsidRPr="007A4797" w:rsidRDefault="00261E27" w:rsidP="007A4797">
            <w:pPr>
              <w:tabs>
                <w:tab w:val="left" w:pos="1347"/>
              </w:tabs>
              <w:ind w:right="917"/>
              <w:jc w:val="right"/>
              <w:rPr>
                <w:sz w:val="22"/>
                <w:szCs w:val="22"/>
              </w:rPr>
            </w:pPr>
            <w:r w:rsidRPr="007A4797">
              <w:rPr>
                <w:sz w:val="22"/>
                <w:szCs w:val="22"/>
              </w:rPr>
              <w:t>2040</w:t>
            </w:r>
          </w:p>
        </w:tc>
      </w:tr>
      <w:tr w:rsidR="00261E27" w:rsidRPr="00C65B4F" w:rsidTr="007A4797">
        <w:trPr>
          <w:trHeight w:val="255"/>
        </w:trPr>
        <w:tc>
          <w:tcPr>
            <w:tcW w:w="850" w:type="dxa"/>
            <w:tcBorders>
              <w:bottom w:val="nil"/>
            </w:tcBorders>
            <w:noWrap/>
            <w:vAlign w:val="center"/>
          </w:tcPr>
          <w:p w:rsidR="00261E27" w:rsidRPr="007A4797" w:rsidRDefault="00261E27" w:rsidP="007A4797">
            <w:pPr>
              <w:jc w:val="center"/>
              <w:rPr>
                <w:sz w:val="22"/>
                <w:szCs w:val="22"/>
              </w:rPr>
            </w:pPr>
            <w:r w:rsidRPr="007A4797">
              <w:rPr>
                <w:sz w:val="22"/>
                <w:szCs w:val="22"/>
              </w:rPr>
              <w:t>2010</w:t>
            </w:r>
          </w:p>
        </w:tc>
        <w:tc>
          <w:tcPr>
            <w:tcW w:w="1843" w:type="dxa"/>
            <w:tcBorders>
              <w:bottom w:val="nil"/>
            </w:tcBorders>
            <w:noWrap/>
          </w:tcPr>
          <w:p w:rsidR="00261E27" w:rsidRPr="007A4797" w:rsidRDefault="00261E27" w:rsidP="007A4797">
            <w:pPr>
              <w:tabs>
                <w:tab w:val="left" w:pos="885"/>
              </w:tabs>
              <w:ind w:right="601"/>
              <w:jc w:val="right"/>
              <w:rPr>
                <w:sz w:val="22"/>
                <w:szCs w:val="22"/>
              </w:rPr>
            </w:pPr>
            <w:r w:rsidRPr="007A4797">
              <w:rPr>
                <w:sz w:val="22"/>
                <w:szCs w:val="22"/>
              </w:rPr>
              <w:t>155</w:t>
            </w:r>
          </w:p>
        </w:tc>
        <w:tc>
          <w:tcPr>
            <w:tcW w:w="3506" w:type="dxa"/>
            <w:tcBorders>
              <w:bottom w:val="nil"/>
            </w:tcBorders>
            <w:noWrap/>
          </w:tcPr>
          <w:p w:rsidR="00261E27" w:rsidRPr="007A4797" w:rsidRDefault="00261E27" w:rsidP="007A4797">
            <w:pPr>
              <w:ind w:right="1413"/>
              <w:jc w:val="right"/>
              <w:rPr>
                <w:sz w:val="22"/>
                <w:szCs w:val="22"/>
              </w:rPr>
            </w:pPr>
            <w:r w:rsidRPr="007A4797">
              <w:rPr>
                <w:sz w:val="22"/>
                <w:szCs w:val="22"/>
              </w:rPr>
              <w:t>2,03</w:t>
            </w:r>
          </w:p>
        </w:tc>
        <w:tc>
          <w:tcPr>
            <w:tcW w:w="2589" w:type="dxa"/>
            <w:tcBorders>
              <w:bottom w:val="nil"/>
            </w:tcBorders>
            <w:noWrap/>
          </w:tcPr>
          <w:p w:rsidR="00261E27" w:rsidRPr="007A4797" w:rsidRDefault="00261E27" w:rsidP="007A4797">
            <w:pPr>
              <w:tabs>
                <w:tab w:val="left" w:pos="1347"/>
              </w:tabs>
              <w:ind w:right="917"/>
              <w:jc w:val="right"/>
              <w:rPr>
                <w:sz w:val="22"/>
                <w:szCs w:val="22"/>
              </w:rPr>
            </w:pPr>
            <w:r w:rsidRPr="007A4797">
              <w:rPr>
                <w:sz w:val="22"/>
                <w:szCs w:val="22"/>
              </w:rPr>
              <w:t>3481</w:t>
            </w:r>
          </w:p>
        </w:tc>
      </w:tr>
      <w:tr w:rsidR="00261E27" w:rsidRPr="00C65B4F" w:rsidTr="007A4797">
        <w:trPr>
          <w:trHeight w:val="255"/>
        </w:trPr>
        <w:tc>
          <w:tcPr>
            <w:tcW w:w="850" w:type="dxa"/>
            <w:tcBorders>
              <w:top w:val="nil"/>
              <w:bottom w:val="single" w:sz="12" w:space="0" w:color="000000"/>
            </w:tcBorders>
            <w:noWrap/>
            <w:vAlign w:val="center"/>
          </w:tcPr>
          <w:p w:rsidR="00261E27" w:rsidRPr="007A4797" w:rsidRDefault="00261E27" w:rsidP="007A4797">
            <w:pPr>
              <w:jc w:val="center"/>
              <w:rPr>
                <w:sz w:val="22"/>
                <w:szCs w:val="22"/>
              </w:rPr>
            </w:pPr>
            <w:r w:rsidRPr="007A4797">
              <w:rPr>
                <w:sz w:val="22"/>
                <w:szCs w:val="22"/>
              </w:rPr>
              <w:t>2011</w:t>
            </w:r>
          </w:p>
        </w:tc>
        <w:tc>
          <w:tcPr>
            <w:tcW w:w="1843" w:type="dxa"/>
            <w:tcBorders>
              <w:top w:val="nil"/>
              <w:bottom w:val="single" w:sz="12" w:space="0" w:color="000000"/>
            </w:tcBorders>
            <w:noWrap/>
          </w:tcPr>
          <w:p w:rsidR="00261E27" w:rsidRPr="007A4797" w:rsidRDefault="00261E27" w:rsidP="007A4797">
            <w:pPr>
              <w:tabs>
                <w:tab w:val="left" w:pos="885"/>
              </w:tabs>
              <w:ind w:right="601"/>
              <w:jc w:val="right"/>
              <w:rPr>
                <w:sz w:val="22"/>
                <w:szCs w:val="22"/>
              </w:rPr>
            </w:pPr>
            <w:r w:rsidRPr="007A4797">
              <w:rPr>
                <w:sz w:val="22"/>
                <w:szCs w:val="22"/>
              </w:rPr>
              <w:t>174</w:t>
            </w:r>
          </w:p>
        </w:tc>
        <w:tc>
          <w:tcPr>
            <w:tcW w:w="3506" w:type="dxa"/>
            <w:tcBorders>
              <w:top w:val="nil"/>
              <w:bottom w:val="single" w:sz="12" w:space="0" w:color="000000"/>
            </w:tcBorders>
            <w:noWrap/>
          </w:tcPr>
          <w:p w:rsidR="00261E27" w:rsidRPr="007A4797" w:rsidRDefault="00261E27" w:rsidP="007A4797">
            <w:pPr>
              <w:ind w:right="1413"/>
              <w:jc w:val="right"/>
              <w:rPr>
                <w:sz w:val="22"/>
                <w:szCs w:val="22"/>
              </w:rPr>
            </w:pPr>
            <w:r w:rsidRPr="007A4797">
              <w:rPr>
                <w:sz w:val="22"/>
                <w:szCs w:val="22"/>
              </w:rPr>
              <w:t>1,79</w:t>
            </w:r>
          </w:p>
        </w:tc>
        <w:tc>
          <w:tcPr>
            <w:tcW w:w="2589" w:type="dxa"/>
            <w:tcBorders>
              <w:top w:val="nil"/>
              <w:bottom w:val="single" w:sz="12" w:space="0" w:color="000000"/>
            </w:tcBorders>
            <w:noWrap/>
          </w:tcPr>
          <w:p w:rsidR="00261E27" w:rsidRPr="007A4797" w:rsidRDefault="00261E27" w:rsidP="007A4797">
            <w:pPr>
              <w:tabs>
                <w:tab w:val="left" w:pos="1347"/>
              </w:tabs>
              <w:ind w:right="917"/>
              <w:jc w:val="right"/>
              <w:rPr>
                <w:sz w:val="22"/>
                <w:szCs w:val="22"/>
              </w:rPr>
            </w:pPr>
            <w:r w:rsidRPr="007A4797">
              <w:rPr>
                <w:sz w:val="22"/>
                <w:szCs w:val="22"/>
              </w:rPr>
              <w:t>3720</w:t>
            </w:r>
          </w:p>
        </w:tc>
      </w:tr>
    </w:tbl>
    <w:p w:rsidR="00261E27" w:rsidRDefault="00261E27" w:rsidP="00F335B4">
      <w:pPr>
        <w:pStyle w:val="StandaardSV"/>
        <w:ind w:left="284" w:hanging="284"/>
        <w:rPr>
          <w:szCs w:val="22"/>
        </w:rPr>
      </w:pPr>
    </w:p>
    <w:p w:rsidR="00261E27" w:rsidRDefault="00261E27" w:rsidP="00F335B4">
      <w:pPr>
        <w:pStyle w:val="StandaardSV"/>
        <w:ind w:left="284" w:hanging="284"/>
        <w:rPr>
          <w:szCs w:val="22"/>
        </w:rPr>
      </w:pPr>
      <w:r>
        <w:rPr>
          <w:szCs w:val="22"/>
        </w:rPr>
        <w:tab/>
        <w:t xml:space="preserve">Het aantal aangetrokken buitenlandse investeringen, evenals het ermee gepaard gaande investeringsbedrag, vertoont traditioneel een erg grillig verloop. Het is dan ook moeilijk om op basis van deze cijfers conclusies te trekken. Dat 2009 op alle vlak een matig jaar was voor de buitenlandse investeringen heeft ongetwijfeld te maken met de economische crisis. Verder kan ik samen met u vaststellen dat het aantal investeringsprojecten een recordhoogte kende in </w:t>
      </w:r>
      <w:smartTag w:uri="urn:schemas-microsoft-com:office:smarttags" w:element="metricconverter">
        <w:smartTagPr>
          <w:attr w:name="ProductID" w:val="2011. In"/>
        </w:smartTagPr>
        <w:r>
          <w:rPr>
            <w:szCs w:val="22"/>
          </w:rPr>
          <w:t xml:space="preserve">2011. </w:t>
        </w:r>
        <w:r w:rsidRPr="00B6471B">
          <w:rPr>
            <w:szCs w:val="22"/>
          </w:rPr>
          <w:t>In</w:t>
        </w:r>
      </w:smartTag>
      <w:r w:rsidRPr="00B6471B">
        <w:rPr>
          <w:szCs w:val="22"/>
        </w:rPr>
        <w:t xml:space="preserve"> 2011 werden 174 nieuwe investeringen gerealiseerd (investeringsbedrag van 1,79 miljard €) die een tewerkstelling van 3720 directe jobs creëer</w:t>
      </w:r>
      <w:r>
        <w:rPr>
          <w:szCs w:val="22"/>
        </w:rPr>
        <w:t>den</w:t>
      </w:r>
      <w:r w:rsidRPr="00B6471B">
        <w:rPr>
          <w:szCs w:val="22"/>
        </w:rPr>
        <w:t>. De positieve tendens van de afgelopen jaren w</w:t>
      </w:r>
      <w:r>
        <w:rPr>
          <w:szCs w:val="22"/>
        </w:rPr>
        <w:t>e</w:t>
      </w:r>
      <w:r w:rsidRPr="00B6471B">
        <w:rPr>
          <w:szCs w:val="22"/>
        </w:rPr>
        <w:t>rd</w:t>
      </w:r>
      <w:r>
        <w:rPr>
          <w:szCs w:val="22"/>
        </w:rPr>
        <w:t xml:space="preserve"> in 2011 dus </w:t>
      </w:r>
      <w:r w:rsidRPr="00B6471B">
        <w:rPr>
          <w:szCs w:val="22"/>
        </w:rPr>
        <w:t>verder gezet</w:t>
      </w:r>
      <w:r>
        <w:rPr>
          <w:szCs w:val="22"/>
        </w:rPr>
        <w:t>. I</w:t>
      </w:r>
      <w:r w:rsidRPr="00B6471B">
        <w:rPr>
          <w:szCs w:val="22"/>
        </w:rPr>
        <w:t xml:space="preserve">n 2010 waren er 155 nieuwe </w:t>
      </w:r>
      <w:r>
        <w:rPr>
          <w:szCs w:val="22"/>
        </w:rPr>
        <w:t>investeringen</w:t>
      </w:r>
      <w:r w:rsidRPr="00B6471B">
        <w:rPr>
          <w:szCs w:val="22"/>
        </w:rPr>
        <w:t xml:space="preserve"> </w:t>
      </w:r>
      <w:r>
        <w:rPr>
          <w:szCs w:val="22"/>
        </w:rPr>
        <w:t xml:space="preserve">(die 3481 jobs creëerden) </w:t>
      </w:r>
      <w:r w:rsidRPr="00B6471B">
        <w:rPr>
          <w:szCs w:val="22"/>
        </w:rPr>
        <w:t>en in 2009 115</w:t>
      </w:r>
      <w:r>
        <w:rPr>
          <w:szCs w:val="22"/>
        </w:rPr>
        <w:t xml:space="preserve"> (die 2040 jobs creëerden)</w:t>
      </w:r>
      <w:r w:rsidRPr="00B6471B">
        <w:rPr>
          <w:szCs w:val="22"/>
        </w:rPr>
        <w:t>.</w:t>
      </w:r>
      <w:r>
        <w:rPr>
          <w:szCs w:val="22"/>
        </w:rPr>
        <w:t xml:space="preserve"> Om de cijfers van Vlaanderen te vergelijken met die van de andere gewesten in 2011 is het wachten op de publicatie van de European Investment Monitor. Deze komt uit in mei of juni. Voor de jaren 2006 tot 2010 geeft onderstaande tabel een overzicht van het aantal aangetrokken investeringsprojecten per gewest, op basis van cijfers van Ernst &amp; Young (E&amp;Y). Deze cijfers verschillen van de cijfers van FIT in bovenstaande tabel omdat E&amp;Y gebruik maakt van een andere berekeningsmethode dan FIT.</w:t>
      </w:r>
    </w:p>
    <w:p w:rsidR="00261E27" w:rsidRDefault="00261E27" w:rsidP="00F335B4">
      <w:pPr>
        <w:pStyle w:val="StandaardSV"/>
        <w:ind w:left="284" w:hanging="284"/>
        <w:rPr>
          <w:szCs w:val="22"/>
        </w:rPr>
      </w:pPr>
    </w:p>
    <w:tbl>
      <w:tblPr>
        <w:tblW w:w="8788" w:type="dxa"/>
        <w:tblInd w:w="392" w:type="dxa"/>
        <w:tblBorders>
          <w:top w:val="single" w:sz="12" w:space="0" w:color="008000"/>
          <w:bottom w:val="single" w:sz="12" w:space="0" w:color="008000"/>
        </w:tblBorders>
        <w:tblLayout w:type="fixed"/>
        <w:tblLook w:val="00A0"/>
      </w:tblPr>
      <w:tblGrid>
        <w:gridCol w:w="2126"/>
        <w:gridCol w:w="2220"/>
        <w:gridCol w:w="2221"/>
        <w:gridCol w:w="2221"/>
      </w:tblGrid>
      <w:tr w:rsidR="00261E27" w:rsidRPr="00C65B4F" w:rsidTr="007A4797">
        <w:trPr>
          <w:trHeight w:val="270"/>
        </w:trPr>
        <w:tc>
          <w:tcPr>
            <w:tcW w:w="2126" w:type="dxa"/>
            <w:tcBorders>
              <w:top w:val="single" w:sz="12" w:space="0" w:color="000000"/>
              <w:bottom w:val="single" w:sz="6" w:space="0" w:color="008000"/>
            </w:tcBorders>
            <w:noWrap/>
            <w:vAlign w:val="center"/>
          </w:tcPr>
          <w:p w:rsidR="00261E27" w:rsidRPr="007A4797" w:rsidRDefault="00261E27" w:rsidP="007A4797">
            <w:pPr>
              <w:jc w:val="center"/>
              <w:rPr>
                <w:b/>
                <w:bCs/>
                <w:i/>
                <w:sz w:val="22"/>
                <w:szCs w:val="22"/>
              </w:rPr>
            </w:pPr>
            <w:r w:rsidRPr="007A4797">
              <w:rPr>
                <w:b/>
                <w:bCs/>
                <w:i/>
                <w:sz w:val="22"/>
                <w:szCs w:val="22"/>
              </w:rPr>
              <w:t>Jaar</w:t>
            </w:r>
          </w:p>
        </w:tc>
        <w:tc>
          <w:tcPr>
            <w:tcW w:w="2220" w:type="dxa"/>
            <w:tcBorders>
              <w:top w:val="single" w:sz="12" w:space="0" w:color="000000"/>
              <w:bottom w:val="single" w:sz="6" w:space="0" w:color="008000"/>
            </w:tcBorders>
            <w:noWrap/>
            <w:vAlign w:val="center"/>
          </w:tcPr>
          <w:p w:rsidR="00261E27" w:rsidRPr="007A4797" w:rsidRDefault="00261E27" w:rsidP="007A4797">
            <w:pPr>
              <w:jc w:val="center"/>
              <w:rPr>
                <w:b/>
                <w:bCs/>
                <w:i/>
                <w:sz w:val="22"/>
                <w:szCs w:val="22"/>
              </w:rPr>
            </w:pPr>
            <w:r w:rsidRPr="007A4797">
              <w:rPr>
                <w:b/>
                <w:bCs/>
                <w:i/>
                <w:sz w:val="22"/>
                <w:szCs w:val="22"/>
              </w:rPr>
              <w:t>Vlaanderen</w:t>
            </w:r>
          </w:p>
        </w:tc>
        <w:tc>
          <w:tcPr>
            <w:tcW w:w="2221" w:type="dxa"/>
            <w:tcBorders>
              <w:top w:val="single" w:sz="12" w:space="0" w:color="000000"/>
              <w:bottom w:val="single" w:sz="6" w:space="0" w:color="008000"/>
            </w:tcBorders>
            <w:noWrap/>
            <w:vAlign w:val="center"/>
          </w:tcPr>
          <w:p w:rsidR="00261E27" w:rsidRPr="007A4797" w:rsidRDefault="00261E27" w:rsidP="007A4797">
            <w:pPr>
              <w:jc w:val="center"/>
              <w:rPr>
                <w:b/>
                <w:bCs/>
                <w:i/>
                <w:sz w:val="22"/>
                <w:szCs w:val="22"/>
              </w:rPr>
            </w:pPr>
            <w:r w:rsidRPr="007A4797">
              <w:rPr>
                <w:b/>
                <w:bCs/>
                <w:i/>
                <w:sz w:val="22"/>
                <w:szCs w:val="22"/>
              </w:rPr>
              <w:t>Wallonië</w:t>
            </w:r>
          </w:p>
        </w:tc>
        <w:tc>
          <w:tcPr>
            <w:tcW w:w="2221" w:type="dxa"/>
            <w:tcBorders>
              <w:top w:val="single" w:sz="12" w:space="0" w:color="000000"/>
              <w:bottom w:val="single" w:sz="6" w:space="0" w:color="008000"/>
            </w:tcBorders>
            <w:noWrap/>
            <w:vAlign w:val="center"/>
          </w:tcPr>
          <w:p w:rsidR="00261E27" w:rsidRPr="007A4797" w:rsidRDefault="00261E27" w:rsidP="007A4797">
            <w:pPr>
              <w:ind w:left="72"/>
              <w:jc w:val="center"/>
              <w:rPr>
                <w:b/>
                <w:bCs/>
                <w:i/>
                <w:sz w:val="22"/>
                <w:szCs w:val="22"/>
              </w:rPr>
            </w:pPr>
            <w:r w:rsidRPr="007A4797">
              <w:rPr>
                <w:b/>
                <w:bCs/>
                <w:i/>
                <w:sz w:val="22"/>
                <w:szCs w:val="22"/>
              </w:rPr>
              <w:t>Brussel</w:t>
            </w:r>
          </w:p>
        </w:tc>
      </w:tr>
      <w:tr w:rsidR="00261E27" w:rsidRPr="00C65B4F" w:rsidTr="007A4797">
        <w:trPr>
          <w:trHeight w:val="255"/>
        </w:trPr>
        <w:tc>
          <w:tcPr>
            <w:tcW w:w="2126" w:type="dxa"/>
            <w:tcBorders>
              <w:top w:val="single" w:sz="6" w:space="0" w:color="000000"/>
            </w:tcBorders>
            <w:noWrap/>
            <w:vAlign w:val="center"/>
          </w:tcPr>
          <w:p w:rsidR="00261E27" w:rsidRPr="007A4797" w:rsidRDefault="00261E27" w:rsidP="007A4797">
            <w:pPr>
              <w:jc w:val="center"/>
              <w:rPr>
                <w:sz w:val="22"/>
                <w:szCs w:val="22"/>
              </w:rPr>
            </w:pPr>
            <w:r w:rsidRPr="007A4797">
              <w:rPr>
                <w:sz w:val="22"/>
                <w:szCs w:val="22"/>
              </w:rPr>
              <w:t>2006</w:t>
            </w:r>
          </w:p>
        </w:tc>
        <w:tc>
          <w:tcPr>
            <w:tcW w:w="2220" w:type="dxa"/>
            <w:tcBorders>
              <w:top w:val="single" w:sz="6" w:space="0" w:color="000000"/>
            </w:tcBorders>
            <w:noWrap/>
          </w:tcPr>
          <w:p w:rsidR="00261E27" w:rsidRPr="007A4797" w:rsidRDefault="00261E27" w:rsidP="007A4797">
            <w:pPr>
              <w:tabs>
                <w:tab w:val="left" w:pos="885"/>
              </w:tabs>
              <w:ind w:right="836"/>
              <w:jc w:val="right"/>
              <w:rPr>
                <w:sz w:val="22"/>
                <w:szCs w:val="22"/>
              </w:rPr>
            </w:pPr>
            <w:r w:rsidRPr="007A4797">
              <w:rPr>
                <w:sz w:val="22"/>
                <w:szCs w:val="22"/>
              </w:rPr>
              <w:t>105</w:t>
            </w:r>
          </w:p>
        </w:tc>
        <w:tc>
          <w:tcPr>
            <w:tcW w:w="2221" w:type="dxa"/>
            <w:tcBorders>
              <w:top w:val="single" w:sz="6" w:space="0" w:color="000000"/>
            </w:tcBorders>
            <w:noWrap/>
            <w:vAlign w:val="center"/>
          </w:tcPr>
          <w:p w:rsidR="00261E27" w:rsidRPr="007A4797" w:rsidRDefault="00261E27" w:rsidP="007A4797">
            <w:pPr>
              <w:ind w:right="931"/>
              <w:jc w:val="right"/>
              <w:rPr>
                <w:sz w:val="22"/>
                <w:szCs w:val="22"/>
              </w:rPr>
            </w:pPr>
            <w:r w:rsidRPr="007A4797">
              <w:rPr>
                <w:sz w:val="22"/>
                <w:szCs w:val="22"/>
              </w:rPr>
              <w:t>47</w:t>
            </w:r>
          </w:p>
        </w:tc>
        <w:tc>
          <w:tcPr>
            <w:tcW w:w="2221" w:type="dxa"/>
            <w:tcBorders>
              <w:top w:val="single" w:sz="6" w:space="0" w:color="000000"/>
            </w:tcBorders>
            <w:noWrap/>
          </w:tcPr>
          <w:p w:rsidR="00261E27" w:rsidRPr="007A4797" w:rsidRDefault="00261E27" w:rsidP="007A4797">
            <w:pPr>
              <w:tabs>
                <w:tab w:val="left" w:pos="1347"/>
              </w:tabs>
              <w:ind w:right="917"/>
              <w:jc w:val="right"/>
              <w:rPr>
                <w:sz w:val="22"/>
                <w:szCs w:val="22"/>
              </w:rPr>
            </w:pPr>
            <w:r w:rsidRPr="007A4797">
              <w:rPr>
                <w:sz w:val="22"/>
                <w:szCs w:val="22"/>
              </w:rPr>
              <w:t>33</w:t>
            </w:r>
          </w:p>
        </w:tc>
      </w:tr>
      <w:tr w:rsidR="00261E27" w:rsidRPr="00C65B4F" w:rsidTr="007A4797">
        <w:trPr>
          <w:trHeight w:val="255"/>
        </w:trPr>
        <w:tc>
          <w:tcPr>
            <w:tcW w:w="2126" w:type="dxa"/>
            <w:noWrap/>
            <w:vAlign w:val="center"/>
          </w:tcPr>
          <w:p w:rsidR="00261E27" w:rsidRPr="007A4797" w:rsidRDefault="00261E27" w:rsidP="007A4797">
            <w:pPr>
              <w:jc w:val="center"/>
              <w:rPr>
                <w:sz w:val="22"/>
                <w:szCs w:val="22"/>
              </w:rPr>
            </w:pPr>
            <w:r w:rsidRPr="007A4797">
              <w:rPr>
                <w:sz w:val="22"/>
                <w:szCs w:val="22"/>
              </w:rPr>
              <w:t>2007</w:t>
            </w:r>
          </w:p>
        </w:tc>
        <w:tc>
          <w:tcPr>
            <w:tcW w:w="2220" w:type="dxa"/>
            <w:noWrap/>
          </w:tcPr>
          <w:p w:rsidR="00261E27" w:rsidRPr="007A4797" w:rsidRDefault="00261E27" w:rsidP="007A4797">
            <w:pPr>
              <w:tabs>
                <w:tab w:val="left" w:pos="885"/>
              </w:tabs>
              <w:ind w:right="836"/>
              <w:jc w:val="right"/>
              <w:rPr>
                <w:sz w:val="22"/>
                <w:szCs w:val="22"/>
              </w:rPr>
            </w:pPr>
            <w:r w:rsidRPr="007A4797">
              <w:rPr>
                <w:sz w:val="22"/>
                <w:szCs w:val="22"/>
              </w:rPr>
              <w:t>89</w:t>
            </w:r>
          </w:p>
        </w:tc>
        <w:tc>
          <w:tcPr>
            <w:tcW w:w="2221" w:type="dxa"/>
            <w:noWrap/>
            <w:vAlign w:val="center"/>
          </w:tcPr>
          <w:p w:rsidR="00261E27" w:rsidRPr="007A4797" w:rsidRDefault="00261E27" w:rsidP="007A4797">
            <w:pPr>
              <w:ind w:right="931"/>
              <w:jc w:val="right"/>
              <w:rPr>
                <w:sz w:val="22"/>
                <w:szCs w:val="22"/>
              </w:rPr>
            </w:pPr>
            <w:r w:rsidRPr="007A4797">
              <w:rPr>
                <w:sz w:val="22"/>
                <w:szCs w:val="22"/>
              </w:rPr>
              <w:t>44</w:t>
            </w:r>
          </w:p>
        </w:tc>
        <w:tc>
          <w:tcPr>
            <w:tcW w:w="2221" w:type="dxa"/>
            <w:noWrap/>
          </w:tcPr>
          <w:p w:rsidR="00261E27" w:rsidRPr="007A4797" w:rsidRDefault="00261E27" w:rsidP="007A4797">
            <w:pPr>
              <w:tabs>
                <w:tab w:val="left" w:pos="1347"/>
              </w:tabs>
              <w:ind w:right="917"/>
              <w:jc w:val="right"/>
              <w:rPr>
                <w:sz w:val="22"/>
                <w:szCs w:val="22"/>
              </w:rPr>
            </w:pPr>
            <w:r w:rsidRPr="007A4797">
              <w:rPr>
                <w:sz w:val="22"/>
                <w:szCs w:val="22"/>
              </w:rPr>
              <w:t>42</w:t>
            </w:r>
          </w:p>
        </w:tc>
      </w:tr>
      <w:tr w:rsidR="00261E27" w:rsidRPr="00C65B4F" w:rsidTr="007A4797">
        <w:trPr>
          <w:trHeight w:val="255"/>
        </w:trPr>
        <w:tc>
          <w:tcPr>
            <w:tcW w:w="2126" w:type="dxa"/>
            <w:noWrap/>
            <w:vAlign w:val="center"/>
          </w:tcPr>
          <w:p w:rsidR="00261E27" w:rsidRPr="007A4797" w:rsidRDefault="00261E27" w:rsidP="007A4797">
            <w:pPr>
              <w:jc w:val="center"/>
              <w:rPr>
                <w:sz w:val="22"/>
                <w:szCs w:val="22"/>
              </w:rPr>
            </w:pPr>
            <w:r w:rsidRPr="007A4797">
              <w:rPr>
                <w:sz w:val="22"/>
                <w:szCs w:val="22"/>
              </w:rPr>
              <w:t>2008</w:t>
            </w:r>
          </w:p>
        </w:tc>
        <w:tc>
          <w:tcPr>
            <w:tcW w:w="2220" w:type="dxa"/>
            <w:noWrap/>
          </w:tcPr>
          <w:p w:rsidR="00261E27" w:rsidRPr="007A4797" w:rsidRDefault="00261E27" w:rsidP="007A4797">
            <w:pPr>
              <w:tabs>
                <w:tab w:val="left" w:pos="885"/>
              </w:tabs>
              <w:ind w:right="836"/>
              <w:jc w:val="right"/>
              <w:rPr>
                <w:sz w:val="22"/>
                <w:szCs w:val="22"/>
              </w:rPr>
            </w:pPr>
            <w:r w:rsidRPr="007A4797">
              <w:rPr>
                <w:sz w:val="22"/>
                <w:szCs w:val="22"/>
              </w:rPr>
              <w:t>74</w:t>
            </w:r>
          </w:p>
        </w:tc>
        <w:tc>
          <w:tcPr>
            <w:tcW w:w="2221" w:type="dxa"/>
            <w:noWrap/>
            <w:vAlign w:val="center"/>
          </w:tcPr>
          <w:p w:rsidR="00261E27" w:rsidRPr="007A4797" w:rsidRDefault="00261E27" w:rsidP="007A4797">
            <w:pPr>
              <w:ind w:right="931"/>
              <w:jc w:val="right"/>
              <w:rPr>
                <w:sz w:val="22"/>
                <w:szCs w:val="22"/>
              </w:rPr>
            </w:pPr>
            <w:r w:rsidRPr="007A4797">
              <w:rPr>
                <w:sz w:val="22"/>
                <w:szCs w:val="22"/>
              </w:rPr>
              <w:t>40</w:t>
            </w:r>
          </w:p>
        </w:tc>
        <w:tc>
          <w:tcPr>
            <w:tcW w:w="2221" w:type="dxa"/>
            <w:noWrap/>
          </w:tcPr>
          <w:p w:rsidR="00261E27" w:rsidRPr="007A4797" w:rsidRDefault="00261E27" w:rsidP="007A4797">
            <w:pPr>
              <w:tabs>
                <w:tab w:val="left" w:pos="1347"/>
              </w:tabs>
              <w:ind w:right="917"/>
              <w:jc w:val="right"/>
              <w:rPr>
                <w:sz w:val="22"/>
                <w:szCs w:val="22"/>
              </w:rPr>
            </w:pPr>
            <w:r w:rsidRPr="007A4797">
              <w:rPr>
                <w:sz w:val="22"/>
                <w:szCs w:val="22"/>
              </w:rPr>
              <w:t>28</w:t>
            </w:r>
          </w:p>
        </w:tc>
      </w:tr>
      <w:tr w:rsidR="00261E27" w:rsidRPr="00C65B4F" w:rsidTr="007A4797">
        <w:trPr>
          <w:trHeight w:val="255"/>
        </w:trPr>
        <w:tc>
          <w:tcPr>
            <w:tcW w:w="2126" w:type="dxa"/>
            <w:tcBorders>
              <w:bottom w:val="nil"/>
            </w:tcBorders>
            <w:noWrap/>
            <w:vAlign w:val="center"/>
          </w:tcPr>
          <w:p w:rsidR="00261E27" w:rsidRPr="007A4797" w:rsidRDefault="00261E27" w:rsidP="007A4797">
            <w:pPr>
              <w:jc w:val="center"/>
              <w:rPr>
                <w:sz w:val="22"/>
                <w:szCs w:val="22"/>
              </w:rPr>
            </w:pPr>
            <w:r w:rsidRPr="007A4797">
              <w:rPr>
                <w:sz w:val="22"/>
                <w:szCs w:val="22"/>
              </w:rPr>
              <w:t>2009</w:t>
            </w:r>
          </w:p>
        </w:tc>
        <w:tc>
          <w:tcPr>
            <w:tcW w:w="2220" w:type="dxa"/>
            <w:tcBorders>
              <w:bottom w:val="nil"/>
            </w:tcBorders>
            <w:noWrap/>
          </w:tcPr>
          <w:p w:rsidR="00261E27" w:rsidRPr="007A4797" w:rsidRDefault="00261E27" w:rsidP="007A4797">
            <w:pPr>
              <w:tabs>
                <w:tab w:val="left" w:pos="885"/>
              </w:tabs>
              <w:ind w:right="836"/>
              <w:jc w:val="right"/>
              <w:rPr>
                <w:sz w:val="22"/>
                <w:szCs w:val="22"/>
              </w:rPr>
            </w:pPr>
            <w:r w:rsidRPr="007A4797">
              <w:rPr>
                <w:sz w:val="22"/>
                <w:szCs w:val="22"/>
              </w:rPr>
              <w:t>64</w:t>
            </w:r>
          </w:p>
        </w:tc>
        <w:tc>
          <w:tcPr>
            <w:tcW w:w="2221" w:type="dxa"/>
            <w:tcBorders>
              <w:bottom w:val="nil"/>
            </w:tcBorders>
            <w:noWrap/>
            <w:vAlign w:val="center"/>
          </w:tcPr>
          <w:p w:rsidR="00261E27" w:rsidRPr="007A4797" w:rsidRDefault="00261E27" w:rsidP="007A4797">
            <w:pPr>
              <w:ind w:right="931"/>
              <w:jc w:val="right"/>
              <w:rPr>
                <w:sz w:val="22"/>
                <w:szCs w:val="22"/>
              </w:rPr>
            </w:pPr>
            <w:r w:rsidRPr="007A4797">
              <w:rPr>
                <w:sz w:val="22"/>
                <w:szCs w:val="22"/>
              </w:rPr>
              <w:t>57</w:t>
            </w:r>
          </w:p>
        </w:tc>
        <w:tc>
          <w:tcPr>
            <w:tcW w:w="2221" w:type="dxa"/>
            <w:tcBorders>
              <w:bottom w:val="nil"/>
            </w:tcBorders>
            <w:noWrap/>
          </w:tcPr>
          <w:p w:rsidR="00261E27" w:rsidRPr="007A4797" w:rsidRDefault="00261E27" w:rsidP="007A4797">
            <w:pPr>
              <w:tabs>
                <w:tab w:val="left" w:pos="1347"/>
              </w:tabs>
              <w:ind w:right="917"/>
              <w:jc w:val="right"/>
              <w:rPr>
                <w:sz w:val="22"/>
                <w:szCs w:val="22"/>
              </w:rPr>
            </w:pPr>
            <w:r w:rsidRPr="007A4797">
              <w:rPr>
                <w:sz w:val="22"/>
                <w:szCs w:val="22"/>
              </w:rPr>
              <w:t>25</w:t>
            </w:r>
          </w:p>
        </w:tc>
      </w:tr>
      <w:tr w:rsidR="00261E27" w:rsidRPr="00C65B4F" w:rsidTr="007A4797">
        <w:trPr>
          <w:trHeight w:val="255"/>
        </w:trPr>
        <w:tc>
          <w:tcPr>
            <w:tcW w:w="2126" w:type="dxa"/>
            <w:tcBorders>
              <w:top w:val="nil"/>
              <w:bottom w:val="single" w:sz="12" w:space="0" w:color="000000"/>
            </w:tcBorders>
            <w:noWrap/>
            <w:vAlign w:val="center"/>
          </w:tcPr>
          <w:p w:rsidR="00261E27" w:rsidRPr="007A4797" w:rsidRDefault="00261E27" w:rsidP="007A4797">
            <w:pPr>
              <w:jc w:val="center"/>
              <w:rPr>
                <w:sz w:val="22"/>
                <w:szCs w:val="22"/>
              </w:rPr>
            </w:pPr>
            <w:r w:rsidRPr="007A4797">
              <w:rPr>
                <w:sz w:val="22"/>
                <w:szCs w:val="22"/>
              </w:rPr>
              <w:t>2010</w:t>
            </w:r>
          </w:p>
        </w:tc>
        <w:tc>
          <w:tcPr>
            <w:tcW w:w="2220" w:type="dxa"/>
            <w:tcBorders>
              <w:top w:val="nil"/>
              <w:bottom w:val="single" w:sz="12" w:space="0" w:color="000000"/>
            </w:tcBorders>
            <w:noWrap/>
          </w:tcPr>
          <w:p w:rsidR="00261E27" w:rsidRPr="007A4797" w:rsidRDefault="00261E27" w:rsidP="007A4797">
            <w:pPr>
              <w:tabs>
                <w:tab w:val="left" w:pos="885"/>
              </w:tabs>
              <w:ind w:right="836"/>
              <w:jc w:val="right"/>
              <w:rPr>
                <w:sz w:val="22"/>
                <w:szCs w:val="22"/>
              </w:rPr>
            </w:pPr>
            <w:r w:rsidRPr="007A4797">
              <w:rPr>
                <w:sz w:val="22"/>
                <w:szCs w:val="22"/>
              </w:rPr>
              <w:t>108</w:t>
            </w:r>
          </w:p>
        </w:tc>
        <w:tc>
          <w:tcPr>
            <w:tcW w:w="2221" w:type="dxa"/>
            <w:tcBorders>
              <w:top w:val="nil"/>
              <w:bottom w:val="single" w:sz="12" w:space="0" w:color="000000"/>
            </w:tcBorders>
            <w:noWrap/>
            <w:vAlign w:val="center"/>
          </w:tcPr>
          <w:p w:rsidR="00261E27" w:rsidRPr="007A4797" w:rsidRDefault="00261E27" w:rsidP="007A4797">
            <w:pPr>
              <w:ind w:right="931"/>
              <w:jc w:val="right"/>
              <w:rPr>
                <w:sz w:val="22"/>
                <w:szCs w:val="22"/>
              </w:rPr>
            </w:pPr>
            <w:r w:rsidRPr="007A4797">
              <w:rPr>
                <w:sz w:val="22"/>
                <w:szCs w:val="22"/>
              </w:rPr>
              <w:t>31</w:t>
            </w:r>
          </w:p>
        </w:tc>
        <w:tc>
          <w:tcPr>
            <w:tcW w:w="2221" w:type="dxa"/>
            <w:tcBorders>
              <w:top w:val="nil"/>
              <w:bottom w:val="single" w:sz="12" w:space="0" w:color="000000"/>
            </w:tcBorders>
            <w:noWrap/>
          </w:tcPr>
          <w:p w:rsidR="00261E27" w:rsidRPr="007A4797" w:rsidRDefault="00261E27" w:rsidP="007A4797">
            <w:pPr>
              <w:tabs>
                <w:tab w:val="left" w:pos="1347"/>
              </w:tabs>
              <w:ind w:right="917"/>
              <w:jc w:val="right"/>
              <w:rPr>
                <w:sz w:val="22"/>
                <w:szCs w:val="22"/>
              </w:rPr>
            </w:pPr>
            <w:r w:rsidRPr="007A4797">
              <w:rPr>
                <w:sz w:val="22"/>
                <w:szCs w:val="22"/>
              </w:rPr>
              <w:t>20</w:t>
            </w:r>
          </w:p>
        </w:tc>
      </w:tr>
    </w:tbl>
    <w:p w:rsidR="00261E27" w:rsidRDefault="00261E27" w:rsidP="00F335B4">
      <w:pPr>
        <w:pStyle w:val="StandaardSV"/>
        <w:ind w:left="284" w:hanging="284"/>
        <w:rPr>
          <w:szCs w:val="22"/>
        </w:rPr>
      </w:pPr>
    </w:p>
    <w:p w:rsidR="00261E27" w:rsidRDefault="00261E27">
      <w:pPr>
        <w:rPr>
          <w:sz w:val="22"/>
          <w:szCs w:val="22"/>
        </w:rPr>
      </w:pPr>
      <w:r>
        <w:rPr>
          <w:szCs w:val="22"/>
        </w:rPr>
        <w:br w:type="page"/>
      </w:r>
    </w:p>
    <w:p w:rsidR="00261E27" w:rsidRDefault="00261E27" w:rsidP="00F60BEA">
      <w:pPr>
        <w:pStyle w:val="StandaardSV"/>
        <w:numPr>
          <w:ilvl w:val="0"/>
          <w:numId w:val="3"/>
        </w:numPr>
        <w:rPr>
          <w:szCs w:val="22"/>
        </w:rPr>
      </w:pPr>
      <w:r>
        <w:rPr>
          <w:szCs w:val="22"/>
        </w:rPr>
        <w:t>Onderstaande tabel biedt een overzicht van het aantal aangetrokken investeringen per activiteit in 2011.</w:t>
      </w:r>
    </w:p>
    <w:p w:rsidR="00261E27" w:rsidRDefault="00261E27" w:rsidP="0001754E">
      <w:pPr>
        <w:pStyle w:val="StandaardSV"/>
        <w:rPr>
          <w:szCs w:val="22"/>
        </w:rPr>
      </w:pPr>
    </w:p>
    <w:tbl>
      <w:tblPr>
        <w:tblW w:w="0" w:type="auto"/>
        <w:tblInd w:w="392" w:type="dxa"/>
        <w:tblBorders>
          <w:top w:val="single" w:sz="12" w:space="0" w:color="008000"/>
          <w:bottom w:val="single" w:sz="12" w:space="0" w:color="008000"/>
        </w:tblBorders>
        <w:tblLook w:val="00A0"/>
      </w:tblPr>
      <w:tblGrid>
        <w:gridCol w:w="2678"/>
        <w:gridCol w:w="3071"/>
        <w:gridCol w:w="3071"/>
      </w:tblGrid>
      <w:tr w:rsidR="00261E27" w:rsidTr="007A4797">
        <w:tc>
          <w:tcPr>
            <w:tcW w:w="2678" w:type="dxa"/>
            <w:tcBorders>
              <w:top w:val="single" w:sz="12" w:space="0" w:color="auto"/>
              <w:bottom w:val="single" w:sz="6" w:space="0" w:color="auto"/>
            </w:tcBorders>
          </w:tcPr>
          <w:p w:rsidR="00261E27" w:rsidRPr="007A4797" w:rsidRDefault="00261E27" w:rsidP="007A4797">
            <w:pPr>
              <w:pStyle w:val="StandaardSV"/>
              <w:jc w:val="center"/>
              <w:rPr>
                <w:b/>
                <w:i/>
                <w:szCs w:val="22"/>
              </w:rPr>
            </w:pPr>
            <w:r w:rsidRPr="007A4797">
              <w:rPr>
                <w:b/>
                <w:i/>
                <w:szCs w:val="22"/>
              </w:rPr>
              <w:t>Activiteit</w:t>
            </w:r>
          </w:p>
        </w:tc>
        <w:tc>
          <w:tcPr>
            <w:tcW w:w="3071" w:type="dxa"/>
            <w:tcBorders>
              <w:top w:val="single" w:sz="12" w:space="0" w:color="auto"/>
              <w:bottom w:val="single" w:sz="6" w:space="0" w:color="auto"/>
            </w:tcBorders>
            <w:vAlign w:val="center"/>
          </w:tcPr>
          <w:p w:rsidR="00261E27" w:rsidRPr="007A4797" w:rsidRDefault="00261E27" w:rsidP="007A4797">
            <w:pPr>
              <w:pStyle w:val="StandaardSV"/>
              <w:jc w:val="center"/>
              <w:rPr>
                <w:b/>
                <w:i/>
                <w:szCs w:val="22"/>
              </w:rPr>
            </w:pPr>
            <w:r w:rsidRPr="007A4797">
              <w:rPr>
                <w:b/>
                <w:i/>
                <w:szCs w:val="22"/>
              </w:rPr>
              <w:t>Aantal projecten</w:t>
            </w:r>
          </w:p>
        </w:tc>
        <w:tc>
          <w:tcPr>
            <w:tcW w:w="3071" w:type="dxa"/>
            <w:tcBorders>
              <w:top w:val="single" w:sz="12" w:space="0" w:color="auto"/>
              <w:bottom w:val="single" w:sz="6" w:space="0" w:color="auto"/>
            </w:tcBorders>
            <w:vAlign w:val="center"/>
          </w:tcPr>
          <w:p w:rsidR="00261E27" w:rsidRPr="007A4797" w:rsidRDefault="00261E27" w:rsidP="007A4797">
            <w:pPr>
              <w:pStyle w:val="StandaardSV"/>
              <w:jc w:val="center"/>
              <w:rPr>
                <w:b/>
                <w:i/>
                <w:szCs w:val="22"/>
              </w:rPr>
            </w:pPr>
            <w:r w:rsidRPr="007A4797">
              <w:rPr>
                <w:b/>
                <w:i/>
                <w:szCs w:val="22"/>
              </w:rPr>
              <w:t>Aandeel in %</w:t>
            </w:r>
          </w:p>
        </w:tc>
      </w:tr>
      <w:tr w:rsidR="00261E27" w:rsidTr="007A4797">
        <w:tc>
          <w:tcPr>
            <w:tcW w:w="2678" w:type="dxa"/>
            <w:tcBorders>
              <w:top w:val="single" w:sz="6" w:space="0" w:color="auto"/>
            </w:tcBorders>
          </w:tcPr>
          <w:p w:rsidR="00261E27" w:rsidRPr="007A4797" w:rsidRDefault="00261E27" w:rsidP="00F335B4">
            <w:pPr>
              <w:pStyle w:val="StandaardSV"/>
              <w:rPr>
                <w:szCs w:val="22"/>
              </w:rPr>
            </w:pPr>
            <w:r w:rsidRPr="007A4797">
              <w:rPr>
                <w:szCs w:val="22"/>
              </w:rPr>
              <w:t>Hoofdkwartieren</w:t>
            </w:r>
          </w:p>
        </w:tc>
        <w:tc>
          <w:tcPr>
            <w:tcW w:w="3071" w:type="dxa"/>
            <w:tcBorders>
              <w:top w:val="single" w:sz="6" w:space="0" w:color="auto"/>
            </w:tcBorders>
            <w:vAlign w:val="center"/>
          </w:tcPr>
          <w:p w:rsidR="00261E27" w:rsidRPr="007A4797" w:rsidRDefault="00261E27" w:rsidP="007A4797">
            <w:pPr>
              <w:pStyle w:val="StandaardSV"/>
              <w:ind w:right="1247"/>
              <w:jc w:val="right"/>
              <w:rPr>
                <w:szCs w:val="22"/>
              </w:rPr>
            </w:pPr>
            <w:r w:rsidRPr="007A4797">
              <w:rPr>
                <w:szCs w:val="22"/>
              </w:rPr>
              <w:t>5</w:t>
            </w:r>
          </w:p>
        </w:tc>
        <w:tc>
          <w:tcPr>
            <w:tcW w:w="3071" w:type="dxa"/>
            <w:tcBorders>
              <w:top w:val="single" w:sz="6" w:space="0" w:color="auto"/>
            </w:tcBorders>
            <w:vAlign w:val="center"/>
          </w:tcPr>
          <w:p w:rsidR="00261E27" w:rsidRPr="007A4797" w:rsidRDefault="00261E27" w:rsidP="007A4797">
            <w:pPr>
              <w:pStyle w:val="StandaardSV"/>
              <w:ind w:right="1199"/>
              <w:jc w:val="right"/>
              <w:rPr>
                <w:szCs w:val="22"/>
              </w:rPr>
            </w:pPr>
            <w:r w:rsidRPr="007A4797">
              <w:rPr>
                <w:szCs w:val="22"/>
              </w:rPr>
              <w:t>2,9%</w:t>
            </w:r>
          </w:p>
        </w:tc>
      </w:tr>
      <w:tr w:rsidR="00261E27" w:rsidTr="007A4797">
        <w:tc>
          <w:tcPr>
            <w:tcW w:w="2678" w:type="dxa"/>
          </w:tcPr>
          <w:p w:rsidR="00261E27" w:rsidRPr="007A4797" w:rsidRDefault="00261E27" w:rsidP="00F335B4">
            <w:pPr>
              <w:pStyle w:val="StandaardSV"/>
              <w:rPr>
                <w:szCs w:val="22"/>
              </w:rPr>
            </w:pPr>
            <w:r w:rsidRPr="007A4797">
              <w:rPr>
                <w:szCs w:val="22"/>
              </w:rPr>
              <w:t>Logistiek</w:t>
            </w:r>
          </w:p>
        </w:tc>
        <w:tc>
          <w:tcPr>
            <w:tcW w:w="3071" w:type="dxa"/>
            <w:vAlign w:val="center"/>
          </w:tcPr>
          <w:p w:rsidR="00261E27" w:rsidRPr="007A4797" w:rsidRDefault="00261E27" w:rsidP="007A4797">
            <w:pPr>
              <w:pStyle w:val="StandaardSV"/>
              <w:ind w:right="1247"/>
              <w:jc w:val="right"/>
              <w:rPr>
                <w:szCs w:val="22"/>
              </w:rPr>
            </w:pPr>
            <w:r w:rsidRPr="007A4797">
              <w:rPr>
                <w:szCs w:val="22"/>
              </w:rPr>
              <w:t>23</w:t>
            </w:r>
          </w:p>
        </w:tc>
        <w:tc>
          <w:tcPr>
            <w:tcW w:w="3071" w:type="dxa"/>
            <w:vAlign w:val="center"/>
          </w:tcPr>
          <w:p w:rsidR="00261E27" w:rsidRPr="007A4797" w:rsidRDefault="00261E27" w:rsidP="007A4797">
            <w:pPr>
              <w:pStyle w:val="StandaardSV"/>
              <w:ind w:right="1199"/>
              <w:jc w:val="right"/>
              <w:rPr>
                <w:szCs w:val="22"/>
              </w:rPr>
            </w:pPr>
            <w:r w:rsidRPr="007A4797">
              <w:rPr>
                <w:szCs w:val="22"/>
              </w:rPr>
              <w:t>13,2%</w:t>
            </w:r>
          </w:p>
        </w:tc>
      </w:tr>
      <w:tr w:rsidR="00261E27" w:rsidTr="007A4797">
        <w:tc>
          <w:tcPr>
            <w:tcW w:w="2678" w:type="dxa"/>
          </w:tcPr>
          <w:p w:rsidR="00261E27" w:rsidRPr="007A4797" w:rsidRDefault="00261E27" w:rsidP="00F335B4">
            <w:pPr>
              <w:pStyle w:val="StandaardSV"/>
              <w:rPr>
                <w:szCs w:val="22"/>
              </w:rPr>
            </w:pPr>
            <w:r w:rsidRPr="007A4797">
              <w:rPr>
                <w:szCs w:val="22"/>
              </w:rPr>
              <w:t>Productie</w:t>
            </w:r>
          </w:p>
        </w:tc>
        <w:tc>
          <w:tcPr>
            <w:tcW w:w="3071" w:type="dxa"/>
            <w:vAlign w:val="center"/>
          </w:tcPr>
          <w:p w:rsidR="00261E27" w:rsidRPr="007A4797" w:rsidRDefault="00261E27" w:rsidP="007A4797">
            <w:pPr>
              <w:pStyle w:val="StandaardSV"/>
              <w:ind w:right="1247"/>
              <w:jc w:val="right"/>
              <w:rPr>
                <w:szCs w:val="22"/>
              </w:rPr>
            </w:pPr>
            <w:r w:rsidRPr="007A4797">
              <w:rPr>
                <w:szCs w:val="22"/>
              </w:rPr>
              <w:t>59</w:t>
            </w:r>
          </w:p>
        </w:tc>
        <w:tc>
          <w:tcPr>
            <w:tcW w:w="3071" w:type="dxa"/>
            <w:vAlign w:val="center"/>
          </w:tcPr>
          <w:p w:rsidR="00261E27" w:rsidRPr="007A4797" w:rsidRDefault="00261E27" w:rsidP="007A4797">
            <w:pPr>
              <w:pStyle w:val="StandaardSV"/>
              <w:ind w:right="1199"/>
              <w:jc w:val="right"/>
              <w:rPr>
                <w:szCs w:val="22"/>
              </w:rPr>
            </w:pPr>
            <w:r w:rsidRPr="007A4797">
              <w:rPr>
                <w:szCs w:val="22"/>
              </w:rPr>
              <w:t>33,9%</w:t>
            </w:r>
          </w:p>
        </w:tc>
      </w:tr>
      <w:tr w:rsidR="00261E27" w:rsidTr="007A4797">
        <w:tc>
          <w:tcPr>
            <w:tcW w:w="2678" w:type="dxa"/>
          </w:tcPr>
          <w:p w:rsidR="00261E27" w:rsidRPr="007A4797" w:rsidRDefault="00261E27" w:rsidP="00F335B4">
            <w:pPr>
              <w:pStyle w:val="StandaardSV"/>
              <w:rPr>
                <w:szCs w:val="22"/>
              </w:rPr>
            </w:pPr>
            <w:r w:rsidRPr="007A4797">
              <w:rPr>
                <w:szCs w:val="22"/>
              </w:rPr>
              <w:t>Onderzoek &amp; ontwikkeling</w:t>
            </w:r>
          </w:p>
        </w:tc>
        <w:tc>
          <w:tcPr>
            <w:tcW w:w="3071" w:type="dxa"/>
            <w:vAlign w:val="center"/>
          </w:tcPr>
          <w:p w:rsidR="00261E27" w:rsidRPr="007A4797" w:rsidRDefault="00261E27" w:rsidP="007A4797">
            <w:pPr>
              <w:pStyle w:val="StandaardSV"/>
              <w:ind w:right="1247"/>
              <w:jc w:val="right"/>
              <w:rPr>
                <w:szCs w:val="22"/>
              </w:rPr>
            </w:pPr>
            <w:r w:rsidRPr="007A4797">
              <w:rPr>
                <w:szCs w:val="22"/>
              </w:rPr>
              <w:t>19</w:t>
            </w:r>
          </w:p>
        </w:tc>
        <w:tc>
          <w:tcPr>
            <w:tcW w:w="3071" w:type="dxa"/>
            <w:vAlign w:val="center"/>
          </w:tcPr>
          <w:p w:rsidR="00261E27" w:rsidRPr="007A4797" w:rsidRDefault="00261E27" w:rsidP="007A4797">
            <w:pPr>
              <w:pStyle w:val="StandaardSV"/>
              <w:ind w:right="1199"/>
              <w:jc w:val="right"/>
              <w:rPr>
                <w:szCs w:val="22"/>
              </w:rPr>
            </w:pPr>
            <w:r w:rsidRPr="007A4797">
              <w:rPr>
                <w:szCs w:val="22"/>
              </w:rPr>
              <w:t>10,9%</w:t>
            </w:r>
          </w:p>
        </w:tc>
      </w:tr>
      <w:tr w:rsidR="00261E27" w:rsidTr="007A4797">
        <w:tc>
          <w:tcPr>
            <w:tcW w:w="2678" w:type="dxa"/>
          </w:tcPr>
          <w:p w:rsidR="00261E27" w:rsidRPr="007A4797" w:rsidRDefault="00261E27" w:rsidP="00F335B4">
            <w:pPr>
              <w:pStyle w:val="StandaardSV"/>
              <w:rPr>
                <w:szCs w:val="22"/>
              </w:rPr>
            </w:pPr>
            <w:r w:rsidRPr="007A4797">
              <w:rPr>
                <w:szCs w:val="22"/>
              </w:rPr>
              <w:t>Verkoop &amp; marketing</w:t>
            </w:r>
          </w:p>
        </w:tc>
        <w:tc>
          <w:tcPr>
            <w:tcW w:w="3071" w:type="dxa"/>
            <w:vAlign w:val="center"/>
          </w:tcPr>
          <w:p w:rsidR="00261E27" w:rsidRPr="007A4797" w:rsidRDefault="00261E27" w:rsidP="007A4797">
            <w:pPr>
              <w:pStyle w:val="StandaardSV"/>
              <w:ind w:right="1247"/>
              <w:jc w:val="right"/>
              <w:rPr>
                <w:szCs w:val="22"/>
              </w:rPr>
            </w:pPr>
            <w:r w:rsidRPr="007A4797">
              <w:rPr>
                <w:szCs w:val="22"/>
              </w:rPr>
              <w:t>55</w:t>
            </w:r>
          </w:p>
        </w:tc>
        <w:tc>
          <w:tcPr>
            <w:tcW w:w="3071" w:type="dxa"/>
            <w:vAlign w:val="center"/>
          </w:tcPr>
          <w:p w:rsidR="00261E27" w:rsidRPr="007A4797" w:rsidRDefault="00261E27" w:rsidP="007A4797">
            <w:pPr>
              <w:pStyle w:val="StandaardSV"/>
              <w:ind w:right="1199"/>
              <w:jc w:val="right"/>
              <w:rPr>
                <w:szCs w:val="22"/>
              </w:rPr>
            </w:pPr>
            <w:r w:rsidRPr="007A4797">
              <w:rPr>
                <w:szCs w:val="22"/>
              </w:rPr>
              <w:t>31,6%</w:t>
            </w:r>
          </w:p>
        </w:tc>
      </w:tr>
      <w:tr w:rsidR="00261E27" w:rsidTr="007A4797">
        <w:tc>
          <w:tcPr>
            <w:tcW w:w="2678" w:type="dxa"/>
          </w:tcPr>
          <w:p w:rsidR="00261E27" w:rsidRPr="007A4797" w:rsidRDefault="00261E27" w:rsidP="00F335B4">
            <w:pPr>
              <w:pStyle w:val="StandaardSV"/>
              <w:rPr>
                <w:szCs w:val="22"/>
              </w:rPr>
            </w:pPr>
            <w:r w:rsidRPr="007A4797">
              <w:rPr>
                <w:szCs w:val="22"/>
              </w:rPr>
              <w:t>Testen &amp; dienstverlening</w:t>
            </w:r>
          </w:p>
        </w:tc>
        <w:tc>
          <w:tcPr>
            <w:tcW w:w="3071" w:type="dxa"/>
            <w:vAlign w:val="center"/>
          </w:tcPr>
          <w:p w:rsidR="00261E27" w:rsidRPr="007A4797" w:rsidRDefault="00261E27" w:rsidP="007A4797">
            <w:pPr>
              <w:pStyle w:val="StandaardSV"/>
              <w:ind w:right="1247"/>
              <w:jc w:val="right"/>
              <w:rPr>
                <w:szCs w:val="22"/>
              </w:rPr>
            </w:pPr>
            <w:r w:rsidRPr="007A4797">
              <w:rPr>
                <w:szCs w:val="22"/>
              </w:rPr>
              <w:t>2</w:t>
            </w:r>
          </w:p>
        </w:tc>
        <w:tc>
          <w:tcPr>
            <w:tcW w:w="3071" w:type="dxa"/>
            <w:vAlign w:val="center"/>
          </w:tcPr>
          <w:p w:rsidR="00261E27" w:rsidRPr="007A4797" w:rsidRDefault="00261E27" w:rsidP="007A4797">
            <w:pPr>
              <w:pStyle w:val="StandaardSV"/>
              <w:ind w:right="1199"/>
              <w:jc w:val="right"/>
              <w:rPr>
                <w:szCs w:val="22"/>
              </w:rPr>
            </w:pPr>
            <w:r w:rsidRPr="007A4797">
              <w:rPr>
                <w:szCs w:val="22"/>
              </w:rPr>
              <w:t>1,1%</w:t>
            </w:r>
          </w:p>
        </w:tc>
      </w:tr>
      <w:tr w:rsidR="00261E27" w:rsidTr="007A4797">
        <w:tc>
          <w:tcPr>
            <w:tcW w:w="2678" w:type="dxa"/>
          </w:tcPr>
          <w:p w:rsidR="00261E27" w:rsidRPr="007A4797" w:rsidRDefault="00261E27" w:rsidP="00F335B4">
            <w:pPr>
              <w:pStyle w:val="StandaardSV"/>
              <w:rPr>
                <w:szCs w:val="22"/>
              </w:rPr>
            </w:pPr>
            <w:r w:rsidRPr="007A4797">
              <w:rPr>
                <w:szCs w:val="22"/>
              </w:rPr>
              <w:t>Onderwijs &amp; training</w:t>
            </w:r>
          </w:p>
        </w:tc>
        <w:tc>
          <w:tcPr>
            <w:tcW w:w="3071" w:type="dxa"/>
            <w:vAlign w:val="center"/>
          </w:tcPr>
          <w:p w:rsidR="00261E27" w:rsidRPr="007A4797" w:rsidRDefault="00261E27" w:rsidP="007A4797">
            <w:pPr>
              <w:pStyle w:val="StandaardSV"/>
              <w:ind w:right="1247"/>
              <w:jc w:val="right"/>
              <w:rPr>
                <w:szCs w:val="22"/>
              </w:rPr>
            </w:pPr>
            <w:r w:rsidRPr="007A4797">
              <w:rPr>
                <w:szCs w:val="22"/>
              </w:rPr>
              <w:t>1</w:t>
            </w:r>
          </w:p>
        </w:tc>
        <w:tc>
          <w:tcPr>
            <w:tcW w:w="3071" w:type="dxa"/>
            <w:vAlign w:val="center"/>
          </w:tcPr>
          <w:p w:rsidR="00261E27" w:rsidRPr="007A4797" w:rsidRDefault="00261E27" w:rsidP="007A4797">
            <w:pPr>
              <w:pStyle w:val="StandaardSV"/>
              <w:ind w:right="1199"/>
              <w:jc w:val="right"/>
              <w:rPr>
                <w:szCs w:val="22"/>
              </w:rPr>
            </w:pPr>
            <w:r w:rsidRPr="007A4797">
              <w:rPr>
                <w:szCs w:val="22"/>
              </w:rPr>
              <w:t>0,6%</w:t>
            </w:r>
          </w:p>
        </w:tc>
      </w:tr>
      <w:tr w:rsidR="00261E27" w:rsidTr="007A4797">
        <w:tc>
          <w:tcPr>
            <w:tcW w:w="2678" w:type="dxa"/>
            <w:tcBorders>
              <w:bottom w:val="single" w:sz="4" w:space="0" w:color="auto"/>
            </w:tcBorders>
          </w:tcPr>
          <w:p w:rsidR="00261E27" w:rsidRPr="007A4797" w:rsidRDefault="00261E27" w:rsidP="00F335B4">
            <w:pPr>
              <w:pStyle w:val="StandaardSV"/>
              <w:rPr>
                <w:szCs w:val="22"/>
              </w:rPr>
            </w:pPr>
            <w:r w:rsidRPr="007A4797">
              <w:rPr>
                <w:szCs w:val="22"/>
              </w:rPr>
              <w:t>Andere</w:t>
            </w:r>
          </w:p>
        </w:tc>
        <w:tc>
          <w:tcPr>
            <w:tcW w:w="3071" w:type="dxa"/>
            <w:tcBorders>
              <w:bottom w:val="single" w:sz="4" w:space="0" w:color="auto"/>
            </w:tcBorders>
            <w:vAlign w:val="center"/>
          </w:tcPr>
          <w:p w:rsidR="00261E27" w:rsidRPr="007A4797" w:rsidRDefault="00261E27" w:rsidP="007A4797">
            <w:pPr>
              <w:pStyle w:val="StandaardSV"/>
              <w:ind w:right="1247"/>
              <w:jc w:val="right"/>
              <w:rPr>
                <w:szCs w:val="22"/>
              </w:rPr>
            </w:pPr>
            <w:r w:rsidRPr="007A4797">
              <w:rPr>
                <w:szCs w:val="22"/>
              </w:rPr>
              <w:t>10</w:t>
            </w:r>
          </w:p>
        </w:tc>
        <w:tc>
          <w:tcPr>
            <w:tcW w:w="3071" w:type="dxa"/>
            <w:tcBorders>
              <w:bottom w:val="single" w:sz="4" w:space="0" w:color="auto"/>
            </w:tcBorders>
            <w:vAlign w:val="center"/>
          </w:tcPr>
          <w:p w:rsidR="00261E27" w:rsidRPr="007A4797" w:rsidRDefault="00261E27" w:rsidP="007A4797">
            <w:pPr>
              <w:pStyle w:val="StandaardSV"/>
              <w:ind w:right="1199"/>
              <w:jc w:val="right"/>
              <w:rPr>
                <w:szCs w:val="22"/>
              </w:rPr>
            </w:pPr>
            <w:r w:rsidRPr="007A4797">
              <w:rPr>
                <w:szCs w:val="22"/>
              </w:rPr>
              <w:t>5,7%</w:t>
            </w:r>
          </w:p>
        </w:tc>
      </w:tr>
      <w:tr w:rsidR="00261E27" w:rsidTr="007A4797">
        <w:tc>
          <w:tcPr>
            <w:tcW w:w="2678" w:type="dxa"/>
            <w:tcBorders>
              <w:top w:val="single" w:sz="4" w:space="0" w:color="auto"/>
              <w:bottom w:val="single" w:sz="12" w:space="0" w:color="auto"/>
            </w:tcBorders>
          </w:tcPr>
          <w:p w:rsidR="00261E27" w:rsidRPr="007A4797" w:rsidRDefault="00261E27" w:rsidP="00F335B4">
            <w:pPr>
              <w:pStyle w:val="StandaardSV"/>
              <w:rPr>
                <w:szCs w:val="22"/>
              </w:rPr>
            </w:pPr>
            <w:r w:rsidRPr="007A4797">
              <w:rPr>
                <w:szCs w:val="22"/>
              </w:rPr>
              <w:t>Totaal</w:t>
            </w:r>
          </w:p>
        </w:tc>
        <w:tc>
          <w:tcPr>
            <w:tcW w:w="3071" w:type="dxa"/>
            <w:tcBorders>
              <w:top w:val="single" w:sz="4" w:space="0" w:color="auto"/>
              <w:bottom w:val="single" w:sz="12" w:space="0" w:color="auto"/>
            </w:tcBorders>
            <w:vAlign w:val="center"/>
          </w:tcPr>
          <w:p w:rsidR="00261E27" w:rsidRPr="007A4797" w:rsidRDefault="00261E27" w:rsidP="007A4797">
            <w:pPr>
              <w:pStyle w:val="StandaardSV"/>
              <w:ind w:right="1247"/>
              <w:jc w:val="right"/>
              <w:rPr>
                <w:szCs w:val="22"/>
              </w:rPr>
            </w:pPr>
            <w:r w:rsidRPr="007A4797">
              <w:rPr>
                <w:szCs w:val="22"/>
              </w:rPr>
              <w:t>174</w:t>
            </w:r>
          </w:p>
        </w:tc>
        <w:tc>
          <w:tcPr>
            <w:tcW w:w="3071" w:type="dxa"/>
            <w:tcBorders>
              <w:top w:val="single" w:sz="4" w:space="0" w:color="auto"/>
              <w:bottom w:val="single" w:sz="12" w:space="0" w:color="auto"/>
            </w:tcBorders>
            <w:vAlign w:val="center"/>
          </w:tcPr>
          <w:p w:rsidR="00261E27" w:rsidRPr="007A4797" w:rsidRDefault="00261E27" w:rsidP="007A4797">
            <w:pPr>
              <w:pStyle w:val="StandaardSV"/>
              <w:ind w:right="1199"/>
              <w:jc w:val="right"/>
              <w:rPr>
                <w:szCs w:val="22"/>
              </w:rPr>
            </w:pPr>
            <w:r w:rsidRPr="007A4797">
              <w:rPr>
                <w:szCs w:val="22"/>
              </w:rPr>
              <w:t>100%</w:t>
            </w:r>
          </w:p>
        </w:tc>
      </w:tr>
    </w:tbl>
    <w:p w:rsidR="00261E27" w:rsidRDefault="00261E27" w:rsidP="00F335B4">
      <w:pPr>
        <w:pStyle w:val="StandaardSV"/>
        <w:ind w:left="284" w:hanging="284"/>
        <w:rPr>
          <w:szCs w:val="22"/>
        </w:rPr>
      </w:pPr>
    </w:p>
    <w:p w:rsidR="00261E27" w:rsidRDefault="00261E27" w:rsidP="00624CF0">
      <w:pPr>
        <w:pStyle w:val="StandaardSV"/>
        <w:numPr>
          <w:ilvl w:val="0"/>
          <w:numId w:val="3"/>
        </w:numPr>
        <w:rPr>
          <w:szCs w:val="22"/>
        </w:rPr>
      </w:pPr>
      <w:r>
        <w:rPr>
          <w:szCs w:val="22"/>
        </w:rPr>
        <w:t>Onderstaande tabel biedt een overzicht van het aantal aangetrokken investeringen opgesplitst naar type investering in 2011.</w:t>
      </w:r>
    </w:p>
    <w:p w:rsidR="00261E27" w:rsidRDefault="00261E27" w:rsidP="00FA2546">
      <w:pPr>
        <w:pStyle w:val="StandaardSV"/>
        <w:rPr>
          <w:szCs w:val="22"/>
        </w:rPr>
      </w:pPr>
    </w:p>
    <w:tbl>
      <w:tblPr>
        <w:tblW w:w="0" w:type="auto"/>
        <w:tblInd w:w="392" w:type="dxa"/>
        <w:tblBorders>
          <w:top w:val="single" w:sz="12" w:space="0" w:color="008000"/>
          <w:bottom w:val="single" w:sz="12" w:space="0" w:color="008000"/>
        </w:tblBorders>
        <w:tblLook w:val="00A0"/>
      </w:tblPr>
      <w:tblGrid>
        <w:gridCol w:w="2940"/>
        <w:gridCol w:w="2940"/>
        <w:gridCol w:w="2940"/>
      </w:tblGrid>
      <w:tr w:rsidR="00261E27" w:rsidRPr="00FA2546" w:rsidTr="007A4797">
        <w:tc>
          <w:tcPr>
            <w:tcW w:w="2940" w:type="dxa"/>
            <w:tcBorders>
              <w:top w:val="single" w:sz="12" w:space="0" w:color="auto"/>
              <w:bottom w:val="single" w:sz="4" w:space="0" w:color="auto"/>
            </w:tcBorders>
            <w:vAlign w:val="center"/>
          </w:tcPr>
          <w:p w:rsidR="00261E27" w:rsidRPr="007A4797" w:rsidRDefault="00261E27" w:rsidP="007A4797">
            <w:pPr>
              <w:pStyle w:val="StandaardSV"/>
              <w:jc w:val="center"/>
              <w:rPr>
                <w:b/>
                <w:i/>
                <w:szCs w:val="22"/>
              </w:rPr>
            </w:pPr>
            <w:r w:rsidRPr="007A4797">
              <w:rPr>
                <w:b/>
                <w:i/>
                <w:szCs w:val="22"/>
              </w:rPr>
              <w:t>Type</w:t>
            </w:r>
          </w:p>
        </w:tc>
        <w:tc>
          <w:tcPr>
            <w:tcW w:w="2940" w:type="dxa"/>
            <w:tcBorders>
              <w:top w:val="single" w:sz="12" w:space="0" w:color="auto"/>
              <w:bottom w:val="single" w:sz="4" w:space="0" w:color="auto"/>
            </w:tcBorders>
            <w:vAlign w:val="center"/>
          </w:tcPr>
          <w:p w:rsidR="00261E27" w:rsidRPr="007A4797" w:rsidRDefault="00261E27" w:rsidP="007A4797">
            <w:pPr>
              <w:pStyle w:val="StandaardSV"/>
              <w:jc w:val="center"/>
              <w:rPr>
                <w:b/>
                <w:i/>
                <w:szCs w:val="22"/>
              </w:rPr>
            </w:pPr>
            <w:r w:rsidRPr="007A4797">
              <w:rPr>
                <w:b/>
                <w:i/>
                <w:szCs w:val="22"/>
              </w:rPr>
              <w:t>Aantal projecten</w:t>
            </w:r>
          </w:p>
        </w:tc>
        <w:tc>
          <w:tcPr>
            <w:tcW w:w="2940" w:type="dxa"/>
            <w:tcBorders>
              <w:top w:val="single" w:sz="12" w:space="0" w:color="auto"/>
              <w:bottom w:val="single" w:sz="4" w:space="0" w:color="auto"/>
            </w:tcBorders>
            <w:vAlign w:val="center"/>
          </w:tcPr>
          <w:p w:rsidR="00261E27" w:rsidRPr="007A4797" w:rsidRDefault="00261E27" w:rsidP="007A4797">
            <w:pPr>
              <w:pStyle w:val="StandaardSV"/>
              <w:jc w:val="center"/>
              <w:rPr>
                <w:b/>
                <w:i/>
                <w:szCs w:val="22"/>
              </w:rPr>
            </w:pPr>
            <w:r w:rsidRPr="007A4797">
              <w:rPr>
                <w:b/>
                <w:i/>
                <w:szCs w:val="22"/>
              </w:rPr>
              <w:t>Aandeel in %</w:t>
            </w:r>
          </w:p>
        </w:tc>
      </w:tr>
      <w:tr w:rsidR="00261E27" w:rsidTr="007A4797">
        <w:tc>
          <w:tcPr>
            <w:tcW w:w="2940" w:type="dxa"/>
            <w:tcBorders>
              <w:top w:val="single" w:sz="4" w:space="0" w:color="auto"/>
            </w:tcBorders>
          </w:tcPr>
          <w:p w:rsidR="00261E27" w:rsidRPr="007A4797" w:rsidRDefault="00261E27" w:rsidP="0001754E">
            <w:pPr>
              <w:pStyle w:val="StandaardSV"/>
              <w:rPr>
                <w:szCs w:val="22"/>
              </w:rPr>
            </w:pPr>
            <w:r w:rsidRPr="007A4797">
              <w:rPr>
                <w:szCs w:val="22"/>
              </w:rPr>
              <w:t>Nieuw (greenfield)</w:t>
            </w:r>
          </w:p>
        </w:tc>
        <w:tc>
          <w:tcPr>
            <w:tcW w:w="2940" w:type="dxa"/>
            <w:tcBorders>
              <w:top w:val="single" w:sz="4" w:space="0" w:color="auto"/>
            </w:tcBorders>
            <w:vAlign w:val="center"/>
          </w:tcPr>
          <w:p w:rsidR="00261E27" w:rsidRPr="007A4797" w:rsidRDefault="00261E27" w:rsidP="007A4797">
            <w:pPr>
              <w:pStyle w:val="StandaardSV"/>
              <w:ind w:right="1236"/>
              <w:jc w:val="right"/>
              <w:rPr>
                <w:szCs w:val="22"/>
              </w:rPr>
            </w:pPr>
            <w:r w:rsidRPr="007A4797">
              <w:rPr>
                <w:szCs w:val="22"/>
              </w:rPr>
              <w:t>86</w:t>
            </w:r>
          </w:p>
        </w:tc>
        <w:tc>
          <w:tcPr>
            <w:tcW w:w="2940" w:type="dxa"/>
            <w:tcBorders>
              <w:top w:val="single" w:sz="4" w:space="0" w:color="auto"/>
            </w:tcBorders>
            <w:vAlign w:val="center"/>
          </w:tcPr>
          <w:p w:rsidR="00261E27" w:rsidRPr="007A4797" w:rsidRDefault="00261E27" w:rsidP="007A4797">
            <w:pPr>
              <w:pStyle w:val="StandaardSV"/>
              <w:ind w:right="1094"/>
              <w:jc w:val="right"/>
              <w:rPr>
                <w:szCs w:val="22"/>
              </w:rPr>
            </w:pPr>
            <w:r w:rsidRPr="007A4797">
              <w:rPr>
                <w:szCs w:val="22"/>
              </w:rPr>
              <w:t>49,4%</w:t>
            </w:r>
          </w:p>
        </w:tc>
      </w:tr>
      <w:tr w:rsidR="00261E27" w:rsidTr="007A4797">
        <w:tc>
          <w:tcPr>
            <w:tcW w:w="2940" w:type="dxa"/>
          </w:tcPr>
          <w:p w:rsidR="00261E27" w:rsidRPr="007A4797" w:rsidRDefault="00261E27" w:rsidP="0001754E">
            <w:pPr>
              <w:pStyle w:val="StandaardSV"/>
              <w:rPr>
                <w:szCs w:val="22"/>
              </w:rPr>
            </w:pPr>
            <w:r w:rsidRPr="007A4797">
              <w:rPr>
                <w:szCs w:val="22"/>
              </w:rPr>
              <w:t>Uitbreidingsinvesteringen</w:t>
            </w:r>
          </w:p>
        </w:tc>
        <w:tc>
          <w:tcPr>
            <w:tcW w:w="2940" w:type="dxa"/>
            <w:vAlign w:val="center"/>
          </w:tcPr>
          <w:p w:rsidR="00261E27" w:rsidRPr="007A4797" w:rsidRDefault="00261E27" w:rsidP="007A4797">
            <w:pPr>
              <w:pStyle w:val="StandaardSV"/>
              <w:ind w:right="1236"/>
              <w:jc w:val="right"/>
              <w:rPr>
                <w:szCs w:val="22"/>
              </w:rPr>
            </w:pPr>
            <w:r w:rsidRPr="007A4797">
              <w:rPr>
                <w:szCs w:val="22"/>
              </w:rPr>
              <w:t>32</w:t>
            </w:r>
          </w:p>
        </w:tc>
        <w:tc>
          <w:tcPr>
            <w:tcW w:w="2940" w:type="dxa"/>
            <w:vAlign w:val="center"/>
          </w:tcPr>
          <w:p w:rsidR="00261E27" w:rsidRPr="007A4797" w:rsidRDefault="00261E27" w:rsidP="007A4797">
            <w:pPr>
              <w:pStyle w:val="StandaardSV"/>
              <w:ind w:right="1094"/>
              <w:jc w:val="right"/>
              <w:rPr>
                <w:szCs w:val="22"/>
              </w:rPr>
            </w:pPr>
            <w:r w:rsidRPr="007A4797">
              <w:rPr>
                <w:szCs w:val="22"/>
              </w:rPr>
              <w:t>18,4%</w:t>
            </w:r>
          </w:p>
        </w:tc>
      </w:tr>
      <w:tr w:rsidR="00261E27" w:rsidTr="007A4797">
        <w:tc>
          <w:tcPr>
            <w:tcW w:w="2940" w:type="dxa"/>
            <w:tcBorders>
              <w:bottom w:val="single" w:sz="4" w:space="0" w:color="auto"/>
            </w:tcBorders>
          </w:tcPr>
          <w:p w:rsidR="00261E27" w:rsidRPr="007A4797" w:rsidRDefault="00261E27" w:rsidP="0001754E">
            <w:pPr>
              <w:pStyle w:val="StandaardSV"/>
              <w:rPr>
                <w:szCs w:val="22"/>
              </w:rPr>
            </w:pPr>
            <w:r w:rsidRPr="007A4797">
              <w:rPr>
                <w:szCs w:val="22"/>
              </w:rPr>
              <w:t>Fusies &amp; overnames</w:t>
            </w:r>
          </w:p>
        </w:tc>
        <w:tc>
          <w:tcPr>
            <w:tcW w:w="2940" w:type="dxa"/>
            <w:tcBorders>
              <w:bottom w:val="single" w:sz="4" w:space="0" w:color="auto"/>
            </w:tcBorders>
            <w:vAlign w:val="center"/>
          </w:tcPr>
          <w:p w:rsidR="00261E27" w:rsidRPr="007A4797" w:rsidRDefault="00261E27" w:rsidP="007A4797">
            <w:pPr>
              <w:pStyle w:val="StandaardSV"/>
              <w:ind w:right="1236"/>
              <w:jc w:val="right"/>
              <w:rPr>
                <w:szCs w:val="22"/>
              </w:rPr>
            </w:pPr>
            <w:r w:rsidRPr="007A4797">
              <w:rPr>
                <w:szCs w:val="22"/>
              </w:rPr>
              <w:t>56</w:t>
            </w:r>
          </w:p>
        </w:tc>
        <w:tc>
          <w:tcPr>
            <w:tcW w:w="2940" w:type="dxa"/>
            <w:tcBorders>
              <w:bottom w:val="single" w:sz="4" w:space="0" w:color="auto"/>
            </w:tcBorders>
            <w:vAlign w:val="center"/>
          </w:tcPr>
          <w:p w:rsidR="00261E27" w:rsidRPr="007A4797" w:rsidRDefault="00261E27" w:rsidP="007A4797">
            <w:pPr>
              <w:pStyle w:val="StandaardSV"/>
              <w:ind w:right="1094"/>
              <w:jc w:val="right"/>
              <w:rPr>
                <w:szCs w:val="22"/>
              </w:rPr>
            </w:pPr>
            <w:r w:rsidRPr="007A4797">
              <w:rPr>
                <w:szCs w:val="22"/>
              </w:rPr>
              <w:t>32,2%</w:t>
            </w:r>
          </w:p>
        </w:tc>
      </w:tr>
      <w:tr w:rsidR="00261E27" w:rsidTr="007A4797">
        <w:tc>
          <w:tcPr>
            <w:tcW w:w="2940" w:type="dxa"/>
            <w:tcBorders>
              <w:top w:val="single" w:sz="4" w:space="0" w:color="auto"/>
              <w:bottom w:val="single" w:sz="12" w:space="0" w:color="auto"/>
            </w:tcBorders>
          </w:tcPr>
          <w:p w:rsidR="00261E27" w:rsidRPr="007A4797" w:rsidRDefault="00261E27" w:rsidP="0001754E">
            <w:pPr>
              <w:pStyle w:val="StandaardSV"/>
              <w:rPr>
                <w:szCs w:val="22"/>
              </w:rPr>
            </w:pPr>
            <w:r w:rsidRPr="007A4797">
              <w:rPr>
                <w:szCs w:val="22"/>
              </w:rPr>
              <w:t>Totaal</w:t>
            </w:r>
          </w:p>
        </w:tc>
        <w:tc>
          <w:tcPr>
            <w:tcW w:w="2940" w:type="dxa"/>
            <w:tcBorders>
              <w:top w:val="single" w:sz="4" w:space="0" w:color="auto"/>
              <w:bottom w:val="single" w:sz="12" w:space="0" w:color="auto"/>
            </w:tcBorders>
            <w:vAlign w:val="center"/>
          </w:tcPr>
          <w:p w:rsidR="00261E27" w:rsidRPr="007A4797" w:rsidRDefault="00261E27" w:rsidP="007A4797">
            <w:pPr>
              <w:pStyle w:val="StandaardSV"/>
              <w:tabs>
                <w:tab w:val="left" w:pos="1488"/>
              </w:tabs>
              <w:ind w:right="1236"/>
              <w:jc w:val="right"/>
              <w:rPr>
                <w:szCs w:val="22"/>
              </w:rPr>
            </w:pPr>
            <w:r w:rsidRPr="007A4797">
              <w:rPr>
                <w:szCs w:val="22"/>
              </w:rPr>
              <w:t>174</w:t>
            </w:r>
          </w:p>
        </w:tc>
        <w:tc>
          <w:tcPr>
            <w:tcW w:w="2940" w:type="dxa"/>
            <w:tcBorders>
              <w:top w:val="single" w:sz="4" w:space="0" w:color="auto"/>
              <w:bottom w:val="single" w:sz="12" w:space="0" w:color="auto"/>
            </w:tcBorders>
            <w:vAlign w:val="center"/>
          </w:tcPr>
          <w:p w:rsidR="00261E27" w:rsidRPr="007A4797" w:rsidRDefault="00261E27" w:rsidP="007A4797">
            <w:pPr>
              <w:pStyle w:val="StandaardSV"/>
              <w:ind w:right="1094"/>
              <w:jc w:val="right"/>
              <w:rPr>
                <w:szCs w:val="22"/>
              </w:rPr>
            </w:pPr>
            <w:r w:rsidRPr="007A4797">
              <w:rPr>
                <w:szCs w:val="22"/>
              </w:rPr>
              <w:t>100,0%</w:t>
            </w:r>
          </w:p>
        </w:tc>
      </w:tr>
    </w:tbl>
    <w:p w:rsidR="00261E27" w:rsidRDefault="00261E27" w:rsidP="0001754E">
      <w:pPr>
        <w:pStyle w:val="StandaardSV"/>
        <w:ind w:left="284" w:hanging="284"/>
        <w:rPr>
          <w:szCs w:val="22"/>
        </w:rPr>
      </w:pPr>
    </w:p>
    <w:p w:rsidR="00261E27" w:rsidRDefault="00261E27" w:rsidP="00624CF0">
      <w:pPr>
        <w:pStyle w:val="StandaardSV"/>
        <w:numPr>
          <w:ilvl w:val="0"/>
          <w:numId w:val="3"/>
        </w:numPr>
        <w:rPr>
          <w:szCs w:val="22"/>
        </w:rPr>
      </w:pPr>
      <w:r>
        <w:rPr>
          <w:szCs w:val="22"/>
        </w:rPr>
        <w:t>Ik verwijs graag naar mijn antwoord op schriftelijke vraag 194 van 3 februari 2012 van mevrouw Lydia Peeters. In mijn antwoord op haar eerste vraag vindt u een overzicht van het aantal investeringen per herkomstland, evenals een bespreking van de evolutie over de voorbije jaren.</w:t>
      </w:r>
    </w:p>
    <w:p w:rsidR="00261E27" w:rsidRDefault="00261E27" w:rsidP="0001754E">
      <w:pPr>
        <w:pStyle w:val="StandaardSV"/>
        <w:ind w:left="284" w:hanging="284"/>
        <w:rPr>
          <w:szCs w:val="22"/>
        </w:rPr>
      </w:pPr>
    </w:p>
    <w:p w:rsidR="00261E27" w:rsidRDefault="00261E27" w:rsidP="00624CF0">
      <w:pPr>
        <w:pStyle w:val="StandaardSV"/>
        <w:numPr>
          <w:ilvl w:val="0"/>
          <w:numId w:val="3"/>
        </w:numPr>
        <w:rPr>
          <w:szCs w:val="22"/>
        </w:rPr>
      </w:pPr>
      <w:r>
        <w:rPr>
          <w:szCs w:val="22"/>
        </w:rPr>
        <w:t>Ik verwijs graag naar mijn antwoord op schriftelijke vraag 194 van 3 februari 2012 van mevrouw Lydia Peeters. In mijn antwoord op haar eerste vraag vindt u een overzicht van het aantal investeringen ingedeeld per provincie. De drie investeringsprojecten onder de noemer ‘algemeen’ kunnen niet aan één provincie worden toegeschreven, aangezien deze investeringen gepaard gaan met het openen van filialen over heel Vlaanderen.</w:t>
      </w:r>
    </w:p>
    <w:p w:rsidR="00261E27" w:rsidRDefault="00261E27" w:rsidP="0001754E">
      <w:pPr>
        <w:pStyle w:val="StandaardSV"/>
        <w:ind w:left="284" w:hanging="284"/>
        <w:rPr>
          <w:szCs w:val="22"/>
        </w:rPr>
      </w:pPr>
      <w:bookmarkStart w:id="1" w:name="_GoBack"/>
      <w:bookmarkEnd w:id="1"/>
    </w:p>
    <w:p w:rsidR="00261E27" w:rsidRDefault="00261E27" w:rsidP="00624CF0">
      <w:pPr>
        <w:pStyle w:val="StandaardSV"/>
        <w:numPr>
          <w:ilvl w:val="0"/>
          <w:numId w:val="3"/>
        </w:numPr>
        <w:rPr>
          <w:szCs w:val="22"/>
        </w:rPr>
      </w:pPr>
      <w:r>
        <w:rPr>
          <w:szCs w:val="22"/>
        </w:rPr>
        <w:t>Zoals elke regio heeft ook Vlaanderen sterke en minder sterke troeven voor het aantrekken van buitenlandse investeringen. Onze sterke troeven betreffen onder meer de geografische ligging, de verschillende havens, een hoogopgeleide en meertalige bevolking, meerdere belangrijke kenniscentra, een goed uitgebouwd onderwijsnet en de uitstekende gezondheidsvoorzieningen. Tot de minder aantrekkelijke factoren behoren de loon- en energiekosten en de doorlooptijden m.b.t. de administratieve besluitvormingen.</w:t>
      </w:r>
    </w:p>
    <w:sectPr w:rsidR="00261E27" w:rsidSect="009060FD">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E27" w:rsidRDefault="00261E27">
      <w:r>
        <w:separator/>
      </w:r>
    </w:p>
  </w:endnote>
  <w:endnote w:type="continuationSeparator" w:id="0">
    <w:p w:rsidR="00261E27" w:rsidRDefault="00261E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New Roman Ve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E27" w:rsidRDefault="00261E27">
      <w:r>
        <w:separator/>
      </w:r>
    </w:p>
  </w:footnote>
  <w:footnote w:type="continuationSeparator" w:id="0">
    <w:p w:rsidR="00261E27" w:rsidRDefault="00261E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nsid w:val="20A20C84"/>
    <w:multiLevelType w:val="hybridMultilevel"/>
    <w:tmpl w:val="C436D858"/>
    <w:lvl w:ilvl="0" w:tplc="F29C0F7A">
      <w:start w:val="1"/>
      <w:numFmt w:val="decimal"/>
      <w:pStyle w:val="Rt6"/>
      <w:lvlText w:val="%1."/>
      <w:lvlJc w:val="left"/>
      <w:pPr>
        <w:tabs>
          <w:tab w:val="num" w:pos="360"/>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20A355C2"/>
    <w:multiLevelType w:val="hybridMultilevel"/>
    <w:tmpl w:val="9B8CD27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23005F50"/>
    <w:multiLevelType w:val="hybridMultilevel"/>
    <w:tmpl w:val="766A4C62"/>
    <w:lvl w:ilvl="0" w:tplc="89DC4B6E">
      <w:start w:val="1"/>
      <w:numFmt w:val="bullet"/>
      <w:pStyle w:val="opsommingniveau2"/>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083"/>
        </w:tabs>
        <w:ind w:left="1083" w:hanging="360"/>
      </w:pPr>
      <w:rPr>
        <w:rFonts w:ascii="Courier New" w:hAnsi="Courier New" w:hint="default"/>
      </w:rPr>
    </w:lvl>
    <w:lvl w:ilvl="2" w:tplc="04130005" w:tentative="1">
      <w:start w:val="1"/>
      <w:numFmt w:val="bullet"/>
      <w:lvlText w:val=""/>
      <w:lvlJc w:val="left"/>
      <w:pPr>
        <w:tabs>
          <w:tab w:val="num" w:pos="1803"/>
        </w:tabs>
        <w:ind w:left="1803" w:hanging="360"/>
      </w:pPr>
      <w:rPr>
        <w:rFonts w:ascii="Wingdings" w:hAnsi="Wingdings" w:hint="default"/>
      </w:rPr>
    </w:lvl>
    <w:lvl w:ilvl="3" w:tplc="04130001" w:tentative="1">
      <w:start w:val="1"/>
      <w:numFmt w:val="bullet"/>
      <w:lvlText w:val=""/>
      <w:lvlJc w:val="left"/>
      <w:pPr>
        <w:tabs>
          <w:tab w:val="num" w:pos="2523"/>
        </w:tabs>
        <w:ind w:left="2523" w:hanging="360"/>
      </w:pPr>
      <w:rPr>
        <w:rFonts w:ascii="Symbol" w:hAnsi="Symbol" w:hint="default"/>
      </w:rPr>
    </w:lvl>
    <w:lvl w:ilvl="4" w:tplc="04130003" w:tentative="1">
      <w:start w:val="1"/>
      <w:numFmt w:val="bullet"/>
      <w:lvlText w:val="o"/>
      <w:lvlJc w:val="left"/>
      <w:pPr>
        <w:tabs>
          <w:tab w:val="num" w:pos="3243"/>
        </w:tabs>
        <w:ind w:left="3243" w:hanging="360"/>
      </w:pPr>
      <w:rPr>
        <w:rFonts w:ascii="Courier New" w:hAnsi="Courier New" w:hint="default"/>
      </w:rPr>
    </w:lvl>
    <w:lvl w:ilvl="5" w:tplc="04130005" w:tentative="1">
      <w:start w:val="1"/>
      <w:numFmt w:val="bullet"/>
      <w:lvlText w:val=""/>
      <w:lvlJc w:val="left"/>
      <w:pPr>
        <w:tabs>
          <w:tab w:val="num" w:pos="3963"/>
        </w:tabs>
        <w:ind w:left="3963" w:hanging="360"/>
      </w:pPr>
      <w:rPr>
        <w:rFonts w:ascii="Wingdings" w:hAnsi="Wingdings" w:hint="default"/>
      </w:rPr>
    </w:lvl>
    <w:lvl w:ilvl="6" w:tplc="04130001" w:tentative="1">
      <w:start w:val="1"/>
      <w:numFmt w:val="bullet"/>
      <w:lvlText w:val=""/>
      <w:lvlJc w:val="left"/>
      <w:pPr>
        <w:tabs>
          <w:tab w:val="num" w:pos="4683"/>
        </w:tabs>
        <w:ind w:left="4683" w:hanging="360"/>
      </w:pPr>
      <w:rPr>
        <w:rFonts w:ascii="Symbol" w:hAnsi="Symbol" w:hint="default"/>
      </w:rPr>
    </w:lvl>
    <w:lvl w:ilvl="7" w:tplc="04130003" w:tentative="1">
      <w:start w:val="1"/>
      <w:numFmt w:val="bullet"/>
      <w:lvlText w:val="o"/>
      <w:lvlJc w:val="left"/>
      <w:pPr>
        <w:tabs>
          <w:tab w:val="num" w:pos="5403"/>
        </w:tabs>
        <w:ind w:left="5403" w:hanging="360"/>
      </w:pPr>
      <w:rPr>
        <w:rFonts w:ascii="Courier New" w:hAnsi="Courier New" w:hint="default"/>
      </w:rPr>
    </w:lvl>
    <w:lvl w:ilvl="8" w:tplc="04130005" w:tentative="1">
      <w:start w:val="1"/>
      <w:numFmt w:val="bullet"/>
      <w:lvlText w:val=""/>
      <w:lvlJc w:val="left"/>
      <w:pPr>
        <w:tabs>
          <w:tab w:val="num" w:pos="6123"/>
        </w:tabs>
        <w:ind w:left="6123" w:hanging="360"/>
      </w:pPr>
      <w:rPr>
        <w:rFonts w:ascii="Wingdings" w:hAnsi="Wingdings" w:hint="default"/>
      </w:rPr>
    </w:lvl>
  </w:abstractNum>
  <w:abstractNum w:abstractNumId="4">
    <w:nsid w:val="323C6DF2"/>
    <w:multiLevelType w:val="hybridMultilevel"/>
    <w:tmpl w:val="ED80E778"/>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num w:numId="1">
    <w:abstractNumId w:val="1"/>
  </w:num>
  <w:num w:numId="2">
    <w:abstractNumId w:val="3"/>
  </w:num>
  <w:num w:numId="3">
    <w:abstractNumId w:val="4"/>
  </w:num>
  <w:num w:numId="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4A0"/>
    <w:rsid w:val="000014D9"/>
    <w:rsid w:val="00001C82"/>
    <w:rsid w:val="000021E6"/>
    <w:rsid w:val="00010EBC"/>
    <w:rsid w:val="000152D5"/>
    <w:rsid w:val="0001754E"/>
    <w:rsid w:val="00024075"/>
    <w:rsid w:val="000266C5"/>
    <w:rsid w:val="00026BE6"/>
    <w:rsid w:val="000309D3"/>
    <w:rsid w:val="00033D3D"/>
    <w:rsid w:val="00036F4F"/>
    <w:rsid w:val="00037299"/>
    <w:rsid w:val="00042AEA"/>
    <w:rsid w:val="00047A45"/>
    <w:rsid w:val="0005236C"/>
    <w:rsid w:val="00056988"/>
    <w:rsid w:val="00056ECE"/>
    <w:rsid w:val="00064F8A"/>
    <w:rsid w:val="00065529"/>
    <w:rsid w:val="00072457"/>
    <w:rsid w:val="00074B4A"/>
    <w:rsid w:val="00075D9F"/>
    <w:rsid w:val="00075EB4"/>
    <w:rsid w:val="00077665"/>
    <w:rsid w:val="00077E4A"/>
    <w:rsid w:val="00077EDB"/>
    <w:rsid w:val="000800E7"/>
    <w:rsid w:val="00080BE7"/>
    <w:rsid w:val="00084C31"/>
    <w:rsid w:val="00084E43"/>
    <w:rsid w:val="00092313"/>
    <w:rsid w:val="00093476"/>
    <w:rsid w:val="0009630A"/>
    <w:rsid w:val="000A2CF5"/>
    <w:rsid w:val="000A3F88"/>
    <w:rsid w:val="000A41C9"/>
    <w:rsid w:val="000A6973"/>
    <w:rsid w:val="000A7E10"/>
    <w:rsid w:val="000B1299"/>
    <w:rsid w:val="000B2322"/>
    <w:rsid w:val="000B771A"/>
    <w:rsid w:val="000B7DA6"/>
    <w:rsid w:val="000C5D15"/>
    <w:rsid w:val="000D4AE2"/>
    <w:rsid w:val="000D5486"/>
    <w:rsid w:val="000E0431"/>
    <w:rsid w:val="000E1257"/>
    <w:rsid w:val="000E32DF"/>
    <w:rsid w:val="000F1488"/>
    <w:rsid w:val="000F2BC1"/>
    <w:rsid w:val="000F5EAE"/>
    <w:rsid w:val="001028D5"/>
    <w:rsid w:val="001070AF"/>
    <w:rsid w:val="0010725F"/>
    <w:rsid w:val="001076C6"/>
    <w:rsid w:val="001120CA"/>
    <w:rsid w:val="00114B84"/>
    <w:rsid w:val="00115765"/>
    <w:rsid w:val="0011668A"/>
    <w:rsid w:val="00117861"/>
    <w:rsid w:val="001201FF"/>
    <w:rsid w:val="001202AA"/>
    <w:rsid w:val="00123B20"/>
    <w:rsid w:val="00123C02"/>
    <w:rsid w:val="00126B21"/>
    <w:rsid w:val="001335C0"/>
    <w:rsid w:val="001340FC"/>
    <w:rsid w:val="00135503"/>
    <w:rsid w:val="0014054D"/>
    <w:rsid w:val="001512EB"/>
    <w:rsid w:val="001514DE"/>
    <w:rsid w:val="0015384E"/>
    <w:rsid w:val="001555C5"/>
    <w:rsid w:val="001558FE"/>
    <w:rsid w:val="001563B4"/>
    <w:rsid w:val="001618C4"/>
    <w:rsid w:val="001662D5"/>
    <w:rsid w:val="00174839"/>
    <w:rsid w:val="00183076"/>
    <w:rsid w:val="001914EE"/>
    <w:rsid w:val="00192147"/>
    <w:rsid w:val="0019251F"/>
    <w:rsid w:val="001951E0"/>
    <w:rsid w:val="0019747B"/>
    <w:rsid w:val="001A10AB"/>
    <w:rsid w:val="001A317B"/>
    <w:rsid w:val="001A5337"/>
    <w:rsid w:val="001A7C18"/>
    <w:rsid w:val="001B2284"/>
    <w:rsid w:val="001B2ACC"/>
    <w:rsid w:val="001B2CF4"/>
    <w:rsid w:val="001B5C0A"/>
    <w:rsid w:val="001B5D0F"/>
    <w:rsid w:val="001B67BF"/>
    <w:rsid w:val="001C287E"/>
    <w:rsid w:val="001C40CA"/>
    <w:rsid w:val="001C5A7E"/>
    <w:rsid w:val="001D0C09"/>
    <w:rsid w:val="001D392E"/>
    <w:rsid w:val="001D3E83"/>
    <w:rsid w:val="001D4B35"/>
    <w:rsid w:val="001D57FD"/>
    <w:rsid w:val="001E2A12"/>
    <w:rsid w:val="001E744B"/>
    <w:rsid w:val="001E7834"/>
    <w:rsid w:val="001F473A"/>
    <w:rsid w:val="001F792C"/>
    <w:rsid w:val="00207DEF"/>
    <w:rsid w:val="00213292"/>
    <w:rsid w:val="002135A3"/>
    <w:rsid w:val="00213D2E"/>
    <w:rsid w:val="00214E6D"/>
    <w:rsid w:val="00216A87"/>
    <w:rsid w:val="002200B6"/>
    <w:rsid w:val="00220A79"/>
    <w:rsid w:val="00220DAC"/>
    <w:rsid w:val="00221220"/>
    <w:rsid w:val="00221387"/>
    <w:rsid w:val="002213A8"/>
    <w:rsid w:val="00222998"/>
    <w:rsid w:val="00226A2F"/>
    <w:rsid w:val="00226ABA"/>
    <w:rsid w:val="002271F0"/>
    <w:rsid w:val="00232554"/>
    <w:rsid w:val="00234ACB"/>
    <w:rsid w:val="00235E16"/>
    <w:rsid w:val="00254503"/>
    <w:rsid w:val="00256854"/>
    <w:rsid w:val="002576B5"/>
    <w:rsid w:val="00260410"/>
    <w:rsid w:val="00261E27"/>
    <w:rsid w:val="00264673"/>
    <w:rsid w:val="002656E7"/>
    <w:rsid w:val="0026611C"/>
    <w:rsid w:val="002665BC"/>
    <w:rsid w:val="00267DB4"/>
    <w:rsid w:val="002708A1"/>
    <w:rsid w:val="0027114E"/>
    <w:rsid w:val="0028200E"/>
    <w:rsid w:val="002902D7"/>
    <w:rsid w:val="002911B9"/>
    <w:rsid w:val="00294E57"/>
    <w:rsid w:val="00296BFC"/>
    <w:rsid w:val="002A06F7"/>
    <w:rsid w:val="002A119A"/>
    <w:rsid w:val="002A4B72"/>
    <w:rsid w:val="002B15DF"/>
    <w:rsid w:val="002B4821"/>
    <w:rsid w:val="002B4C64"/>
    <w:rsid w:val="002B5CEF"/>
    <w:rsid w:val="002C00B4"/>
    <w:rsid w:val="002C2377"/>
    <w:rsid w:val="002C49DB"/>
    <w:rsid w:val="002C6EFE"/>
    <w:rsid w:val="002D3438"/>
    <w:rsid w:val="002D47B7"/>
    <w:rsid w:val="002D74C0"/>
    <w:rsid w:val="002D76BD"/>
    <w:rsid w:val="002D7DF9"/>
    <w:rsid w:val="002E02C1"/>
    <w:rsid w:val="002E067E"/>
    <w:rsid w:val="002E114D"/>
    <w:rsid w:val="002E20E9"/>
    <w:rsid w:val="002E2735"/>
    <w:rsid w:val="002E4EB4"/>
    <w:rsid w:val="002E6E2C"/>
    <w:rsid w:val="002F0051"/>
    <w:rsid w:val="002F10AE"/>
    <w:rsid w:val="002F1729"/>
    <w:rsid w:val="002F3FA8"/>
    <w:rsid w:val="00301A1D"/>
    <w:rsid w:val="00302094"/>
    <w:rsid w:val="00303381"/>
    <w:rsid w:val="00311EAC"/>
    <w:rsid w:val="003216D9"/>
    <w:rsid w:val="00330660"/>
    <w:rsid w:val="0033258D"/>
    <w:rsid w:val="003354D2"/>
    <w:rsid w:val="00335BC1"/>
    <w:rsid w:val="00335CC4"/>
    <w:rsid w:val="00337363"/>
    <w:rsid w:val="00343734"/>
    <w:rsid w:val="003556D4"/>
    <w:rsid w:val="00360F9C"/>
    <w:rsid w:val="00361FD5"/>
    <w:rsid w:val="003632AB"/>
    <w:rsid w:val="003667F1"/>
    <w:rsid w:val="0036770B"/>
    <w:rsid w:val="00367FFC"/>
    <w:rsid w:val="00372ACC"/>
    <w:rsid w:val="0037307B"/>
    <w:rsid w:val="00374680"/>
    <w:rsid w:val="00376784"/>
    <w:rsid w:val="00377043"/>
    <w:rsid w:val="00380BBE"/>
    <w:rsid w:val="00381A47"/>
    <w:rsid w:val="00382CFA"/>
    <w:rsid w:val="0038491D"/>
    <w:rsid w:val="003862A7"/>
    <w:rsid w:val="003940B6"/>
    <w:rsid w:val="00394767"/>
    <w:rsid w:val="003A0A79"/>
    <w:rsid w:val="003A0BE6"/>
    <w:rsid w:val="003A6A7A"/>
    <w:rsid w:val="003A6AAB"/>
    <w:rsid w:val="003B1DA9"/>
    <w:rsid w:val="003B2E95"/>
    <w:rsid w:val="003B3B1A"/>
    <w:rsid w:val="003B5710"/>
    <w:rsid w:val="003C19BE"/>
    <w:rsid w:val="003C3D4D"/>
    <w:rsid w:val="003C4D5A"/>
    <w:rsid w:val="003C62A9"/>
    <w:rsid w:val="003C79AC"/>
    <w:rsid w:val="003D4323"/>
    <w:rsid w:val="003D5B86"/>
    <w:rsid w:val="003D753C"/>
    <w:rsid w:val="003D7A82"/>
    <w:rsid w:val="003D7AC8"/>
    <w:rsid w:val="003E7449"/>
    <w:rsid w:val="003F1613"/>
    <w:rsid w:val="003F1625"/>
    <w:rsid w:val="003F29F4"/>
    <w:rsid w:val="003F4A68"/>
    <w:rsid w:val="00401570"/>
    <w:rsid w:val="00403B43"/>
    <w:rsid w:val="004074E8"/>
    <w:rsid w:val="00410FFA"/>
    <w:rsid w:val="004118D5"/>
    <w:rsid w:val="004140D5"/>
    <w:rsid w:val="0041428D"/>
    <w:rsid w:val="004170CC"/>
    <w:rsid w:val="0042015F"/>
    <w:rsid w:val="00422B5E"/>
    <w:rsid w:val="004246BC"/>
    <w:rsid w:val="00426C0A"/>
    <w:rsid w:val="00426DB0"/>
    <w:rsid w:val="0043252C"/>
    <w:rsid w:val="00433667"/>
    <w:rsid w:val="0043427D"/>
    <w:rsid w:val="00441B05"/>
    <w:rsid w:val="00441F3F"/>
    <w:rsid w:val="004426C8"/>
    <w:rsid w:val="004445CD"/>
    <w:rsid w:val="00445DC2"/>
    <w:rsid w:val="00445DF2"/>
    <w:rsid w:val="0044646C"/>
    <w:rsid w:val="00452109"/>
    <w:rsid w:val="004526B6"/>
    <w:rsid w:val="00453837"/>
    <w:rsid w:val="00456315"/>
    <w:rsid w:val="0046481F"/>
    <w:rsid w:val="004662D7"/>
    <w:rsid w:val="004747A1"/>
    <w:rsid w:val="00480234"/>
    <w:rsid w:val="00481B69"/>
    <w:rsid w:val="00484FAF"/>
    <w:rsid w:val="00491186"/>
    <w:rsid w:val="00492BE7"/>
    <w:rsid w:val="00496797"/>
    <w:rsid w:val="0049683C"/>
    <w:rsid w:val="00497269"/>
    <w:rsid w:val="004973C0"/>
    <w:rsid w:val="00497592"/>
    <w:rsid w:val="004A0732"/>
    <w:rsid w:val="004A1C18"/>
    <w:rsid w:val="004B00EE"/>
    <w:rsid w:val="004B0A46"/>
    <w:rsid w:val="004B4A59"/>
    <w:rsid w:val="004B6A53"/>
    <w:rsid w:val="004C0D12"/>
    <w:rsid w:val="004C0E87"/>
    <w:rsid w:val="004C5503"/>
    <w:rsid w:val="004D3931"/>
    <w:rsid w:val="004D5EB8"/>
    <w:rsid w:val="004D5F55"/>
    <w:rsid w:val="004E1722"/>
    <w:rsid w:val="004E5436"/>
    <w:rsid w:val="004E7733"/>
    <w:rsid w:val="004F0CD1"/>
    <w:rsid w:val="00502F32"/>
    <w:rsid w:val="00504B9B"/>
    <w:rsid w:val="00505E0C"/>
    <w:rsid w:val="005135BC"/>
    <w:rsid w:val="005157B2"/>
    <w:rsid w:val="00516E70"/>
    <w:rsid w:val="005218C7"/>
    <w:rsid w:val="00522C31"/>
    <w:rsid w:val="00524040"/>
    <w:rsid w:val="00531DC3"/>
    <w:rsid w:val="00532075"/>
    <w:rsid w:val="00533208"/>
    <w:rsid w:val="00541229"/>
    <w:rsid w:val="005444F5"/>
    <w:rsid w:val="00547D33"/>
    <w:rsid w:val="00547D50"/>
    <w:rsid w:val="0055308C"/>
    <w:rsid w:val="005550AD"/>
    <w:rsid w:val="00560F06"/>
    <w:rsid w:val="00561DA4"/>
    <w:rsid w:val="00567FCA"/>
    <w:rsid w:val="00575ED6"/>
    <w:rsid w:val="005768E2"/>
    <w:rsid w:val="00580C7E"/>
    <w:rsid w:val="005848D4"/>
    <w:rsid w:val="00587C9E"/>
    <w:rsid w:val="0059438C"/>
    <w:rsid w:val="00595484"/>
    <w:rsid w:val="00596203"/>
    <w:rsid w:val="005963AF"/>
    <w:rsid w:val="005966AE"/>
    <w:rsid w:val="00596E46"/>
    <w:rsid w:val="005977EB"/>
    <w:rsid w:val="005A5419"/>
    <w:rsid w:val="005A647E"/>
    <w:rsid w:val="005A73C3"/>
    <w:rsid w:val="005A7B75"/>
    <w:rsid w:val="005B3FCF"/>
    <w:rsid w:val="005B5FD6"/>
    <w:rsid w:val="005C31B4"/>
    <w:rsid w:val="005D134D"/>
    <w:rsid w:val="005D5592"/>
    <w:rsid w:val="005E078E"/>
    <w:rsid w:val="005E2ECC"/>
    <w:rsid w:val="005E431A"/>
    <w:rsid w:val="005E6890"/>
    <w:rsid w:val="005E70C1"/>
    <w:rsid w:val="005F1026"/>
    <w:rsid w:val="005F257B"/>
    <w:rsid w:val="005F60F3"/>
    <w:rsid w:val="005F6335"/>
    <w:rsid w:val="005F63DB"/>
    <w:rsid w:val="005F71E2"/>
    <w:rsid w:val="005F741A"/>
    <w:rsid w:val="005F77C3"/>
    <w:rsid w:val="0060717B"/>
    <w:rsid w:val="00607219"/>
    <w:rsid w:val="00607763"/>
    <w:rsid w:val="0060792C"/>
    <w:rsid w:val="00611AD6"/>
    <w:rsid w:val="00613B99"/>
    <w:rsid w:val="00614804"/>
    <w:rsid w:val="00616CE3"/>
    <w:rsid w:val="00621E0E"/>
    <w:rsid w:val="006237D5"/>
    <w:rsid w:val="00624CF0"/>
    <w:rsid w:val="006333A4"/>
    <w:rsid w:val="00633E69"/>
    <w:rsid w:val="00634301"/>
    <w:rsid w:val="00636B79"/>
    <w:rsid w:val="00642C59"/>
    <w:rsid w:val="00643DB7"/>
    <w:rsid w:val="00651DF5"/>
    <w:rsid w:val="00653652"/>
    <w:rsid w:val="00660348"/>
    <w:rsid w:val="006621A1"/>
    <w:rsid w:val="00665062"/>
    <w:rsid w:val="00665276"/>
    <w:rsid w:val="0066559B"/>
    <w:rsid w:val="00665CA8"/>
    <w:rsid w:val="00671912"/>
    <w:rsid w:val="00671AE2"/>
    <w:rsid w:val="006720A8"/>
    <w:rsid w:val="0067266C"/>
    <w:rsid w:val="00674822"/>
    <w:rsid w:val="006830D3"/>
    <w:rsid w:val="0068388E"/>
    <w:rsid w:val="00690EFF"/>
    <w:rsid w:val="00697B71"/>
    <w:rsid w:val="00697FD3"/>
    <w:rsid w:val="006A1B6B"/>
    <w:rsid w:val="006A7D68"/>
    <w:rsid w:val="006B508E"/>
    <w:rsid w:val="006B71D5"/>
    <w:rsid w:val="006B7E91"/>
    <w:rsid w:val="006C118B"/>
    <w:rsid w:val="006C3626"/>
    <w:rsid w:val="006C4CBB"/>
    <w:rsid w:val="006C70C5"/>
    <w:rsid w:val="006D2015"/>
    <w:rsid w:val="006D3F55"/>
    <w:rsid w:val="006D4CF1"/>
    <w:rsid w:val="006D7FF2"/>
    <w:rsid w:val="006E1571"/>
    <w:rsid w:val="006E1D11"/>
    <w:rsid w:val="006E4238"/>
    <w:rsid w:val="006E4976"/>
    <w:rsid w:val="006E6C7C"/>
    <w:rsid w:val="006F3B19"/>
    <w:rsid w:val="006F4AF2"/>
    <w:rsid w:val="006F7DA6"/>
    <w:rsid w:val="00703D6E"/>
    <w:rsid w:val="00712AAF"/>
    <w:rsid w:val="00713C70"/>
    <w:rsid w:val="00714A08"/>
    <w:rsid w:val="007165BA"/>
    <w:rsid w:val="007237D0"/>
    <w:rsid w:val="00730951"/>
    <w:rsid w:val="00731455"/>
    <w:rsid w:val="00732336"/>
    <w:rsid w:val="00733990"/>
    <w:rsid w:val="00734F3D"/>
    <w:rsid w:val="00735454"/>
    <w:rsid w:val="0073606B"/>
    <w:rsid w:val="0073685F"/>
    <w:rsid w:val="00744E1F"/>
    <w:rsid w:val="0075209D"/>
    <w:rsid w:val="00754076"/>
    <w:rsid w:val="007578EC"/>
    <w:rsid w:val="0076066B"/>
    <w:rsid w:val="00761C82"/>
    <w:rsid w:val="007630CC"/>
    <w:rsid w:val="00763106"/>
    <w:rsid w:val="00764CD5"/>
    <w:rsid w:val="00770906"/>
    <w:rsid w:val="00772DEB"/>
    <w:rsid w:val="00773BD9"/>
    <w:rsid w:val="00773C43"/>
    <w:rsid w:val="00773F27"/>
    <w:rsid w:val="007759EF"/>
    <w:rsid w:val="00785E82"/>
    <w:rsid w:val="007A0AE4"/>
    <w:rsid w:val="007A2B4B"/>
    <w:rsid w:val="007A4797"/>
    <w:rsid w:val="007A5422"/>
    <w:rsid w:val="007A66F2"/>
    <w:rsid w:val="007B11AA"/>
    <w:rsid w:val="007B370D"/>
    <w:rsid w:val="007B67B7"/>
    <w:rsid w:val="007B6B02"/>
    <w:rsid w:val="007C0946"/>
    <w:rsid w:val="007C241D"/>
    <w:rsid w:val="007C2E1E"/>
    <w:rsid w:val="007C4110"/>
    <w:rsid w:val="007D0388"/>
    <w:rsid w:val="007D158F"/>
    <w:rsid w:val="007D36B8"/>
    <w:rsid w:val="007D582F"/>
    <w:rsid w:val="007D593E"/>
    <w:rsid w:val="007D66A9"/>
    <w:rsid w:val="007D6F3C"/>
    <w:rsid w:val="007D788E"/>
    <w:rsid w:val="007E1689"/>
    <w:rsid w:val="007E3E29"/>
    <w:rsid w:val="007E470F"/>
    <w:rsid w:val="007F1569"/>
    <w:rsid w:val="007F2C05"/>
    <w:rsid w:val="007F4A40"/>
    <w:rsid w:val="007F5D17"/>
    <w:rsid w:val="007F6800"/>
    <w:rsid w:val="008027AA"/>
    <w:rsid w:val="0080406D"/>
    <w:rsid w:val="00813B40"/>
    <w:rsid w:val="00822A2E"/>
    <w:rsid w:val="00823ED1"/>
    <w:rsid w:val="0082679F"/>
    <w:rsid w:val="00826A61"/>
    <w:rsid w:val="008278A8"/>
    <w:rsid w:val="00827AA1"/>
    <w:rsid w:val="00827E85"/>
    <w:rsid w:val="008320B4"/>
    <w:rsid w:val="00832411"/>
    <w:rsid w:val="00833B2F"/>
    <w:rsid w:val="00834455"/>
    <w:rsid w:val="00835415"/>
    <w:rsid w:val="00836A52"/>
    <w:rsid w:val="008372DE"/>
    <w:rsid w:val="00843631"/>
    <w:rsid w:val="00844CE0"/>
    <w:rsid w:val="0084545E"/>
    <w:rsid w:val="008500E2"/>
    <w:rsid w:val="00852B11"/>
    <w:rsid w:val="008534CA"/>
    <w:rsid w:val="00853DE0"/>
    <w:rsid w:val="008549B6"/>
    <w:rsid w:val="00855D80"/>
    <w:rsid w:val="00857B68"/>
    <w:rsid w:val="00865E1E"/>
    <w:rsid w:val="00871261"/>
    <w:rsid w:val="00873546"/>
    <w:rsid w:val="00873B3F"/>
    <w:rsid w:val="0087478B"/>
    <w:rsid w:val="0087539B"/>
    <w:rsid w:val="008772AF"/>
    <w:rsid w:val="00880032"/>
    <w:rsid w:val="00880CF8"/>
    <w:rsid w:val="0088151D"/>
    <w:rsid w:val="00881552"/>
    <w:rsid w:val="0088461A"/>
    <w:rsid w:val="0089061B"/>
    <w:rsid w:val="00891262"/>
    <w:rsid w:val="00895A90"/>
    <w:rsid w:val="008979F6"/>
    <w:rsid w:val="008A1162"/>
    <w:rsid w:val="008A6026"/>
    <w:rsid w:val="008B45E3"/>
    <w:rsid w:val="008B753D"/>
    <w:rsid w:val="008C06A3"/>
    <w:rsid w:val="008C1991"/>
    <w:rsid w:val="008C5886"/>
    <w:rsid w:val="008C635D"/>
    <w:rsid w:val="008D0C47"/>
    <w:rsid w:val="008D0D0D"/>
    <w:rsid w:val="008D5308"/>
    <w:rsid w:val="008D72EF"/>
    <w:rsid w:val="008E1557"/>
    <w:rsid w:val="008E2040"/>
    <w:rsid w:val="008E5BD1"/>
    <w:rsid w:val="008E7D83"/>
    <w:rsid w:val="008F4021"/>
    <w:rsid w:val="008F4769"/>
    <w:rsid w:val="008F5B6D"/>
    <w:rsid w:val="008F7141"/>
    <w:rsid w:val="008F7AF5"/>
    <w:rsid w:val="0090321A"/>
    <w:rsid w:val="00904B9A"/>
    <w:rsid w:val="009060FD"/>
    <w:rsid w:val="00906881"/>
    <w:rsid w:val="0091244F"/>
    <w:rsid w:val="00912D30"/>
    <w:rsid w:val="00915C9E"/>
    <w:rsid w:val="00921ECF"/>
    <w:rsid w:val="00922C66"/>
    <w:rsid w:val="00923E0F"/>
    <w:rsid w:val="00923E55"/>
    <w:rsid w:val="00923F57"/>
    <w:rsid w:val="00924CEF"/>
    <w:rsid w:val="0092558B"/>
    <w:rsid w:val="00927876"/>
    <w:rsid w:val="00930C19"/>
    <w:rsid w:val="009347FC"/>
    <w:rsid w:val="0093520F"/>
    <w:rsid w:val="00936EB2"/>
    <w:rsid w:val="009371E4"/>
    <w:rsid w:val="00943A64"/>
    <w:rsid w:val="00944508"/>
    <w:rsid w:val="00950CA5"/>
    <w:rsid w:val="0095130A"/>
    <w:rsid w:val="0095319B"/>
    <w:rsid w:val="00953AA3"/>
    <w:rsid w:val="0095481C"/>
    <w:rsid w:val="009556DB"/>
    <w:rsid w:val="00956ADB"/>
    <w:rsid w:val="00960C1D"/>
    <w:rsid w:val="0096439F"/>
    <w:rsid w:val="00965E2A"/>
    <w:rsid w:val="00966115"/>
    <w:rsid w:val="009665B7"/>
    <w:rsid w:val="00972FBD"/>
    <w:rsid w:val="009747BA"/>
    <w:rsid w:val="009812A5"/>
    <w:rsid w:val="00982AD0"/>
    <w:rsid w:val="00984353"/>
    <w:rsid w:val="009856DF"/>
    <w:rsid w:val="009915B4"/>
    <w:rsid w:val="009917D7"/>
    <w:rsid w:val="00991A69"/>
    <w:rsid w:val="0099667E"/>
    <w:rsid w:val="009A0CB9"/>
    <w:rsid w:val="009A0FD8"/>
    <w:rsid w:val="009A4BE9"/>
    <w:rsid w:val="009A4CEB"/>
    <w:rsid w:val="009A58D1"/>
    <w:rsid w:val="009A778C"/>
    <w:rsid w:val="009B0288"/>
    <w:rsid w:val="009B0313"/>
    <w:rsid w:val="009B1247"/>
    <w:rsid w:val="009B4EAD"/>
    <w:rsid w:val="009B6BBB"/>
    <w:rsid w:val="009B76EA"/>
    <w:rsid w:val="009C00FE"/>
    <w:rsid w:val="009C1C5D"/>
    <w:rsid w:val="009C2290"/>
    <w:rsid w:val="009C2DD0"/>
    <w:rsid w:val="009C62F7"/>
    <w:rsid w:val="009D417F"/>
    <w:rsid w:val="009D478B"/>
    <w:rsid w:val="009D6635"/>
    <w:rsid w:val="009D6F62"/>
    <w:rsid w:val="009E0B24"/>
    <w:rsid w:val="009E1017"/>
    <w:rsid w:val="009E26E9"/>
    <w:rsid w:val="009E3BAF"/>
    <w:rsid w:val="009E3D1D"/>
    <w:rsid w:val="009E42C6"/>
    <w:rsid w:val="009F0118"/>
    <w:rsid w:val="009F0FB2"/>
    <w:rsid w:val="009F3821"/>
    <w:rsid w:val="009F52D4"/>
    <w:rsid w:val="009F5B05"/>
    <w:rsid w:val="00A02BDA"/>
    <w:rsid w:val="00A079C9"/>
    <w:rsid w:val="00A11D87"/>
    <w:rsid w:val="00A135CA"/>
    <w:rsid w:val="00A14B01"/>
    <w:rsid w:val="00A17C51"/>
    <w:rsid w:val="00A2287B"/>
    <w:rsid w:val="00A259DB"/>
    <w:rsid w:val="00A25BA0"/>
    <w:rsid w:val="00A26E6B"/>
    <w:rsid w:val="00A27AB4"/>
    <w:rsid w:val="00A322C6"/>
    <w:rsid w:val="00A32603"/>
    <w:rsid w:val="00A32CE7"/>
    <w:rsid w:val="00A35B31"/>
    <w:rsid w:val="00A40D56"/>
    <w:rsid w:val="00A4135F"/>
    <w:rsid w:val="00A42887"/>
    <w:rsid w:val="00A42E9D"/>
    <w:rsid w:val="00A430AB"/>
    <w:rsid w:val="00A44DDE"/>
    <w:rsid w:val="00A45CAA"/>
    <w:rsid w:val="00A5548C"/>
    <w:rsid w:val="00A5560A"/>
    <w:rsid w:val="00A5630B"/>
    <w:rsid w:val="00A565AA"/>
    <w:rsid w:val="00A63D22"/>
    <w:rsid w:val="00A656EC"/>
    <w:rsid w:val="00A6691D"/>
    <w:rsid w:val="00A67A8C"/>
    <w:rsid w:val="00A752DC"/>
    <w:rsid w:val="00A75568"/>
    <w:rsid w:val="00A77278"/>
    <w:rsid w:val="00A819E1"/>
    <w:rsid w:val="00A82981"/>
    <w:rsid w:val="00A83EFE"/>
    <w:rsid w:val="00A90614"/>
    <w:rsid w:val="00AA041B"/>
    <w:rsid w:val="00AA55F1"/>
    <w:rsid w:val="00AA61B0"/>
    <w:rsid w:val="00AA6A13"/>
    <w:rsid w:val="00AB01CB"/>
    <w:rsid w:val="00AB0AF9"/>
    <w:rsid w:val="00AC1591"/>
    <w:rsid w:val="00AD2125"/>
    <w:rsid w:val="00AE073F"/>
    <w:rsid w:val="00AE3328"/>
    <w:rsid w:val="00AE5077"/>
    <w:rsid w:val="00AF05D3"/>
    <w:rsid w:val="00AF1652"/>
    <w:rsid w:val="00AF368B"/>
    <w:rsid w:val="00AF3910"/>
    <w:rsid w:val="00AF71F6"/>
    <w:rsid w:val="00AF720C"/>
    <w:rsid w:val="00AF7DA3"/>
    <w:rsid w:val="00B005FD"/>
    <w:rsid w:val="00B0067D"/>
    <w:rsid w:val="00B0120F"/>
    <w:rsid w:val="00B026DA"/>
    <w:rsid w:val="00B066AB"/>
    <w:rsid w:val="00B0787A"/>
    <w:rsid w:val="00B07BFB"/>
    <w:rsid w:val="00B13ADD"/>
    <w:rsid w:val="00B233BC"/>
    <w:rsid w:val="00B30CF8"/>
    <w:rsid w:val="00B310B9"/>
    <w:rsid w:val="00B33194"/>
    <w:rsid w:val="00B33442"/>
    <w:rsid w:val="00B334CA"/>
    <w:rsid w:val="00B356C3"/>
    <w:rsid w:val="00B36601"/>
    <w:rsid w:val="00B46BC4"/>
    <w:rsid w:val="00B506BE"/>
    <w:rsid w:val="00B506D9"/>
    <w:rsid w:val="00B511AF"/>
    <w:rsid w:val="00B52BFC"/>
    <w:rsid w:val="00B52DE1"/>
    <w:rsid w:val="00B53E69"/>
    <w:rsid w:val="00B544A0"/>
    <w:rsid w:val="00B55957"/>
    <w:rsid w:val="00B60704"/>
    <w:rsid w:val="00B612CC"/>
    <w:rsid w:val="00B62B0A"/>
    <w:rsid w:val="00B6471B"/>
    <w:rsid w:val="00B65455"/>
    <w:rsid w:val="00B65DB2"/>
    <w:rsid w:val="00B660A6"/>
    <w:rsid w:val="00B67800"/>
    <w:rsid w:val="00B77361"/>
    <w:rsid w:val="00B85FA0"/>
    <w:rsid w:val="00B8723B"/>
    <w:rsid w:val="00B90297"/>
    <w:rsid w:val="00B93773"/>
    <w:rsid w:val="00BB2BCB"/>
    <w:rsid w:val="00BB3CDA"/>
    <w:rsid w:val="00BC39F2"/>
    <w:rsid w:val="00BC48D9"/>
    <w:rsid w:val="00BD124F"/>
    <w:rsid w:val="00BD5732"/>
    <w:rsid w:val="00BD5E1A"/>
    <w:rsid w:val="00BE0CFC"/>
    <w:rsid w:val="00BE157D"/>
    <w:rsid w:val="00BE52F1"/>
    <w:rsid w:val="00BF1BF6"/>
    <w:rsid w:val="00BF2330"/>
    <w:rsid w:val="00BF3100"/>
    <w:rsid w:val="00C044F4"/>
    <w:rsid w:val="00C077BA"/>
    <w:rsid w:val="00C10A52"/>
    <w:rsid w:val="00C1123B"/>
    <w:rsid w:val="00C2024E"/>
    <w:rsid w:val="00C22131"/>
    <w:rsid w:val="00C25E72"/>
    <w:rsid w:val="00C261C5"/>
    <w:rsid w:val="00C278E1"/>
    <w:rsid w:val="00C324AD"/>
    <w:rsid w:val="00C324F1"/>
    <w:rsid w:val="00C333CF"/>
    <w:rsid w:val="00C3464E"/>
    <w:rsid w:val="00C3579B"/>
    <w:rsid w:val="00C371CD"/>
    <w:rsid w:val="00C37D5F"/>
    <w:rsid w:val="00C42D2F"/>
    <w:rsid w:val="00C43F77"/>
    <w:rsid w:val="00C44F3A"/>
    <w:rsid w:val="00C4576B"/>
    <w:rsid w:val="00C46BF6"/>
    <w:rsid w:val="00C4714F"/>
    <w:rsid w:val="00C479F9"/>
    <w:rsid w:val="00C530DC"/>
    <w:rsid w:val="00C61D52"/>
    <w:rsid w:val="00C62F37"/>
    <w:rsid w:val="00C64E1C"/>
    <w:rsid w:val="00C6575D"/>
    <w:rsid w:val="00C65B4F"/>
    <w:rsid w:val="00C71AF9"/>
    <w:rsid w:val="00C74664"/>
    <w:rsid w:val="00C7672B"/>
    <w:rsid w:val="00C76AAC"/>
    <w:rsid w:val="00C80B0D"/>
    <w:rsid w:val="00C858B9"/>
    <w:rsid w:val="00C90971"/>
    <w:rsid w:val="00C92931"/>
    <w:rsid w:val="00C96290"/>
    <w:rsid w:val="00CA0C5D"/>
    <w:rsid w:val="00CA264D"/>
    <w:rsid w:val="00CA4BC6"/>
    <w:rsid w:val="00CA4DEF"/>
    <w:rsid w:val="00CA5C9F"/>
    <w:rsid w:val="00CB277B"/>
    <w:rsid w:val="00CB39FD"/>
    <w:rsid w:val="00CB6592"/>
    <w:rsid w:val="00CB79C4"/>
    <w:rsid w:val="00CD1399"/>
    <w:rsid w:val="00CD18CF"/>
    <w:rsid w:val="00CE477A"/>
    <w:rsid w:val="00CE582E"/>
    <w:rsid w:val="00CE7A62"/>
    <w:rsid w:val="00CF281A"/>
    <w:rsid w:val="00CF3715"/>
    <w:rsid w:val="00CF410C"/>
    <w:rsid w:val="00CF52C3"/>
    <w:rsid w:val="00D023FD"/>
    <w:rsid w:val="00D05BC1"/>
    <w:rsid w:val="00D066DC"/>
    <w:rsid w:val="00D0710D"/>
    <w:rsid w:val="00D110A1"/>
    <w:rsid w:val="00D12B24"/>
    <w:rsid w:val="00D147CF"/>
    <w:rsid w:val="00D15297"/>
    <w:rsid w:val="00D15A4C"/>
    <w:rsid w:val="00D245B7"/>
    <w:rsid w:val="00D25555"/>
    <w:rsid w:val="00D271EE"/>
    <w:rsid w:val="00D27AD1"/>
    <w:rsid w:val="00D30F1C"/>
    <w:rsid w:val="00D32019"/>
    <w:rsid w:val="00D343AC"/>
    <w:rsid w:val="00D40F2D"/>
    <w:rsid w:val="00D4429F"/>
    <w:rsid w:val="00D44E45"/>
    <w:rsid w:val="00D46424"/>
    <w:rsid w:val="00D52E8E"/>
    <w:rsid w:val="00D53E69"/>
    <w:rsid w:val="00D54DB2"/>
    <w:rsid w:val="00D64A40"/>
    <w:rsid w:val="00D70C5E"/>
    <w:rsid w:val="00D71D02"/>
    <w:rsid w:val="00D854EB"/>
    <w:rsid w:val="00D8584E"/>
    <w:rsid w:val="00D87CED"/>
    <w:rsid w:val="00D931ED"/>
    <w:rsid w:val="00D9401E"/>
    <w:rsid w:val="00D95F7A"/>
    <w:rsid w:val="00D96C15"/>
    <w:rsid w:val="00DA13EE"/>
    <w:rsid w:val="00DA2170"/>
    <w:rsid w:val="00DA2A4F"/>
    <w:rsid w:val="00DB3F52"/>
    <w:rsid w:val="00DC02B9"/>
    <w:rsid w:val="00DC116F"/>
    <w:rsid w:val="00DD102D"/>
    <w:rsid w:val="00DD3074"/>
    <w:rsid w:val="00DD3870"/>
    <w:rsid w:val="00DD3E6E"/>
    <w:rsid w:val="00DD4A61"/>
    <w:rsid w:val="00DD5F65"/>
    <w:rsid w:val="00DE03ED"/>
    <w:rsid w:val="00DE0933"/>
    <w:rsid w:val="00DE131E"/>
    <w:rsid w:val="00DE173D"/>
    <w:rsid w:val="00DE2FF8"/>
    <w:rsid w:val="00DF1A43"/>
    <w:rsid w:val="00DF4019"/>
    <w:rsid w:val="00DF69B1"/>
    <w:rsid w:val="00E01BDF"/>
    <w:rsid w:val="00E01EE6"/>
    <w:rsid w:val="00E026EC"/>
    <w:rsid w:val="00E02D42"/>
    <w:rsid w:val="00E04351"/>
    <w:rsid w:val="00E05ABC"/>
    <w:rsid w:val="00E06018"/>
    <w:rsid w:val="00E1259E"/>
    <w:rsid w:val="00E135D2"/>
    <w:rsid w:val="00E13C1D"/>
    <w:rsid w:val="00E164AC"/>
    <w:rsid w:val="00E16547"/>
    <w:rsid w:val="00E2318F"/>
    <w:rsid w:val="00E261C5"/>
    <w:rsid w:val="00E26994"/>
    <w:rsid w:val="00E34928"/>
    <w:rsid w:val="00E409C1"/>
    <w:rsid w:val="00E443B0"/>
    <w:rsid w:val="00E44792"/>
    <w:rsid w:val="00E45B92"/>
    <w:rsid w:val="00E4728E"/>
    <w:rsid w:val="00E50B34"/>
    <w:rsid w:val="00E519A4"/>
    <w:rsid w:val="00E53F58"/>
    <w:rsid w:val="00E54DB0"/>
    <w:rsid w:val="00E55EDF"/>
    <w:rsid w:val="00E56F41"/>
    <w:rsid w:val="00E57B50"/>
    <w:rsid w:val="00E602BE"/>
    <w:rsid w:val="00E65470"/>
    <w:rsid w:val="00E71D6C"/>
    <w:rsid w:val="00E76B95"/>
    <w:rsid w:val="00E81A24"/>
    <w:rsid w:val="00E81DFD"/>
    <w:rsid w:val="00E83FAF"/>
    <w:rsid w:val="00E85079"/>
    <w:rsid w:val="00E87E71"/>
    <w:rsid w:val="00E947FE"/>
    <w:rsid w:val="00EA06A8"/>
    <w:rsid w:val="00EA0949"/>
    <w:rsid w:val="00EA2582"/>
    <w:rsid w:val="00EA274B"/>
    <w:rsid w:val="00EA3C75"/>
    <w:rsid w:val="00EA41DD"/>
    <w:rsid w:val="00EA4762"/>
    <w:rsid w:val="00EA6E3D"/>
    <w:rsid w:val="00EB052E"/>
    <w:rsid w:val="00EB2764"/>
    <w:rsid w:val="00EC4218"/>
    <w:rsid w:val="00ED0473"/>
    <w:rsid w:val="00ED2CE5"/>
    <w:rsid w:val="00ED60EA"/>
    <w:rsid w:val="00EE3CA4"/>
    <w:rsid w:val="00EF0CE4"/>
    <w:rsid w:val="00EF137D"/>
    <w:rsid w:val="00EF3799"/>
    <w:rsid w:val="00EF51C3"/>
    <w:rsid w:val="00EF7E70"/>
    <w:rsid w:val="00EF7FEB"/>
    <w:rsid w:val="00F009C7"/>
    <w:rsid w:val="00F04B84"/>
    <w:rsid w:val="00F11699"/>
    <w:rsid w:val="00F16567"/>
    <w:rsid w:val="00F17B83"/>
    <w:rsid w:val="00F232A2"/>
    <w:rsid w:val="00F25E62"/>
    <w:rsid w:val="00F31296"/>
    <w:rsid w:val="00F3282B"/>
    <w:rsid w:val="00F335B4"/>
    <w:rsid w:val="00F33679"/>
    <w:rsid w:val="00F373BB"/>
    <w:rsid w:val="00F41487"/>
    <w:rsid w:val="00F43258"/>
    <w:rsid w:val="00F46232"/>
    <w:rsid w:val="00F50240"/>
    <w:rsid w:val="00F50931"/>
    <w:rsid w:val="00F532D7"/>
    <w:rsid w:val="00F60BEA"/>
    <w:rsid w:val="00F63E10"/>
    <w:rsid w:val="00F640B9"/>
    <w:rsid w:val="00F67A2F"/>
    <w:rsid w:val="00F72837"/>
    <w:rsid w:val="00F72BFC"/>
    <w:rsid w:val="00F734E3"/>
    <w:rsid w:val="00F75DEB"/>
    <w:rsid w:val="00F83A3B"/>
    <w:rsid w:val="00F852BA"/>
    <w:rsid w:val="00F85EE8"/>
    <w:rsid w:val="00F8631C"/>
    <w:rsid w:val="00F9210B"/>
    <w:rsid w:val="00F92BC5"/>
    <w:rsid w:val="00F9439D"/>
    <w:rsid w:val="00FA0CD3"/>
    <w:rsid w:val="00FA2546"/>
    <w:rsid w:val="00FA390F"/>
    <w:rsid w:val="00FA3F0F"/>
    <w:rsid w:val="00FA7C02"/>
    <w:rsid w:val="00FB0589"/>
    <w:rsid w:val="00FB16AF"/>
    <w:rsid w:val="00FB477F"/>
    <w:rsid w:val="00FB77E8"/>
    <w:rsid w:val="00FC1D52"/>
    <w:rsid w:val="00FD1753"/>
    <w:rsid w:val="00FD479F"/>
    <w:rsid w:val="00FE0394"/>
    <w:rsid w:val="00FE594B"/>
    <w:rsid w:val="00FF3AF7"/>
    <w:rsid w:val="00FF5E6F"/>
    <w:rsid w:val="00FF6886"/>
    <w:rsid w:val="00FF75FD"/>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186"/>
    <w:rPr>
      <w:sz w:val="20"/>
      <w:szCs w:val="20"/>
      <w:lang w:val="nl-NL" w:eastAsia="nl-NL"/>
    </w:rPr>
  </w:style>
  <w:style w:type="paragraph" w:styleId="Heading1">
    <w:name w:val="heading 1"/>
    <w:basedOn w:val="Normal"/>
    <w:next w:val="Normal"/>
    <w:link w:val="Heading1Char"/>
    <w:uiPriority w:val="99"/>
    <w:qFormat/>
    <w:rsid w:val="00CE582E"/>
    <w:pPr>
      <w:keepNext/>
      <w:outlineLvl w:val="0"/>
    </w:pPr>
    <w:rPr>
      <w:b/>
      <w:bCs/>
      <w:sz w:val="24"/>
      <w:szCs w:val="24"/>
      <w:lang w:val="nl-BE"/>
    </w:rPr>
  </w:style>
  <w:style w:type="paragraph" w:styleId="Heading3">
    <w:name w:val="heading 3"/>
    <w:basedOn w:val="Normal"/>
    <w:next w:val="Normal"/>
    <w:link w:val="Heading3Char"/>
    <w:uiPriority w:val="99"/>
    <w:qFormat/>
    <w:rsid w:val="00135503"/>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BB3"/>
    <w:rPr>
      <w:rFonts w:asciiTheme="majorHAnsi" w:eastAsiaTheme="majorEastAsia" w:hAnsiTheme="majorHAnsi" w:cstheme="majorBidi"/>
      <w:b/>
      <w:bCs/>
      <w:kern w:val="32"/>
      <w:sz w:val="32"/>
      <w:szCs w:val="32"/>
      <w:lang w:val="nl-NL" w:eastAsia="nl-NL"/>
    </w:rPr>
  </w:style>
  <w:style w:type="character" w:customStyle="1" w:styleId="Heading3Char">
    <w:name w:val="Heading 3 Char"/>
    <w:basedOn w:val="DefaultParagraphFont"/>
    <w:link w:val="Heading3"/>
    <w:uiPriority w:val="9"/>
    <w:semiHidden/>
    <w:rsid w:val="00B46BB3"/>
    <w:rPr>
      <w:rFonts w:asciiTheme="majorHAnsi" w:eastAsiaTheme="majorEastAsia" w:hAnsiTheme="majorHAnsi" w:cstheme="majorBidi"/>
      <w:b/>
      <w:bCs/>
      <w:sz w:val="26"/>
      <w:szCs w:val="26"/>
      <w:lang w:val="nl-NL" w:eastAsia="nl-NL"/>
    </w:rPr>
  </w:style>
  <w:style w:type="paragraph" w:customStyle="1" w:styleId="A-TitelMinister">
    <w:name w:val="A-TitelMinister"/>
    <w:basedOn w:val="Normal"/>
    <w:uiPriority w:val="99"/>
    <w:rsid w:val="009060FD"/>
    <w:rPr>
      <w:smallCaps/>
      <w:sz w:val="24"/>
      <w:lang w:val="nl-BE"/>
    </w:rPr>
  </w:style>
  <w:style w:type="paragraph" w:customStyle="1" w:styleId="A-NaamMinister">
    <w:name w:val="A-NaamMinister"/>
    <w:basedOn w:val="Normal"/>
    <w:uiPriority w:val="99"/>
    <w:rsid w:val="009060FD"/>
    <w:rPr>
      <w:b/>
      <w:smallCaps/>
      <w:sz w:val="22"/>
      <w:lang w:val="nl-BE"/>
    </w:rPr>
  </w:style>
  <w:style w:type="paragraph" w:customStyle="1" w:styleId="A-Lijn">
    <w:name w:val="A-Lijn"/>
    <w:basedOn w:val="Normal"/>
    <w:uiPriority w:val="99"/>
    <w:rsid w:val="009060FD"/>
    <w:pPr>
      <w:pBdr>
        <w:top w:val="single" w:sz="4" w:space="1" w:color="auto"/>
      </w:pBdr>
    </w:pPr>
    <w:rPr>
      <w:smallCaps/>
      <w:sz w:val="22"/>
      <w:lang w:val="nl-BE"/>
    </w:rPr>
  </w:style>
  <w:style w:type="paragraph" w:customStyle="1" w:styleId="A-Type">
    <w:name w:val="A-Type"/>
    <w:uiPriority w:val="99"/>
    <w:rsid w:val="009060FD"/>
    <w:rPr>
      <w:b/>
      <w:smallCaps/>
      <w:szCs w:val="20"/>
      <w:lang w:eastAsia="nl-NL"/>
    </w:rPr>
  </w:style>
  <w:style w:type="character" w:customStyle="1" w:styleId="AntwoordNaamMinisterChar">
    <w:name w:val="AntwoordNaamMinister Char"/>
    <w:basedOn w:val="DefaultParagraphFont"/>
    <w:uiPriority w:val="99"/>
    <w:rsid w:val="009060FD"/>
    <w:rPr>
      <w:rFonts w:cs="Times New Roman"/>
      <w:b/>
      <w:smallCaps/>
      <w:sz w:val="24"/>
      <w:szCs w:val="24"/>
      <w:lang w:val="nl-BE" w:eastAsia="nl-NL" w:bidi="ar-SA"/>
    </w:rPr>
  </w:style>
  <w:style w:type="paragraph" w:styleId="BodyText">
    <w:name w:val="Body Text"/>
    <w:basedOn w:val="Normal"/>
    <w:link w:val="BodyTextChar"/>
    <w:uiPriority w:val="99"/>
    <w:rsid w:val="009060FD"/>
    <w:rPr>
      <w:rFonts w:ascii="Courier New" w:hAnsi="Courier New"/>
      <w:sz w:val="24"/>
    </w:rPr>
  </w:style>
  <w:style w:type="character" w:customStyle="1" w:styleId="BodyTextChar">
    <w:name w:val="Body Text Char"/>
    <w:basedOn w:val="DefaultParagraphFont"/>
    <w:link w:val="BodyText"/>
    <w:uiPriority w:val="99"/>
    <w:semiHidden/>
    <w:rsid w:val="00B46BB3"/>
    <w:rPr>
      <w:sz w:val="20"/>
      <w:szCs w:val="20"/>
      <w:lang w:val="nl-NL" w:eastAsia="nl-NL"/>
    </w:rPr>
  </w:style>
  <w:style w:type="paragraph" w:styleId="BodyTextIndent">
    <w:name w:val="Body Text Indent"/>
    <w:basedOn w:val="Normal"/>
    <w:link w:val="BodyTextIndentChar"/>
    <w:uiPriority w:val="99"/>
    <w:rsid w:val="009060FD"/>
    <w:pPr>
      <w:ind w:left="709"/>
    </w:pPr>
    <w:rPr>
      <w:sz w:val="24"/>
    </w:rPr>
  </w:style>
  <w:style w:type="character" w:customStyle="1" w:styleId="BodyTextIndentChar">
    <w:name w:val="Body Text Indent Char"/>
    <w:basedOn w:val="DefaultParagraphFont"/>
    <w:link w:val="BodyTextIndent"/>
    <w:uiPriority w:val="99"/>
    <w:semiHidden/>
    <w:rsid w:val="00B46BB3"/>
    <w:rPr>
      <w:sz w:val="20"/>
      <w:szCs w:val="20"/>
      <w:lang w:val="nl-NL" w:eastAsia="nl-NL"/>
    </w:rPr>
  </w:style>
  <w:style w:type="paragraph" w:customStyle="1" w:styleId="Rt6">
    <w:name w:val="Rt6"/>
    <w:basedOn w:val="Normal"/>
    <w:uiPriority w:val="99"/>
    <w:rsid w:val="008F4769"/>
    <w:pPr>
      <w:numPr>
        <w:numId w:val="1"/>
      </w:numPr>
      <w:spacing w:line="360" w:lineRule="auto"/>
      <w:jc w:val="both"/>
    </w:pPr>
    <w:rPr>
      <w:rFonts w:ascii="Optima" w:hAnsi="Optima"/>
      <w:szCs w:val="16"/>
      <w:lang w:val="en-GB"/>
    </w:rPr>
  </w:style>
  <w:style w:type="paragraph" w:styleId="FootnoteText">
    <w:name w:val="footnote text"/>
    <w:basedOn w:val="Normal"/>
    <w:link w:val="FootnoteTextChar"/>
    <w:autoRedefine/>
    <w:uiPriority w:val="99"/>
    <w:semiHidden/>
    <w:rsid w:val="009556DB"/>
    <w:pPr>
      <w:jc w:val="both"/>
    </w:pPr>
    <w:rPr>
      <w:rFonts w:ascii="Optima" w:hAnsi="Optima"/>
      <w:sz w:val="18"/>
      <w:lang w:val="nl-BE"/>
    </w:rPr>
  </w:style>
  <w:style w:type="character" w:customStyle="1" w:styleId="FootnoteTextChar">
    <w:name w:val="Footnote Text Char"/>
    <w:basedOn w:val="DefaultParagraphFont"/>
    <w:link w:val="FootnoteText"/>
    <w:uiPriority w:val="99"/>
    <w:semiHidden/>
    <w:rsid w:val="00B46BB3"/>
    <w:rPr>
      <w:sz w:val="20"/>
      <w:szCs w:val="20"/>
      <w:lang w:val="nl-NL" w:eastAsia="nl-NL"/>
    </w:rPr>
  </w:style>
  <w:style w:type="character" w:styleId="FootnoteReference">
    <w:name w:val="footnote reference"/>
    <w:basedOn w:val="DefaultParagraphFont"/>
    <w:uiPriority w:val="99"/>
    <w:semiHidden/>
    <w:rsid w:val="009556DB"/>
    <w:rPr>
      <w:rFonts w:cs="Times New Roman"/>
      <w:vertAlign w:val="superscript"/>
    </w:rPr>
  </w:style>
  <w:style w:type="paragraph" w:styleId="BalloonText">
    <w:name w:val="Balloon Text"/>
    <w:basedOn w:val="Normal"/>
    <w:link w:val="BalloonTextChar"/>
    <w:uiPriority w:val="99"/>
    <w:semiHidden/>
    <w:rsid w:val="00E53F58"/>
    <w:rPr>
      <w:rFonts w:ascii="Tahoma" w:hAnsi="Tahoma" w:cs="Tahoma"/>
      <w:sz w:val="16"/>
      <w:szCs w:val="16"/>
    </w:rPr>
  </w:style>
  <w:style w:type="character" w:customStyle="1" w:styleId="BalloonTextChar">
    <w:name w:val="Balloon Text Char"/>
    <w:basedOn w:val="DefaultParagraphFont"/>
    <w:link w:val="BalloonText"/>
    <w:uiPriority w:val="99"/>
    <w:semiHidden/>
    <w:rsid w:val="00B46BB3"/>
    <w:rPr>
      <w:sz w:val="0"/>
      <w:szCs w:val="0"/>
      <w:lang w:val="nl-NL" w:eastAsia="nl-NL"/>
    </w:rPr>
  </w:style>
  <w:style w:type="character" w:styleId="Hyperlink">
    <w:name w:val="Hyperlink"/>
    <w:basedOn w:val="DefaultParagraphFont"/>
    <w:uiPriority w:val="99"/>
    <w:rsid w:val="00735454"/>
    <w:rPr>
      <w:rFonts w:cs="Times New Roman"/>
      <w:color w:val="0000FF"/>
      <w:u w:val="single"/>
    </w:rPr>
  </w:style>
  <w:style w:type="paragraph" w:customStyle="1" w:styleId="msolistparagraph0">
    <w:name w:val="msolistparagraph"/>
    <w:basedOn w:val="Normal"/>
    <w:uiPriority w:val="99"/>
    <w:rsid w:val="00735454"/>
    <w:pPr>
      <w:ind w:left="720"/>
    </w:pPr>
    <w:rPr>
      <w:rFonts w:ascii="Calibri" w:hAnsi="Calibri"/>
      <w:sz w:val="22"/>
      <w:szCs w:val="22"/>
    </w:rPr>
  </w:style>
  <w:style w:type="paragraph" w:customStyle="1" w:styleId="CharCharCharCharCharCharCharCharCharChar">
    <w:name w:val="Char Char Char Char Char Char Char Char Char Char"/>
    <w:basedOn w:val="Normal"/>
    <w:uiPriority w:val="99"/>
    <w:rsid w:val="00294E57"/>
    <w:pPr>
      <w:keepLines/>
      <w:pBdr>
        <w:top w:val="single" w:sz="4" w:space="1" w:color="auto"/>
      </w:pBdr>
      <w:spacing w:before="480"/>
      <w:jc w:val="both"/>
    </w:pPr>
    <w:rPr>
      <w:i/>
      <w:iCs/>
      <w:sz w:val="24"/>
      <w:szCs w:val="24"/>
      <w:lang w:val="fr-FR" w:eastAsia="en-GB"/>
    </w:rPr>
  </w:style>
  <w:style w:type="table" w:styleId="TableGrid">
    <w:name w:val="Table Grid"/>
    <w:basedOn w:val="TableNormal"/>
    <w:uiPriority w:val="99"/>
    <w:rsid w:val="008D53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5">
    <w:name w:val="Table Grid 5"/>
    <w:basedOn w:val="TableNormal"/>
    <w:uiPriority w:val="99"/>
    <w:rsid w:val="008D5308"/>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Theme">
    <w:name w:val="Table Theme"/>
    <w:basedOn w:val="TableNormal"/>
    <w:uiPriority w:val="99"/>
    <w:rsid w:val="008D53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A7D68"/>
    <w:rPr>
      <w:rFonts w:cs="Times New Roman"/>
      <w:b/>
      <w:bCs/>
    </w:rPr>
  </w:style>
  <w:style w:type="paragraph" w:customStyle="1" w:styleId="CharCharCharChar">
    <w:name w:val="Char Char Char Char"/>
    <w:basedOn w:val="Normal"/>
    <w:uiPriority w:val="99"/>
    <w:rsid w:val="003C4D5A"/>
    <w:pPr>
      <w:keepLines/>
      <w:pBdr>
        <w:top w:val="single" w:sz="4" w:space="1" w:color="auto"/>
      </w:pBdr>
      <w:spacing w:before="480"/>
      <w:jc w:val="both"/>
    </w:pPr>
    <w:rPr>
      <w:rFonts w:ascii="Arial" w:hAnsi="Arial"/>
      <w:i/>
      <w:iCs/>
      <w:sz w:val="24"/>
      <w:szCs w:val="24"/>
      <w:lang w:val="fr-FR" w:eastAsia="en-GB"/>
    </w:rPr>
  </w:style>
  <w:style w:type="paragraph" w:customStyle="1" w:styleId="StandaardSV">
    <w:name w:val="Standaard SV"/>
    <w:basedOn w:val="Normal"/>
    <w:uiPriority w:val="99"/>
    <w:rsid w:val="00B0787A"/>
    <w:pPr>
      <w:jc w:val="both"/>
    </w:pPr>
    <w:rPr>
      <w:sz w:val="22"/>
    </w:rPr>
  </w:style>
  <w:style w:type="paragraph" w:customStyle="1" w:styleId="CharCharCharCharCharCharCharChar">
    <w:name w:val="Char Char Char Char Char Char Char Char"/>
    <w:aliases w:val="Char Char Char Char Char1 Char"/>
    <w:basedOn w:val="Normal"/>
    <w:uiPriority w:val="99"/>
    <w:rsid w:val="005D5592"/>
    <w:pPr>
      <w:keepLines/>
      <w:pBdr>
        <w:top w:val="single" w:sz="4" w:space="1" w:color="auto"/>
      </w:pBdr>
      <w:spacing w:before="480"/>
      <w:jc w:val="both"/>
    </w:pPr>
    <w:rPr>
      <w:i/>
      <w:iCs/>
      <w:sz w:val="24"/>
      <w:szCs w:val="24"/>
      <w:lang w:val="fr-FR" w:eastAsia="en-GB"/>
    </w:rPr>
  </w:style>
  <w:style w:type="character" w:styleId="FollowedHyperlink">
    <w:name w:val="FollowedHyperlink"/>
    <w:basedOn w:val="DefaultParagraphFont"/>
    <w:uiPriority w:val="99"/>
    <w:rsid w:val="00343734"/>
    <w:rPr>
      <w:rFonts w:cs="Times New Roman"/>
      <w:color w:val="800080"/>
      <w:u w:val="single"/>
    </w:rPr>
  </w:style>
  <w:style w:type="paragraph" w:styleId="DocumentMap">
    <w:name w:val="Document Map"/>
    <w:basedOn w:val="Normal"/>
    <w:link w:val="DocumentMapChar"/>
    <w:uiPriority w:val="99"/>
    <w:semiHidden/>
    <w:rsid w:val="00B9377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46BB3"/>
    <w:rPr>
      <w:sz w:val="0"/>
      <w:szCs w:val="0"/>
      <w:lang w:val="nl-NL" w:eastAsia="nl-NL"/>
    </w:rPr>
  </w:style>
  <w:style w:type="paragraph" w:styleId="Footer">
    <w:name w:val="footer"/>
    <w:basedOn w:val="Normal"/>
    <w:link w:val="FooterChar"/>
    <w:uiPriority w:val="99"/>
    <w:rsid w:val="00CE582E"/>
    <w:pPr>
      <w:tabs>
        <w:tab w:val="center" w:pos="4536"/>
        <w:tab w:val="right" w:pos="9072"/>
      </w:tabs>
    </w:pPr>
    <w:rPr>
      <w:sz w:val="24"/>
      <w:szCs w:val="24"/>
    </w:rPr>
  </w:style>
  <w:style w:type="character" w:customStyle="1" w:styleId="FooterChar">
    <w:name w:val="Footer Char"/>
    <w:basedOn w:val="DefaultParagraphFont"/>
    <w:link w:val="Footer"/>
    <w:uiPriority w:val="99"/>
    <w:semiHidden/>
    <w:rsid w:val="00B46BB3"/>
    <w:rPr>
      <w:sz w:val="20"/>
      <w:szCs w:val="20"/>
      <w:lang w:val="nl-NL" w:eastAsia="nl-NL"/>
    </w:rPr>
  </w:style>
  <w:style w:type="paragraph" w:customStyle="1" w:styleId="IVHtekst">
    <w:name w:val="IVH tekst"/>
    <w:basedOn w:val="Normal"/>
    <w:link w:val="IVHtekstChar"/>
    <w:uiPriority w:val="99"/>
    <w:rsid w:val="000A3F88"/>
    <w:pPr>
      <w:spacing w:before="120" w:after="120"/>
      <w:jc w:val="both"/>
    </w:pPr>
    <w:rPr>
      <w:rFonts w:ascii="Garamond" w:hAnsi="Garamond"/>
      <w:color w:val="FF0000"/>
      <w:sz w:val="24"/>
    </w:rPr>
  </w:style>
  <w:style w:type="character" w:customStyle="1" w:styleId="IVHtekstChar">
    <w:name w:val="IVH tekst Char"/>
    <w:basedOn w:val="DefaultParagraphFont"/>
    <w:link w:val="IVHtekst"/>
    <w:uiPriority w:val="99"/>
    <w:locked/>
    <w:rsid w:val="000A3F88"/>
    <w:rPr>
      <w:rFonts w:ascii="Garamond" w:hAnsi="Garamond" w:cs="Times New Roman"/>
      <w:color w:val="FF0000"/>
      <w:sz w:val="24"/>
      <w:lang w:val="nl-NL" w:eastAsia="nl-NL" w:bidi="ar-SA"/>
    </w:rPr>
  </w:style>
  <w:style w:type="paragraph" w:customStyle="1" w:styleId="SVTitel">
    <w:name w:val="SV Titel"/>
    <w:basedOn w:val="Normal"/>
    <w:uiPriority w:val="99"/>
    <w:rsid w:val="005B5FD6"/>
    <w:pPr>
      <w:jc w:val="both"/>
    </w:pPr>
    <w:rPr>
      <w:i/>
      <w:sz w:val="22"/>
    </w:rPr>
  </w:style>
  <w:style w:type="paragraph" w:customStyle="1" w:styleId="mnone">
    <w:name w:val="mnone"/>
    <w:basedOn w:val="Normal"/>
    <w:uiPriority w:val="99"/>
    <w:rsid w:val="00080BE7"/>
    <w:rPr>
      <w:sz w:val="24"/>
      <w:szCs w:val="24"/>
    </w:rPr>
  </w:style>
  <w:style w:type="paragraph" w:customStyle="1" w:styleId="opsommingniveau2">
    <w:name w:val="opsomming niveau 2"/>
    <w:basedOn w:val="Normal"/>
    <w:uiPriority w:val="99"/>
    <w:rsid w:val="001120CA"/>
    <w:pPr>
      <w:numPr>
        <w:numId w:val="2"/>
      </w:numPr>
      <w:spacing w:line="320" w:lineRule="exact"/>
    </w:pPr>
    <w:rPr>
      <w:rFonts w:ascii="Trebuchet MS" w:hAnsi="Trebuchet MS"/>
      <w:szCs w:val="22"/>
    </w:rPr>
  </w:style>
  <w:style w:type="paragraph" w:styleId="NormalWeb">
    <w:name w:val="Normal (Web)"/>
    <w:basedOn w:val="Normal"/>
    <w:uiPriority w:val="99"/>
    <w:rsid w:val="00B233BC"/>
    <w:pPr>
      <w:spacing w:before="100" w:beforeAutospacing="1" w:after="100" w:afterAutospacing="1"/>
    </w:pPr>
    <w:rPr>
      <w:sz w:val="24"/>
      <w:szCs w:val="24"/>
    </w:rPr>
  </w:style>
  <w:style w:type="character" w:styleId="Emphasis">
    <w:name w:val="Emphasis"/>
    <w:basedOn w:val="DefaultParagraphFont"/>
    <w:uiPriority w:val="99"/>
    <w:qFormat/>
    <w:rsid w:val="00F50240"/>
    <w:rPr>
      <w:rFonts w:cs="Times New Roman"/>
      <w:i/>
      <w:iCs/>
    </w:rPr>
  </w:style>
  <w:style w:type="paragraph" w:styleId="ListParagraph">
    <w:name w:val="List Paragraph"/>
    <w:basedOn w:val="Normal"/>
    <w:uiPriority w:val="99"/>
    <w:qFormat/>
    <w:rsid w:val="00ED2CE5"/>
    <w:pPr>
      <w:ind w:left="720"/>
      <w:contextualSpacing/>
    </w:pPr>
  </w:style>
  <w:style w:type="character" w:styleId="CommentReference">
    <w:name w:val="annotation reference"/>
    <w:basedOn w:val="DefaultParagraphFont"/>
    <w:uiPriority w:val="99"/>
    <w:rsid w:val="00422B5E"/>
    <w:rPr>
      <w:rFonts w:cs="Times New Roman"/>
      <w:sz w:val="16"/>
      <w:szCs w:val="16"/>
    </w:rPr>
  </w:style>
  <w:style w:type="paragraph" w:styleId="CommentText">
    <w:name w:val="annotation text"/>
    <w:basedOn w:val="Normal"/>
    <w:link w:val="CommentTextChar"/>
    <w:uiPriority w:val="99"/>
    <w:rsid w:val="00422B5E"/>
  </w:style>
  <w:style w:type="character" w:customStyle="1" w:styleId="CommentTextChar">
    <w:name w:val="Comment Text Char"/>
    <w:basedOn w:val="DefaultParagraphFont"/>
    <w:link w:val="CommentText"/>
    <w:uiPriority w:val="99"/>
    <w:locked/>
    <w:rsid w:val="00422B5E"/>
    <w:rPr>
      <w:rFonts w:cs="Times New Roman"/>
      <w:lang w:val="nl-NL" w:eastAsia="nl-NL"/>
    </w:rPr>
  </w:style>
  <w:style w:type="paragraph" w:styleId="CommentSubject">
    <w:name w:val="annotation subject"/>
    <w:basedOn w:val="CommentText"/>
    <w:next w:val="CommentText"/>
    <w:link w:val="CommentSubjectChar"/>
    <w:uiPriority w:val="99"/>
    <w:rsid w:val="00422B5E"/>
    <w:rPr>
      <w:b/>
      <w:bCs/>
    </w:rPr>
  </w:style>
  <w:style w:type="character" w:customStyle="1" w:styleId="CommentSubjectChar">
    <w:name w:val="Comment Subject Char"/>
    <w:basedOn w:val="CommentTextChar"/>
    <w:link w:val="CommentSubject"/>
    <w:uiPriority w:val="99"/>
    <w:locked/>
    <w:rsid w:val="00422B5E"/>
    <w:rPr>
      <w:b/>
      <w:bCs/>
    </w:rPr>
  </w:style>
  <w:style w:type="table" w:styleId="TableList3">
    <w:name w:val="Table List 3"/>
    <w:basedOn w:val="TableNormal"/>
    <w:uiPriority w:val="99"/>
    <w:rsid w:val="00965E2A"/>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Default">
    <w:name w:val="Default"/>
    <w:uiPriority w:val="99"/>
    <w:rsid w:val="00E443B0"/>
    <w:pPr>
      <w:autoSpaceDE w:val="0"/>
      <w:autoSpaceDN w:val="0"/>
      <w:adjustRightInd w:val="0"/>
    </w:pPr>
    <w:rPr>
      <w:color w:val="000000"/>
      <w:sz w:val="24"/>
      <w:szCs w:val="24"/>
      <w:lang w:eastAsia="en-US"/>
    </w:rPr>
  </w:style>
  <w:style w:type="table" w:customStyle="1" w:styleId="Gemiddeldelijst11">
    <w:name w:val="Gemiddelde lijst 11"/>
    <w:uiPriority w:val="99"/>
    <w:rsid w:val="00EB052E"/>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TableSimple1">
    <w:name w:val="Table Simple 1"/>
    <w:basedOn w:val="TableNormal"/>
    <w:uiPriority w:val="99"/>
    <w:rsid w:val="00772DEB"/>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Lichtearcering1">
    <w:name w:val="Lichte arcering1"/>
    <w:uiPriority w:val="99"/>
    <w:rsid w:val="00F41487"/>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5">
    <w:name w:val="Light Shading Accent 5"/>
    <w:basedOn w:val="TableNormal"/>
    <w:uiPriority w:val="99"/>
    <w:rsid w:val="001B67BF"/>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Lichtearcering-accent11">
    <w:name w:val="Lichte arcering - accent 11"/>
    <w:uiPriority w:val="99"/>
    <w:rsid w:val="001B67BF"/>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99"/>
    <w:rsid w:val="00AC1591"/>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s>
</file>

<file path=word/webSettings.xml><?xml version="1.0" encoding="utf-8"?>
<w:webSettings xmlns:r="http://schemas.openxmlformats.org/officeDocument/2006/relationships" xmlns:w="http://schemas.openxmlformats.org/wordprocessingml/2006/main">
  <w:divs>
    <w:div w:id="20980585">
      <w:marLeft w:val="0"/>
      <w:marRight w:val="0"/>
      <w:marTop w:val="0"/>
      <w:marBottom w:val="0"/>
      <w:divBdr>
        <w:top w:val="none" w:sz="0" w:space="0" w:color="auto"/>
        <w:left w:val="none" w:sz="0" w:space="0" w:color="auto"/>
        <w:bottom w:val="none" w:sz="0" w:space="0" w:color="auto"/>
        <w:right w:val="none" w:sz="0" w:space="0" w:color="auto"/>
      </w:divBdr>
    </w:div>
    <w:div w:id="20980586">
      <w:marLeft w:val="225"/>
      <w:marRight w:val="0"/>
      <w:marTop w:val="0"/>
      <w:marBottom w:val="450"/>
      <w:divBdr>
        <w:top w:val="none" w:sz="0" w:space="0" w:color="auto"/>
        <w:left w:val="none" w:sz="0" w:space="0" w:color="auto"/>
        <w:bottom w:val="none" w:sz="0" w:space="0" w:color="auto"/>
        <w:right w:val="none" w:sz="0" w:space="0" w:color="auto"/>
      </w:divBdr>
      <w:divsChild>
        <w:div w:id="20980604">
          <w:marLeft w:val="720"/>
          <w:marRight w:val="0"/>
          <w:marTop w:val="100"/>
          <w:marBottom w:val="100"/>
          <w:divBdr>
            <w:top w:val="none" w:sz="0" w:space="0" w:color="auto"/>
            <w:left w:val="none" w:sz="0" w:space="0" w:color="auto"/>
            <w:bottom w:val="none" w:sz="0" w:space="0" w:color="auto"/>
            <w:right w:val="none" w:sz="0" w:space="0" w:color="auto"/>
          </w:divBdr>
        </w:div>
      </w:divsChild>
    </w:div>
    <w:div w:id="20980587">
      <w:marLeft w:val="0"/>
      <w:marRight w:val="0"/>
      <w:marTop w:val="0"/>
      <w:marBottom w:val="0"/>
      <w:divBdr>
        <w:top w:val="none" w:sz="0" w:space="0" w:color="auto"/>
        <w:left w:val="none" w:sz="0" w:space="0" w:color="auto"/>
        <w:bottom w:val="none" w:sz="0" w:space="0" w:color="auto"/>
        <w:right w:val="none" w:sz="0" w:space="0" w:color="auto"/>
      </w:divBdr>
    </w:div>
    <w:div w:id="20980588">
      <w:marLeft w:val="0"/>
      <w:marRight w:val="0"/>
      <w:marTop w:val="0"/>
      <w:marBottom w:val="0"/>
      <w:divBdr>
        <w:top w:val="none" w:sz="0" w:space="0" w:color="auto"/>
        <w:left w:val="none" w:sz="0" w:space="0" w:color="auto"/>
        <w:bottom w:val="none" w:sz="0" w:space="0" w:color="auto"/>
        <w:right w:val="none" w:sz="0" w:space="0" w:color="auto"/>
      </w:divBdr>
    </w:div>
    <w:div w:id="20980589">
      <w:marLeft w:val="0"/>
      <w:marRight w:val="0"/>
      <w:marTop w:val="0"/>
      <w:marBottom w:val="0"/>
      <w:divBdr>
        <w:top w:val="none" w:sz="0" w:space="0" w:color="auto"/>
        <w:left w:val="none" w:sz="0" w:space="0" w:color="auto"/>
        <w:bottom w:val="none" w:sz="0" w:space="0" w:color="auto"/>
        <w:right w:val="none" w:sz="0" w:space="0" w:color="auto"/>
      </w:divBdr>
      <w:divsChild>
        <w:div w:id="20980597">
          <w:marLeft w:val="0"/>
          <w:marRight w:val="0"/>
          <w:marTop w:val="0"/>
          <w:marBottom w:val="0"/>
          <w:divBdr>
            <w:top w:val="none" w:sz="0" w:space="0" w:color="auto"/>
            <w:left w:val="none" w:sz="0" w:space="0" w:color="auto"/>
            <w:bottom w:val="none" w:sz="0" w:space="0" w:color="auto"/>
            <w:right w:val="none" w:sz="0" w:space="0" w:color="auto"/>
          </w:divBdr>
          <w:divsChild>
            <w:div w:id="20980615">
              <w:marLeft w:val="0"/>
              <w:marRight w:val="0"/>
              <w:marTop w:val="0"/>
              <w:marBottom w:val="0"/>
              <w:divBdr>
                <w:top w:val="none" w:sz="0" w:space="0" w:color="auto"/>
                <w:left w:val="none" w:sz="0" w:space="0" w:color="auto"/>
                <w:bottom w:val="none" w:sz="0" w:space="0" w:color="auto"/>
                <w:right w:val="none" w:sz="0" w:space="0" w:color="auto"/>
              </w:divBdr>
              <w:divsChild>
                <w:div w:id="20980613">
                  <w:marLeft w:val="0"/>
                  <w:marRight w:val="0"/>
                  <w:marTop w:val="0"/>
                  <w:marBottom w:val="0"/>
                  <w:divBdr>
                    <w:top w:val="none" w:sz="0" w:space="0" w:color="auto"/>
                    <w:left w:val="none" w:sz="0" w:space="0" w:color="auto"/>
                    <w:bottom w:val="none" w:sz="0" w:space="0" w:color="auto"/>
                    <w:right w:val="none" w:sz="0" w:space="0" w:color="auto"/>
                  </w:divBdr>
                  <w:divsChild>
                    <w:div w:id="20980625">
                      <w:marLeft w:val="0"/>
                      <w:marRight w:val="0"/>
                      <w:marTop w:val="0"/>
                      <w:marBottom w:val="0"/>
                      <w:divBdr>
                        <w:top w:val="none" w:sz="0" w:space="0" w:color="auto"/>
                        <w:left w:val="none" w:sz="0" w:space="0" w:color="auto"/>
                        <w:bottom w:val="none" w:sz="0" w:space="0" w:color="auto"/>
                        <w:right w:val="none" w:sz="0" w:space="0" w:color="auto"/>
                      </w:divBdr>
                      <w:divsChild>
                        <w:div w:id="20980618">
                          <w:marLeft w:val="0"/>
                          <w:marRight w:val="0"/>
                          <w:marTop w:val="0"/>
                          <w:marBottom w:val="0"/>
                          <w:divBdr>
                            <w:top w:val="none" w:sz="0" w:space="0" w:color="auto"/>
                            <w:left w:val="none" w:sz="0" w:space="0" w:color="auto"/>
                            <w:bottom w:val="none" w:sz="0" w:space="0" w:color="auto"/>
                            <w:right w:val="none" w:sz="0" w:space="0" w:color="auto"/>
                          </w:divBdr>
                          <w:divsChild>
                            <w:div w:id="20980608">
                              <w:marLeft w:val="0"/>
                              <w:marRight w:val="0"/>
                              <w:marTop w:val="0"/>
                              <w:marBottom w:val="0"/>
                              <w:divBdr>
                                <w:top w:val="none" w:sz="0" w:space="0" w:color="auto"/>
                                <w:left w:val="none" w:sz="0" w:space="0" w:color="auto"/>
                                <w:bottom w:val="none" w:sz="0" w:space="0" w:color="auto"/>
                                <w:right w:val="none" w:sz="0" w:space="0" w:color="auto"/>
                              </w:divBdr>
                              <w:divsChild>
                                <w:div w:id="20980611">
                                  <w:marLeft w:val="0"/>
                                  <w:marRight w:val="0"/>
                                  <w:marTop w:val="0"/>
                                  <w:marBottom w:val="0"/>
                                  <w:divBdr>
                                    <w:top w:val="none" w:sz="0" w:space="0" w:color="auto"/>
                                    <w:left w:val="none" w:sz="0" w:space="0" w:color="auto"/>
                                    <w:bottom w:val="none" w:sz="0" w:space="0" w:color="auto"/>
                                    <w:right w:val="none" w:sz="0" w:space="0" w:color="auto"/>
                                  </w:divBdr>
                                  <w:divsChild>
                                    <w:div w:id="209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0590">
      <w:marLeft w:val="0"/>
      <w:marRight w:val="0"/>
      <w:marTop w:val="0"/>
      <w:marBottom w:val="0"/>
      <w:divBdr>
        <w:top w:val="none" w:sz="0" w:space="0" w:color="auto"/>
        <w:left w:val="none" w:sz="0" w:space="0" w:color="auto"/>
        <w:bottom w:val="none" w:sz="0" w:space="0" w:color="auto"/>
        <w:right w:val="none" w:sz="0" w:space="0" w:color="auto"/>
      </w:divBdr>
    </w:div>
    <w:div w:id="20980592">
      <w:marLeft w:val="0"/>
      <w:marRight w:val="0"/>
      <w:marTop w:val="0"/>
      <w:marBottom w:val="0"/>
      <w:divBdr>
        <w:top w:val="none" w:sz="0" w:space="0" w:color="auto"/>
        <w:left w:val="none" w:sz="0" w:space="0" w:color="auto"/>
        <w:bottom w:val="none" w:sz="0" w:space="0" w:color="auto"/>
        <w:right w:val="none" w:sz="0" w:space="0" w:color="auto"/>
      </w:divBdr>
      <w:divsChild>
        <w:div w:id="20980591">
          <w:marLeft w:val="0"/>
          <w:marRight w:val="0"/>
          <w:marTop w:val="0"/>
          <w:marBottom w:val="0"/>
          <w:divBdr>
            <w:top w:val="none" w:sz="0" w:space="0" w:color="auto"/>
            <w:left w:val="none" w:sz="0" w:space="0" w:color="auto"/>
            <w:bottom w:val="none" w:sz="0" w:space="0" w:color="auto"/>
            <w:right w:val="none" w:sz="0" w:space="0" w:color="auto"/>
          </w:divBdr>
        </w:div>
      </w:divsChild>
    </w:div>
    <w:div w:id="20980593">
      <w:marLeft w:val="0"/>
      <w:marRight w:val="0"/>
      <w:marTop w:val="0"/>
      <w:marBottom w:val="0"/>
      <w:divBdr>
        <w:top w:val="none" w:sz="0" w:space="0" w:color="auto"/>
        <w:left w:val="none" w:sz="0" w:space="0" w:color="auto"/>
        <w:bottom w:val="none" w:sz="0" w:space="0" w:color="auto"/>
        <w:right w:val="none" w:sz="0" w:space="0" w:color="auto"/>
      </w:divBdr>
      <w:divsChild>
        <w:div w:id="20980621">
          <w:marLeft w:val="0"/>
          <w:marRight w:val="0"/>
          <w:marTop w:val="0"/>
          <w:marBottom w:val="0"/>
          <w:divBdr>
            <w:top w:val="none" w:sz="0" w:space="0" w:color="auto"/>
            <w:left w:val="none" w:sz="0" w:space="0" w:color="auto"/>
            <w:bottom w:val="none" w:sz="0" w:space="0" w:color="auto"/>
            <w:right w:val="none" w:sz="0" w:space="0" w:color="auto"/>
          </w:divBdr>
        </w:div>
      </w:divsChild>
    </w:div>
    <w:div w:id="20980594">
      <w:marLeft w:val="0"/>
      <w:marRight w:val="0"/>
      <w:marTop w:val="0"/>
      <w:marBottom w:val="0"/>
      <w:divBdr>
        <w:top w:val="none" w:sz="0" w:space="0" w:color="auto"/>
        <w:left w:val="none" w:sz="0" w:space="0" w:color="auto"/>
        <w:bottom w:val="none" w:sz="0" w:space="0" w:color="auto"/>
        <w:right w:val="none" w:sz="0" w:space="0" w:color="auto"/>
      </w:divBdr>
    </w:div>
    <w:div w:id="20980595">
      <w:marLeft w:val="0"/>
      <w:marRight w:val="0"/>
      <w:marTop w:val="0"/>
      <w:marBottom w:val="0"/>
      <w:divBdr>
        <w:top w:val="none" w:sz="0" w:space="0" w:color="auto"/>
        <w:left w:val="none" w:sz="0" w:space="0" w:color="auto"/>
        <w:bottom w:val="none" w:sz="0" w:space="0" w:color="auto"/>
        <w:right w:val="none" w:sz="0" w:space="0" w:color="auto"/>
      </w:divBdr>
    </w:div>
    <w:div w:id="20980598">
      <w:marLeft w:val="0"/>
      <w:marRight w:val="0"/>
      <w:marTop w:val="0"/>
      <w:marBottom w:val="0"/>
      <w:divBdr>
        <w:top w:val="none" w:sz="0" w:space="0" w:color="auto"/>
        <w:left w:val="none" w:sz="0" w:space="0" w:color="auto"/>
        <w:bottom w:val="none" w:sz="0" w:space="0" w:color="auto"/>
        <w:right w:val="none" w:sz="0" w:space="0" w:color="auto"/>
      </w:divBdr>
    </w:div>
    <w:div w:id="20980599">
      <w:marLeft w:val="0"/>
      <w:marRight w:val="0"/>
      <w:marTop w:val="0"/>
      <w:marBottom w:val="0"/>
      <w:divBdr>
        <w:top w:val="none" w:sz="0" w:space="0" w:color="auto"/>
        <w:left w:val="none" w:sz="0" w:space="0" w:color="auto"/>
        <w:bottom w:val="none" w:sz="0" w:space="0" w:color="auto"/>
        <w:right w:val="none" w:sz="0" w:space="0" w:color="auto"/>
      </w:divBdr>
      <w:divsChild>
        <w:div w:id="20980596">
          <w:marLeft w:val="0"/>
          <w:marRight w:val="0"/>
          <w:marTop w:val="0"/>
          <w:marBottom w:val="0"/>
          <w:divBdr>
            <w:top w:val="none" w:sz="0" w:space="0" w:color="auto"/>
            <w:left w:val="none" w:sz="0" w:space="0" w:color="auto"/>
            <w:bottom w:val="none" w:sz="0" w:space="0" w:color="auto"/>
            <w:right w:val="none" w:sz="0" w:space="0" w:color="auto"/>
          </w:divBdr>
        </w:div>
      </w:divsChild>
    </w:div>
    <w:div w:id="20980600">
      <w:marLeft w:val="0"/>
      <w:marRight w:val="0"/>
      <w:marTop w:val="0"/>
      <w:marBottom w:val="0"/>
      <w:divBdr>
        <w:top w:val="none" w:sz="0" w:space="0" w:color="auto"/>
        <w:left w:val="none" w:sz="0" w:space="0" w:color="auto"/>
        <w:bottom w:val="none" w:sz="0" w:space="0" w:color="auto"/>
        <w:right w:val="none" w:sz="0" w:space="0" w:color="auto"/>
      </w:divBdr>
    </w:div>
    <w:div w:id="20980601">
      <w:marLeft w:val="0"/>
      <w:marRight w:val="0"/>
      <w:marTop w:val="0"/>
      <w:marBottom w:val="0"/>
      <w:divBdr>
        <w:top w:val="none" w:sz="0" w:space="0" w:color="auto"/>
        <w:left w:val="none" w:sz="0" w:space="0" w:color="auto"/>
        <w:bottom w:val="none" w:sz="0" w:space="0" w:color="auto"/>
        <w:right w:val="none" w:sz="0" w:space="0" w:color="auto"/>
      </w:divBdr>
    </w:div>
    <w:div w:id="20980602">
      <w:marLeft w:val="0"/>
      <w:marRight w:val="0"/>
      <w:marTop w:val="0"/>
      <w:marBottom w:val="0"/>
      <w:divBdr>
        <w:top w:val="none" w:sz="0" w:space="0" w:color="auto"/>
        <w:left w:val="none" w:sz="0" w:space="0" w:color="auto"/>
        <w:bottom w:val="none" w:sz="0" w:space="0" w:color="auto"/>
        <w:right w:val="none" w:sz="0" w:space="0" w:color="auto"/>
      </w:divBdr>
    </w:div>
    <w:div w:id="20980603">
      <w:marLeft w:val="0"/>
      <w:marRight w:val="0"/>
      <w:marTop w:val="0"/>
      <w:marBottom w:val="0"/>
      <w:divBdr>
        <w:top w:val="none" w:sz="0" w:space="0" w:color="auto"/>
        <w:left w:val="none" w:sz="0" w:space="0" w:color="auto"/>
        <w:bottom w:val="none" w:sz="0" w:space="0" w:color="auto"/>
        <w:right w:val="none" w:sz="0" w:space="0" w:color="auto"/>
      </w:divBdr>
    </w:div>
    <w:div w:id="20980606">
      <w:marLeft w:val="0"/>
      <w:marRight w:val="0"/>
      <w:marTop w:val="0"/>
      <w:marBottom w:val="0"/>
      <w:divBdr>
        <w:top w:val="none" w:sz="0" w:space="0" w:color="auto"/>
        <w:left w:val="none" w:sz="0" w:space="0" w:color="auto"/>
        <w:bottom w:val="none" w:sz="0" w:space="0" w:color="auto"/>
        <w:right w:val="none" w:sz="0" w:space="0" w:color="auto"/>
      </w:divBdr>
    </w:div>
    <w:div w:id="20980607">
      <w:marLeft w:val="0"/>
      <w:marRight w:val="0"/>
      <w:marTop w:val="0"/>
      <w:marBottom w:val="0"/>
      <w:divBdr>
        <w:top w:val="none" w:sz="0" w:space="0" w:color="auto"/>
        <w:left w:val="none" w:sz="0" w:space="0" w:color="auto"/>
        <w:bottom w:val="none" w:sz="0" w:space="0" w:color="auto"/>
        <w:right w:val="none" w:sz="0" w:space="0" w:color="auto"/>
      </w:divBdr>
    </w:div>
    <w:div w:id="20980609">
      <w:marLeft w:val="0"/>
      <w:marRight w:val="0"/>
      <w:marTop w:val="0"/>
      <w:marBottom w:val="0"/>
      <w:divBdr>
        <w:top w:val="none" w:sz="0" w:space="0" w:color="auto"/>
        <w:left w:val="none" w:sz="0" w:space="0" w:color="auto"/>
        <w:bottom w:val="none" w:sz="0" w:space="0" w:color="auto"/>
        <w:right w:val="none" w:sz="0" w:space="0" w:color="auto"/>
      </w:divBdr>
    </w:div>
    <w:div w:id="20980610">
      <w:marLeft w:val="0"/>
      <w:marRight w:val="0"/>
      <w:marTop w:val="0"/>
      <w:marBottom w:val="0"/>
      <w:divBdr>
        <w:top w:val="none" w:sz="0" w:space="0" w:color="auto"/>
        <w:left w:val="none" w:sz="0" w:space="0" w:color="auto"/>
        <w:bottom w:val="none" w:sz="0" w:space="0" w:color="auto"/>
        <w:right w:val="none" w:sz="0" w:space="0" w:color="auto"/>
      </w:divBdr>
    </w:div>
    <w:div w:id="20980612">
      <w:marLeft w:val="0"/>
      <w:marRight w:val="0"/>
      <w:marTop w:val="0"/>
      <w:marBottom w:val="0"/>
      <w:divBdr>
        <w:top w:val="none" w:sz="0" w:space="0" w:color="auto"/>
        <w:left w:val="none" w:sz="0" w:space="0" w:color="auto"/>
        <w:bottom w:val="none" w:sz="0" w:space="0" w:color="auto"/>
        <w:right w:val="none" w:sz="0" w:space="0" w:color="auto"/>
      </w:divBdr>
    </w:div>
    <w:div w:id="20980614">
      <w:marLeft w:val="0"/>
      <w:marRight w:val="0"/>
      <w:marTop w:val="0"/>
      <w:marBottom w:val="0"/>
      <w:divBdr>
        <w:top w:val="none" w:sz="0" w:space="0" w:color="auto"/>
        <w:left w:val="none" w:sz="0" w:space="0" w:color="auto"/>
        <w:bottom w:val="none" w:sz="0" w:space="0" w:color="auto"/>
        <w:right w:val="none" w:sz="0" w:space="0" w:color="auto"/>
      </w:divBdr>
    </w:div>
    <w:div w:id="20980616">
      <w:marLeft w:val="0"/>
      <w:marRight w:val="0"/>
      <w:marTop w:val="0"/>
      <w:marBottom w:val="0"/>
      <w:divBdr>
        <w:top w:val="none" w:sz="0" w:space="0" w:color="auto"/>
        <w:left w:val="none" w:sz="0" w:space="0" w:color="auto"/>
        <w:bottom w:val="none" w:sz="0" w:space="0" w:color="auto"/>
        <w:right w:val="none" w:sz="0" w:space="0" w:color="auto"/>
      </w:divBdr>
    </w:div>
    <w:div w:id="20980617">
      <w:marLeft w:val="0"/>
      <w:marRight w:val="0"/>
      <w:marTop w:val="0"/>
      <w:marBottom w:val="0"/>
      <w:divBdr>
        <w:top w:val="none" w:sz="0" w:space="0" w:color="auto"/>
        <w:left w:val="none" w:sz="0" w:space="0" w:color="auto"/>
        <w:bottom w:val="none" w:sz="0" w:space="0" w:color="auto"/>
        <w:right w:val="none" w:sz="0" w:space="0" w:color="auto"/>
      </w:divBdr>
    </w:div>
    <w:div w:id="20980619">
      <w:marLeft w:val="0"/>
      <w:marRight w:val="0"/>
      <w:marTop w:val="0"/>
      <w:marBottom w:val="0"/>
      <w:divBdr>
        <w:top w:val="none" w:sz="0" w:space="0" w:color="auto"/>
        <w:left w:val="none" w:sz="0" w:space="0" w:color="auto"/>
        <w:bottom w:val="none" w:sz="0" w:space="0" w:color="auto"/>
        <w:right w:val="none" w:sz="0" w:space="0" w:color="auto"/>
      </w:divBdr>
    </w:div>
    <w:div w:id="20980620">
      <w:marLeft w:val="0"/>
      <w:marRight w:val="0"/>
      <w:marTop w:val="0"/>
      <w:marBottom w:val="0"/>
      <w:divBdr>
        <w:top w:val="none" w:sz="0" w:space="0" w:color="auto"/>
        <w:left w:val="none" w:sz="0" w:space="0" w:color="auto"/>
        <w:bottom w:val="none" w:sz="0" w:space="0" w:color="auto"/>
        <w:right w:val="none" w:sz="0" w:space="0" w:color="auto"/>
      </w:divBdr>
    </w:div>
    <w:div w:id="20980622">
      <w:marLeft w:val="0"/>
      <w:marRight w:val="0"/>
      <w:marTop w:val="0"/>
      <w:marBottom w:val="0"/>
      <w:divBdr>
        <w:top w:val="none" w:sz="0" w:space="0" w:color="auto"/>
        <w:left w:val="none" w:sz="0" w:space="0" w:color="auto"/>
        <w:bottom w:val="none" w:sz="0" w:space="0" w:color="auto"/>
        <w:right w:val="none" w:sz="0" w:space="0" w:color="auto"/>
      </w:divBdr>
    </w:div>
    <w:div w:id="20980623">
      <w:marLeft w:val="0"/>
      <w:marRight w:val="0"/>
      <w:marTop w:val="0"/>
      <w:marBottom w:val="0"/>
      <w:divBdr>
        <w:top w:val="none" w:sz="0" w:space="0" w:color="auto"/>
        <w:left w:val="none" w:sz="0" w:space="0" w:color="auto"/>
        <w:bottom w:val="none" w:sz="0" w:space="0" w:color="auto"/>
        <w:right w:val="none" w:sz="0" w:space="0" w:color="auto"/>
      </w:divBdr>
    </w:div>
    <w:div w:id="209806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vhalenwi\pc\Luchthavens\20080926%20PV%20Strategienota%20Frankrijk\antwoord%20Parlementaire%20Vra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Parlementaire Vraag</Template>
  <TotalTime>2</TotalTime>
  <Pages>2</Pages>
  <Words>583</Words>
  <Characters>3211</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 PEETERS</dc:title>
  <dc:subject/>
  <dc:creator>vhalenwi</dc:creator>
  <cp:keywords/>
  <dc:description/>
  <cp:lastModifiedBy>Vlaams Parlement</cp:lastModifiedBy>
  <cp:revision>3</cp:revision>
  <cp:lastPrinted>2012-04-02T07:04:00Z</cp:lastPrinted>
  <dcterms:created xsi:type="dcterms:W3CDTF">2012-04-06T13:21:00Z</dcterms:created>
  <dcterms:modified xsi:type="dcterms:W3CDTF">2012-04-23T09:19:00Z</dcterms:modified>
</cp:coreProperties>
</file>