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7" w:rsidRPr="00A8473D" w:rsidRDefault="002730B7" w:rsidP="002730B7">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31C7" w:rsidRDefault="002730B7"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5431C7" w:rsidRDefault="005431C7">
      <w:pPr>
        <w:pBdr>
          <w:bottom w:val="single" w:sz="4" w:space="1" w:color="auto"/>
        </w:pBdr>
        <w:rPr>
          <w:sz w:val="22"/>
        </w:rPr>
      </w:pPr>
    </w:p>
    <w:p w:rsidR="005431C7" w:rsidRDefault="005431C7">
      <w:pPr>
        <w:rPr>
          <w:sz w:val="22"/>
        </w:rPr>
      </w:pPr>
    </w:p>
    <w:p w:rsidR="00045E43" w:rsidRDefault="00045E43" w:rsidP="00045E43">
      <w:pPr>
        <w:rPr>
          <w:b/>
          <w:smallCaps/>
          <w:sz w:val="22"/>
        </w:rPr>
      </w:pPr>
      <w:r>
        <w:rPr>
          <w:b/>
          <w:smallCaps/>
          <w:sz w:val="22"/>
        </w:rPr>
        <w:t>antwoord</w:t>
      </w:r>
    </w:p>
    <w:p w:rsidR="00045E43" w:rsidRDefault="00045E43" w:rsidP="00045E43">
      <w:pPr>
        <w:rPr>
          <w:sz w:val="22"/>
        </w:rPr>
      </w:pPr>
      <w:r>
        <w:rPr>
          <w:sz w:val="22"/>
        </w:rPr>
        <w:t xml:space="preserve">op vraag nr. </w:t>
      </w:r>
      <w:r w:rsidR="00A2654A">
        <w:rPr>
          <w:sz w:val="22"/>
        </w:rPr>
        <w:t>256</w:t>
      </w:r>
      <w:r>
        <w:rPr>
          <w:sz w:val="22"/>
        </w:rPr>
        <w:t xml:space="preserve"> van </w:t>
      </w:r>
      <w:r w:rsidR="00A2654A">
        <w:rPr>
          <w:sz w:val="22"/>
        </w:rPr>
        <w:t>6 maart 2012</w:t>
      </w:r>
    </w:p>
    <w:p w:rsidR="005431C7" w:rsidRDefault="00045E43" w:rsidP="00045E43">
      <w:pPr>
        <w:rPr>
          <w:sz w:val="22"/>
        </w:rPr>
      </w:pPr>
      <w:r>
        <w:rPr>
          <w:sz w:val="22"/>
        </w:rPr>
        <w:t xml:space="preserve">van </w:t>
      </w:r>
      <w:r w:rsidR="00A2654A">
        <w:rPr>
          <w:b/>
          <w:smallCaps/>
          <w:sz w:val="22"/>
        </w:rPr>
        <w:t>filip watteeuw</w:t>
      </w:r>
    </w:p>
    <w:p w:rsidR="005431C7" w:rsidRDefault="005431C7" w:rsidP="009976C1">
      <w:pPr>
        <w:pBdr>
          <w:bottom w:val="single" w:sz="4" w:space="1" w:color="auto"/>
        </w:pBdr>
        <w:jc w:val="both"/>
        <w:rPr>
          <w:sz w:val="22"/>
        </w:rPr>
      </w:pPr>
    </w:p>
    <w:p w:rsidR="005431C7" w:rsidRPr="003D0BB8" w:rsidRDefault="005431C7" w:rsidP="009976C1">
      <w:pPr>
        <w:jc w:val="both"/>
        <w:rPr>
          <w:sz w:val="22"/>
          <w:szCs w:val="22"/>
        </w:rPr>
      </w:pPr>
    </w:p>
    <w:p w:rsidR="006A324D" w:rsidRPr="003D0BB8" w:rsidRDefault="006A324D" w:rsidP="006114A2">
      <w:pPr>
        <w:rPr>
          <w:sz w:val="22"/>
          <w:szCs w:val="22"/>
        </w:rPr>
      </w:pPr>
    </w:p>
    <w:p w:rsidR="00AB0AA4" w:rsidRPr="003D0BB8" w:rsidRDefault="00AB0AA4" w:rsidP="006114A2">
      <w:pPr>
        <w:rPr>
          <w:sz w:val="22"/>
          <w:szCs w:val="22"/>
        </w:rPr>
        <w:sectPr w:rsidR="00AB0AA4" w:rsidRPr="003D0BB8">
          <w:pgSz w:w="11906" w:h="16838"/>
          <w:pgMar w:top="1417" w:right="1417" w:bottom="1417" w:left="1417" w:header="708" w:footer="708" w:gutter="0"/>
          <w:cols w:space="708"/>
          <w:docGrid w:linePitch="360"/>
        </w:sectPr>
      </w:pPr>
    </w:p>
    <w:p w:rsidR="003D0BB8" w:rsidRPr="003D0BB8" w:rsidRDefault="003D0BB8" w:rsidP="0025053C">
      <w:pPr>
        <w:pStyle w:val="Geenafstand"/>
        <w:numPr>
          <w:ilvl w:val="0"/>
          <w:numId w:val="6"/>
        </w:numPr>
        <w:rPr>
          <w:sz w:val="22"/>
          <w:szCs w:val="22"/>
        </w:rPr>
      </w:pPr>
      <w:r w:rsidRPr="003D0BB8">
        <w:rPr>
          <w:sz w:val="22"/>
          <w:szCs w:val="22"/>
        </w:rPr>
        <w:lastRenderedPageBreak/>
        <w:t>In 2009, 2010 en 2011 werden in totaal 55 nieuwe steunaanvragen</w:t>
      </w:r>
      <w:r w:rsidRPr="00B30595">
        <w:rPr>
          <w:b/>
          <w:sz w:val="22"/>
          <w:szCs w:val="22"/>
          <w:vertAlign w:val="superscript"/>
        </w:rPr>
        <w:t>*</w:t>
      </w:r>
      <w:r w:rsidRPr="003D0BB8">
        <w:rPr>
          <w:sz w:val="22"/>
          <w:szCs w:val="22"/>
        </w:rPr>
        <w:t xml:space="preserve"> voor bedrijventerreinen ingediend</w:t>
      </w:r>
      <w:r w:rsidR="0025053C">
        <w:rPr>
          <w:sz w:val="22"/>
          <w:szCs w:val="22"/>
        </w:rPr>
        <w:t>. Hiervan werd</w:t>
      </w:r>
      <w:r w:rsidRPr="003D0BB8">
        <w:rPr>
          <w:sz w:val="22"/>
          <w:szCs w:val="22"/>
        </w:rPr>
        <w:t xml:space="preserve"> 1 </w:t>
      </w:r>
      <w:r w:rsidR="00091AB4">
        <w:rPr>
          <w:sz w:val="22"/>
          <w:szCs w:val="22"/>
        </w:rPr>
        <w:t xml:space="preserve">aanvraag </w:t>
      </w:r>
      <w:r w:rsidRPr="003D0BB8">
        <w:rPr>
          <w:sz w:val="22"/>
          <w:szCs w:val="22"/>
        </w:rPr>
        <w:t xml:space="preserve">geweigerd en 1 </w:t>
      </w:r>
      <w:r w:rsidR="00091AB4">
        <w:rPr>
          <w:sz w:val="22"/>
          <w:szCs w:val="22"/>
        </w:rPr>
        <w:t xml:space="preserve">aanvraag </w:t>
      </w:r>
      <w:r w:rsidRPr="003D0BB8">
        <w:rPr>
          <w:sz w:val="22"/>
          <w:szCs w:val="22"/>
        </w:rPr>
        <w:t>ingetrokken</w:t>
      </w:r>
      <w:r w:rsidR="0025053C">
        <w:rPr>
          <w:sz w:val="22"/>
          <w:szCs w:val="22"/>
        </w:rPr>
        <w:t xml:space="preserve">, zodat uiteindelijk aan </w:t>
      </w:r>
      <w:r w:rsidRPr="003D0BB8">
        <w:rPr>
          <w:sz w:val="22"/>
          <w:szCs w:val="22"/>
        </w:rPr>
        <w:t>53 projecten</w:t>
      </w:r>
      <w:r w:rsidR="0025053C">
        <w:rPr>
          <w:sz w:val="22"/>
          <w:szCs w:val="22"/>
        </w:rPr>
        <w:t xml:space="preserve"> </w:t>
      </w:r>
      <w:r w:rsidRPr="003D0BB8">
        <w:rPr>
          <w:sz w:val="22"/>
          <w:szCs w:val="22"/>
        </w:rPr>
        <w:t xml:space="preserve">subsidies </w:t>
      </w:r>
      <w:r w:rsidR="0025053C">
        <w:rPr>
          <w:sz w:val="22"/>
          <w:szCs w:val="22"/>
        </w:rPr>
        <w:t xml:space="preserve">werden </w:t>
      </w:r>
      <w:r w:rsidRPr="003D0BB8">
        <w:rPr>
          <w:sz w:val="22"/>
          <w:szCs w:val="22"/>
        </w:rPr>
        <w:t>toegekend</w:t>
      </w:r>
      <w:r w:rsidR="00CC2575">
        <w:rPr>
          <w:sz w:val="22"/>
          <w:szCs w:val="22"/>
        </w:rPr>
        <w:t>. D</w:t>
      </w:r>
      <w:r w:rsidR="0025053C">
        <w:rPr>
          <w:sz w:val="22"/>
          <w:szCs w:val="22"/>
        </w:rPr>
        <w:t xml:space="preserve">it voor een totaalbedrag van </w:t>
      </w:r>
      <w:r w:rsidR="0025053C" w:rsidRPr="0025053C">
        <w:rPr>
          <w:sz w:val="22"/>
          <w:szCs w:val="22"/>
        </w:rPr>
        <w:t>42.085.163,16</w:t>
      </w:r>
      <w:r w:rsidR="0025053C">
        <w:rPr>
          <w:sz w:val="22"/>
          <w:szCs w:val="22"/>
        </w:rPr>
        <w:t xml:space="preserve"> euro.</w:t>
      </w:r>
    </w:p>
    <w:p w:rsidR="003D0BB8" w:rsidRPr="003D0BB8" w:rsidRDefault="003D0BB8" w:rsidP="003D0BB8">
      <w:pPr>
        <w:pStyle w:val="Geenafstand"/>
        <w:ind w:left="360"/>
        <w:rPr>
          <w:sz w:val="22"/>
          <w:szCs w:val="22"/>
        </w:rPr>
      </w:pPr>
    </w:p>
    <w:p w:rsidR="003D0BB8" w:rsidRPr="003D0BB8" w:rsidRDefault="0025053C" w:rsidP="003D0BB8">
      <w:pPr>
        <w:pStyle w:val="Geenafstand"/>
        <w:ind w:firstLine="360"/>
        <w:rPr>
          <w:sz w:val="22"/>
          <w:szCs w:val="22"/>
        </w:rPr>
      </w:pPr>
      <w:r>
        <w:rPr>
          <w:sz w:val="22"/>
          <w:szCs w:val="22"/>
        </w:rPr>
        <w:t>Een overzicht (</w:t>
      </w:r>
      <w:r w:rsidR="003D0BB8" w:rsidRPr="003D0BB8">
        <w:rPr>
          <w:sz w:val="22"/>
          <w:szCs w:val="22"/>
        </w:rPr>
        <w:t>per provincie</w:t>
      </w:r>
      <w:r>
        <w:rPr>
          <w:sz w:val="22"/>
          <w:szCs w:val="22"/>
        </w:rPr>
        <w:t>)</w:t>
      </w:r>
      <w:r w:rsidR="002951F1">
        <w:rPr>
          <w:sz w:val="22"/>
          <w:szCs w:val="22"/>
        </w:rPr>
        <w:t xml:space="preserve"> wordt weergegeven in onderstaande tabel.</w:t>
      </w:r>
    </w:p>
    <w:p w:rsidR="00091AB4" w:rsidRDefault="00091AB4" w:rsidP="0025053C">
      <w:pPr>
        <w:pStyle w:val="StandaardSV"/>
        <w:ind w:firstLine="360"/>
        <w:rPr>
          <w:szCs w:val="22"/>
        </w:rPr>
      </w:pPr>
    </w:p>
    <w:tbl>
      <w:tblPr>
        <w:tblW w:w="10179" w:type="dxa"/>
        <w:tblInd w:w="55" w:type="dxa"/>
        <w:tblCellMar>
          <w:left w:w="70" w:type="dxa"/>
          <w:right w:w="70" w:type="dxa"/>
        </w:tblCellMar>
        <w:tblLook w:val="04A0" w:firstRow="1" w:lastRow="0" w:firstColumn="1" w:lastColumn="0" w:noHBand="0" w:noVBand="1"/>
      </w:tblPr>
      <w:tblGrid>
        <w:gridCol w:w="1623"/>
        <w:gridCol w:w="774"/>
        <w:gridCol w:w="1390"/>
        <w:gridCol w:w="774"/>
        <w:gridCol w:w="1290"/>
        <w:gridCol w:w="774"/>
        <w:gridCol w:w="1390"/>
        <w:gridCol w:w="774"/>
        <w:gridCol w:w="1390"/>
      </w:tblGrid>
      <w:tr w:rsidR="00051EFC" w:rsidTr="00051EFC">
        <w:trPr>
          <w:trHeight w:val="60"/>
        </w:trPr>
        <w:tc>
          <w:tcPr>
            <w:tcW w:w="1623" w:type="dxa"/>
            <w:tcBorders>
              <w:top w:val="single" w:sz="8" w:space="0" w:color="auto"/>
              <w:left w:val="single" w:sz="8" w:space="0" w:color="auto"/>
              <w:bottom w:val="single" w:sz="8" w:space="0" w:color="auto"/>
              <w:right w:val="single" w:sz="8" w:space="0" w:color="auto"/>
            </w:tcBorders>
            <w:shd w:val="pct15" w:color="000000" w:fill="FFFFFF" w:themeFill="background1"/>
            <w:noWrap/>
            <w:vAlign w:val="center"/>
            <w:hideMark/>
          </w:tcPr>
          <w:p w:rsidR="00051EFC" w:rsidRDefault="00051EFC">
            <w:pPr>
              <w:jc w:val="center"/>
              <w:rPr>
                <w:b/>
                <w:bCs/>
                <w:color w:val="000000"/>
                <w:sz w:val="20"/>
                <w:szCs w:val="20"/>
              </w:rPr>
            </w:pPr>
            <w:r>
              <w:rPr>
                <w:b/>
                <w:bCs/>
                <w:color w:val="000000"/>
                <w:sz w:val="20"/>
                <w:szCs w:val="20"/>
              </w:rPr>
              <w:t>Provincie</w:t>
            </w:r>
          </w:p>
        </w:tc>
        <w:tc>
          <w:tcPr>
            <w:tcW w:w="2164" w:type="dxa"/>
            <w:gridSpan w:val="2"/>
            <w:tcBorders>
              <w:top w:val="single" w:sz="8" w:space="0" w:color="auto"/>
              <w:left w:val="nil"/>
              <w:bottom w:val="single" w:sz="8" w:space="0" w:color="auto"/>
              <w:right w:val="single" w:sz="8" w:space="0" w:color="000000"/>
            </w:tcBorders>
            <w:shd w:val="pct15" w:color="000000" w:fill="FFFFFF" w:themeFill="background1"/>
            <w:noWrap/>
            <w:vAlign w:val="center"/>
            <w:hideMark/>
          </w:tcPr>
          <w:p w:rsidR="00051EFC" w:rsidRDefault="00051EFC">
            <w:pPr>
              <w:jc w:val="center"/>
              <w:rPr>
                <w:b/>
                <w:bCs/>
                <w:color w:val="000000"/>
                <w:sz w:val="20"/>
                <w:szCs w:val="20"/>
              </w:rPr>
            </w:pPr>
            <w:r>
              <w:rPr>
                <w:b/>
                <w:bCs/>
                <w:color w:val="000000"/>
                <w:sz w:val="20"/>
                <w:szCs w:val="20"/>
              </w:rPr>
              <w:t>Nieuw</w:t>
            </w:r>
            <w:r w:rsidRPr="00B30595">
              <w:rPr>
                <w:b/>
                <w:bCs/>
                <w:color w:val="000000"/>
                <w:sz w:val="20"/>
                <w:szCs w:val="20"/>
                <w:vertAlign w:val="superscript"/>
              </w:rPr>
              <w:t>**</w:t>
            </w:r>
          </w:p>
        </w:tc>
        <w:tc>
          <w:tcPr>
            <w:tcW w:w="2064" w:type="dxa"/>
            <w:gridSpan w:val="2"/>
            <w:tcBorders>
              <w:top w:val="single" w:sz="8" w:space="0" w:color="auto"/>
              <w:left w:val="nil"/>
              <w:bottom w:val="single" w:sz="8" w:space="0" w:color="auto"/>
              <w:right w:val="single" w:sz="8" w:space="0" w:color="000000"/>
            </w:tcBorders>
            <w:shd w:val="pct15" w:color="000000" w:fill="FFFFFF" w:themeFill="background1"/>
            <w:noWrap/>
            <w:vAlign w:val="center"/>
            <w:hideMark/>
          </w:tcPr>
          <w:p w:rsidR="00051EFC" w:rsidRDefault="00051EFC">
            <w:pPr>
              <w:jc w:val="center"/>
              <w:rPr>
                <w:b/>
                <w:bCs/>
                <w:color w:val="000000"/>
                <w:sz w:val="20"/>
                <w:szCs w:val="20"/>
              </w:rPr>
            </w:pPr>
            <w:r>
              <w:rPr>
                <w:b/>
                <w:bCs/>
                <w:color w:val="000000"/>
                <w:sz w:val="20"/>
                <w:szCs w:val="20"/>
              </w:rPr>
              <w:t>Brownfield</w:t>
            </w:r>
          </w:p>
        </w:tc>
        <w:tc>
          <w:tcPr>
            <w:tcW w:w="2164" w:type="dxa"/>
            <w:gridSpan w:val="2"/>
            <w:tcBorders>
              <w:top w:val="single" w:sz="8" w:space="0" w:color="auto"/>
              <w:left w:val="nil"/>
              <w:bottom w:val="single" w:sz="8" w:space="0" w:color="auto"/>
              <w:right w:val="single" w:sz="8" w:space="0" w:color="000000"/>
            </w:tcBorders>
            <w:shd w:val="pct15" w:color="000000" w:fill="FFFFFF" w:themeFill="background1"/>
            <w:noWrap/>
            <w:vAlign w:val="center"/>
            <w:hideMark/>
          </w:tcPr>
          <w:p w:rsidR="00051EFC" w:rsidRDefault="00051EFC">
            <w:pPr>
              <w:jc w:val="center"/>
              <w:rPr>
                <w:b/>
                <w:bCs/>
                <w:color w:val="000000"/>
                <w:sz w:val="20"/>
                <w:szCs w:val="20"/>
              </w:rPr>
            </w:pPr>
            <w:r>
              <w:rPr>
                <w:b/>
                <w:bCs/>
                <w:color w:val="000000"/>
                <w:sz w:val="20"/>
                <w:szCs w:val="20"/>
              </w:rPr>
              <w:t>Verouderd</w:t>
            </w:r>
          </w:p>
        </w:tc>
        <w:tc>
          <w:tcPr>
            <w:tcW w:w="2164" w:type="dxa"/>
            <w:gridSpan w:val="2"/>
            <w:tcBorders>
              <w:top w:val="single" w:sz="8" w:space="0" w:color="auto"/>
              <w:left w:val="nil"/>
              <w:bottom w:val="single" w:sz="8" w:space="0" w:color="auto"/>
              <w:right w:val="single" w:sz="8" w:space="0" w:color="000000"/>
            </w:tcBorders>
            <w:shd w:val="pct15" w:color="000000" w:fill="FFFFFF" w:themeFill="background1"/>
            <w:noWrap/>
            <w:vAlign w:val="center"/>
            <w:hideMark/>
          </w:tcPr>
          <w:p w:rsidR="00051EFC" w:rsidRDefault="00051EFC">
            <w:pPr>
              <w:jc w:val="center"/>
              <w:rPr>
                <w:b/>
                <w:bCs/>
                <w:color w:val="000000"/>
                <w:sz w:val="20"/>
                <w:szCs w:val="20"/>
              </w:rPr>
            </w:pPr>
            <w:r>
              <w:rPr>
                <w:b/>
                <w:bCs/>
                <w:color w:val="000000"/>
                <w:sz w:val="20"/>
                <w:szCs w:val="20"/>
              </w:rPr>
              <w:t>Voortraject</w:t>
            </w:r>
          </w:p>
        </w:tc>
      </w:tr>
      <w:tr w:rsidR="00051EFC" w:rsidRPr="00051EFC" w:rsidTr="00051EFC">
        <w:trPr>
          <w:trHeight w:val="60"/>
        </w:trPr>
        <w:tc>
          <w:tcPr>
            <w:tcW w:w="1623" w:type="dxa"/>
            <w:tcBorders>
              <w:top w:val="single" w:sz="8" w:space="0" w:color="auto"/>
              <w:left w:val="single" w:sz="8" w:space="0" w:color="auto"/>
              <w:bottom w:val="single" w:sz="8" w:space="0" w:color="auto"/>
              <w:right w:val="single" w:sz="8" w:space="0" w:color="auto"/>
            </w:tcBorders>
            <w:shd w:val="pct12" w:color="auto" w:fill="auto"/>
            <w:noWrap/>
            <w:vAlign w:val="center"/>
            <w:hideMark/>
          </w:tcPr>
          <w:p w:rsidR="00051EFC" w:rsidRPr="00051EFC" w:rsidRDefault="00051EFC">
            <w:pPr>
              <w:rPr>
                <w:b/>
                <w:color w:val="000000"/>
                <w:sz w:val="20"/>
                <w:szCs w:val="20"/>
              </w:rPr>
            </w:pPr>
            <w:r w:rsidRPr="00051EFC">
              <w:rPr>
                <w:b/>
                <w:color w:val="000000"/>
                <w:sz w:val="20"/>
                <w:szCs w:val="20"/>
              </w:rPr>
              <w:t> </w:t>
            </w:r>
          </w:p>
        </w:tc>
        <w:tc>
          <w:tcPr>
            <w:tcW w:w="774" w:type="dxa"/>
            <w:tcBorders>
              <w:top w:val="single" w:sz="8" w:space="0" w:color="auto"/>
              <w:left w:val="nil"/>
              <w:bottom w:val="single" w:sz="8" w:space="0" w:color="auto"/>
              <w:right w:val="single" w:sz="8" w:space="0" w:color="auto"/>
            </w:tcBorders>
            <w:shd w:val="pct12" w:color="auto" w:fill="auto"/>
            <w:noWrap/>
            <w:vAlign w:val="center"/>
            <w:hideMark/>
          </w:tcPr>
          <w:p w:rsidR="00051EFC" w:rsidRPr="00051EFC" w:rsidRDefault="00051EFC">
            <w:pPr>
              <w:jc w:val="right"/>
              <w:rPr>
                <w:b/>
                <w:color w:val="000000"/>
                <w:sz w:val="20"/>
                <w:szCs w:val="20"/>
              </w:rPr>
            </w:pPr>
            <w:r w:rsidRPr="00051EFC">
              <w:rPr>
                <w:b/>
                <w:color w:val="000000"/>
                <w:sz w:val="20"/>
                <w:szCs w:val="20"/>
              </w:rPr>
              <w:t>Aantal</w:t>
            </w:r>
          </w:p>
        </w:tc>
        <w:tc>
          <w:tcPr>
            <w:tcW w:w="1390" w:type="dxa"/>
            <w:tcBorders>
              <w:top w:val="single" w:sz="8" w:space="0" w:color="auto"/>
              <w:left w:val="nil"/>
              <w:bottom w:val="single" w:sz="8" w:space="0" w:color="auto"/>
              <w:right w:val="single" w:sz="8" w:space="0" w:color="auto"/>
            </w:tcBorders>
            <w:shd w:val="pct12" w:color="auto" w:fill="auto"/>
            <w:noWrap/>
            <w:vAlign w:val="center"/>
            <w:hideMark/>
          </w:tcPr>
          <w:p w:rsidR="00051EFC" w:rsidRPr="00051EFC" w:rsidRDefault="00051EFC">
            <w:pPr>
              <w:jc w:val="right"/>
              <w:rPr>
                <w:b/>
                <w:color w:val="000000"/>
                <w:sz w:val="20"/>
                <w:szCs w:val="20"/>
              </w:rPr>
            </w:pPr>
            <w:r w:rsidRPr="00051EFC">
              <w:rPr>
                <w:b/>
                <w:color w:val="000000"/>
                <w:sz w:val="20"/>
                <w:szCs w:val="20"/>
              </w:rPr>
              <w:t>Bedrag in €</w:t>
            </w:r>
          </w:p>
        </w:tc>
        <w:tc>
          <w:tcPr>
            <w:tcW w:w="774" w:type="dxa"/>
            <w:tcBorders>
              <w:top w:val="single" w:sz="8" w:space="0" w:color="auto"/>
              <w:left w:val="nil"/>
              <w:bottom w:val="single" w:sz="8" w:space="0" w:color="auto"/>
              <w:right w:val="single" w:sz="8" w:space="0" w:color="auto"/>
            </w:tcBorders>
            <w:shd w:val="pct12" w:color="auto" w:fill="auto"/>
            <w:noWrap/>
            <w:vAlign w:val="center"/>
            <w:hideMark/>
          </w:tcPr>
          <w:p w:rsidR="00051EFC" w:rsidRPr="00051EFC" w:rsidRDefault="00051EFC">
            <w:pPr>
              <w:jc w:val="right"/>
              <w:rPr>
                <w:b/>
                <w:color w:val="000000"/>
                <w:sz w:val="20"/>
                <w:szCs w:val="20"/>
              </w:rPr>
            </w:pPr>
            <w:r w:rsidRPr="00051EFC">
              <w:rPr>
                <w:b/>
                <w:color w:val="000000"/>
                <w:sz w:val="20"/>
                <w:szCs w:val="20"/>
              </w:rPr>
              <w:t>Aantal</w:t>
            </w:r>
          </w:p>
        </w:tc>
        <w:tc>
          <w:tcPr>
            <w:tcW w:w="1290" w:type="dxa"/>
            <w:tcBorders>
              <w:top w:val="single" w:sz="8" w:space="0" w:color="auto"/>
              <w:left w:val="nil"/>
              <w:bottom w:val="single" w:sz="8" w:space="0" w:color="auto"/>
              <w:right w:val="single" w:sz="8" w:space="0" w:color="auto"/>
            </w:tcBorders>
            <w:shd w:val="pct12" w:color="auto" w:fill="auto"/>
            <w:noWrap/>
            <w:vAlign w:val="center"/>
            <w:hideMark/>
          </w:tcPr>
          <w:p w:rsidR="00051EFC" w:rsidRPr="00051EFC" w:rsidRDefault="00051EFC">
            <w:pPr>
              <w:jc w:val="right"/>
              <w:rPr>
                <w:b/>
                <w:color w:val="000000"/>
                <w:sz w:val="20"/>
                <w:szCs w:val="20"/>
              </w:rPr>
            </w:pPr>
            <w:r w:rsidRPr="00051EFC">
              <w:rPr>
                <w:b/>
                <w:color w:val="000000"/>
                <w:sz w:val="20"/>
                <w:szCs w:val="20"/>
              </w:rPr>
              <w:t>Bedrag in €</w:t>
            </w:r>
          </w:p>
        </w:tc>
        <w:tc>
          <w:tcPr>
            <w:tcW w:w="774" w:type="dxa"/>
            <w:tcBorders>
              <w:top w:val="single" w:sz="8" w:space="0" w:color="auto"/>
              <w:left w:val="nil"/>
              <w:bottom w:val="single" w:sz="8" w:space="0" w:color="auto"/>
              <w:right w:val="single" w:sz="8" w:space="0" w:color="auto"/>
            </w:tcBorders>
            <w:shd w:val="pct12" w:color="auto" w:fill="auto"/>
            <w:noWrap/>
            <w:vAlign w:val="center"/>
            <w:hideMark/>
          </w:tcPr>
          <w:p w:rsidR="00051EFC" w:rsidRPr="00051EFC" w:rsidRDefault="00051EFC">
            <w:pPr>
              <w:jc w:val="right"/>
              <w:rPr>
                <w:b/>
                <w:color w:val="000000"/>
                <w:sz w:val="20"/>
                <w:szCs w:val="20"/>
              </w:rPr>
            </w:pPr>
            <w:r w:rsidRPr="00051EFC">
              <w:rPr>
                <w:b/>
                <w:color w:val="000000"/>
                <w:sz w:val="20"/>
                <w:szCs w:val="20"/>
              </w:rPr>
              <w:t>Aantal</w:t>
            </w:r>
          </w:p>
        </w:tc>
        <w:tc>
          <w:tcPr>
            <w:tcW w:w="1390" w:type="dxa"/>
            <w:tcBorders>
              <w:top w:val="single" w:sz="8" w:space="0" w:color="auto"/>
              <w:left w:val="nil"/>
              <w:bottom w:val="single" w:sz="8" w:space="0" w:color="auto"/>
              <w:right w:val="single" w:sz="8" w:space="0" w:color="auto"/>
            </w:tcBorders>
            <w:shd w:val="pct12" w:color="auto" w:fill="auto"/>
            <w:noWrap/>
            <w:vAlign w:val="center"/>
            <w:hideMark/>
          </w:tcPr>
          <w:p w:rsidR="00051EFC" w:rsidRPr="00051EFC" w:rsidRDefault="00051EFC">
            <w:pPr>
              <w:jc w:val="right"/>
              <w:rPr>
                <w:b/>
                <w:color w:val="000000"/>
                <w:sz w:val="20"/>
                <w:szCs w:val="20"/>
              </w:rPr>
            </w:pPr>
            <w:r w:rsidRPr="00051EFC">
              <w:rPr>
                <w:b/>
                <w:color w:val="000000"/>
                <w:sz w:val="20"/>
                <w:szCs w:val="20"/>
              </w:rPr>
              <w:t>Bedrag in €</w:t>
            </w:r>
          </w:p>
        </w:tc>
        <w:tc>
          <w:tcPr>
            <w:tcW w:w="774" w:type="dxa"/>
            <w:tcBorders>
              <w:top w:val="single" w:sz="8" w:space="0" w:color="auto"/>
              <w:left w:val="nil"/>
              <w:bottom w:val="single" w:sz="8" w:space="0" w:color="auto"/>
              <w:right w:val="single" w:sz="8" w:space="0" w:color="auto"/>
            </w:tcBorders>
            <w:shd w:val="pct12" w:color="auto" w:fill="auto"/>
            <w:noWrap/>
            <w:vAlign w:val="center"/>
            <w:hideMark/>
          </w:tcPr>
          <w:p w:rsidR="00051EFC" w:rsidRPr="00051EFC" w:rsidRDefault="00051EFC">
            <w:pPr>
              <w:jc w:val="right"/>
              <w:rPr>
                <w:b/>
                <w:color w:val="000000"/>
                <w:sz w:val="20"/>
                <w:szCs w:val="20"/>
              </w:rPr>
            </w:pPr>
            <w:r w:rsidRPr="00051EFC">
              <w:rPr>
                <w:b/>
                <w:color w:val="000000"/>
                <w:sz w:val="20"/>
                <w:szCs w:val="20"/>
              </w:rPr>
              <w:t>Aantal</w:t>
            </w:r>
          </w:p>
        </w:tc>
        <w:tc>
          <w:tcPr>
            <w:tcW w:w="1390" w:type="dxa"/>
            <w:tcBorders>
              <w:top w:val="single" w:sz="8" w:space="0" w:color="auto"/>
              <w:left w:val="nil"/>
              <w:bottom w:val="single" w:sz="8" w:space="0" w:color="auto"/>
              <w:right w:val="single" w:sz="8" w:space="0" w:color="auto"/>
            </w:tcBorders>
            <w:shd w:val="pct12" w:color="auto" w:fill="auto"/>
            <w:noWrap/>
            <w:vAlign w:val="center"/>
            <w:hideMark/>
          </w:tcPr>
          <w:p w:rsidR="00051EFC" w:rsidRPr="00051EFC" w:rsidRDefault="00051EFC">
            <w:pPr>
              <w:jc w:val="right"/>
              <w:rPr>
                <w:b/>
                <w:color w:val="000000"/>
                <w:sz w:val="20"/>
                <w:szCs w:val="20"/>
              </w:rPr>
            </w:pPr>
            <w:r w:rsidRPr="00051EFC">
              <w:rPr>
                <w:b/>
                <w:color w:val="000000"/>
                <w:sz w:val="20"/>
                <w:szCs w:val="20"/>
              </w:rPr>
              <w:t>Bedrag in €</w:t>
            </w:r>
          </w:p>
        </w:tc>
      </w:tr>
      <w:tr w:rsidR="00051EFC" w:rsidTr="00051EFC">
        <w:trPr>
          <w:trHeight w:val="60"/>
        </w:trPr>
        <w:tc>
          <w:tcPr>
            <w:tcW w:w="1623" w:type="dxa"/>
            <w:tcBorders>
              <w:top w:val="nil"/>
              <w:left w:val="single" w:sz="8" w:space="0" w:color="auto"/>
              <w:bottom w:val="single" w:sz="8" w:space="0" w:color="auto"/>
              <w:right w:val="single" w:sz="8" w:space="0" w:color="auto"/>
            </w:tcBorders>
            <w:shd w:val="clear" w:color="auto" w:fill="auto"/>
            <w:vAlign w:val="center"/>
            <w:hideMark/>
          </w:tcPr>
          <w:p w:rsidR="00051EFC" w:rsidRDefault="00051EFC">
            <w:pPr>
              <w:rPr>
                <w:color w:val="000000"/>
                <w:sz w:val="20"/>
                <w:szCs w:val="20"/>
              </w:rPr>
            </w:pPr>
            <w:r>
              <w:rPr>
                <w:color w:val="000000"/>
                <w:sz w:val="20"/>
                <w:szCs w:val="20"/>
              </w:rPr>
              <w:t>Antwerpen</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4</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6.358.478,99</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1</w:t>
            </w:r>
          </w:p>
        </w:tc>
        <w:tc>
          <w:tcPr>
            <w:tcW w:w="12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689.149,96</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7</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5.135.920,43</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3</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451.020,00</w:t>
            </w:r>
          </w:p>
        </w:tc>
      </w:tr>
      <w:tr w:rsidR="00051EFC" w:rsidTr="00051EFC">
        <w:trPr>
          <w:trHeight w:val="60"/>
        </w:trPr>
        <w:tc>
          <w:tcPr>
            <w:tcW w:w="1623" w:type="dxa"/>
            <w:tcBorders>
              <w:top w:val="nil"/>
              <w:left w:val="single" w:sz="8" w:space="0" w:color="auto"/>
              <w:bottom w:val="single" w:sz="8" w:space="0" w:color="auto"/>
              <w:right w:val="single" w:sz="8" w:space="0" w:color="auto"/>
            </w:tcBorders>
            <w:shd w:val="clear" w:color="auto" w:fill="auto"/>
            <w:vAlign w:val="center"/>
            <w:hideMark/>
          </w:tcPr>
          <w:p w:rsidR="00051EFC" w:rsidRDefault="00051EFC">
            <w:pPr>
              <w:rPr>
                <w:color w:val="000000"/>
                <w:sz w:val="20"/>
                <w:szCs w:val="20"/>
              </w:rPr>
            </w:pPr>
            <w:r>
              <w:rPr>
                <w:color w:val="000000"/>
                <w:sz w:val="20"/>
                <w:szCs w:val="20"/>
              </w:rPr>
              <w:t>Limburg</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4</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1.547.128,99</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1</w:t>
            </w:r>
          </w:p>
        </w:tc>
        <w:tc>
          <w:tcPr>
            <w:tcW w:w="12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1.489.030,10</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2</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4.064.236,12</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1</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91.839,00</w:t>
            </w:r>
          </w:p>
        </w:tc>
      </w:tr>
      <w:tr w:rsidR="00051EFC" w:rsidTr="00051EFC">
        <w:trPr>
          <w:trHeight w:val="60"/>
        </w:trPr>
        <w:tc>
          <w:tcPr>
            <w:tcW w:w="1623" w:type="dxa"/>
            <w:tcBorders>
              <w:top w:val="nil"/>
              <w:left w:val="single" w:sz="8" w:space="0" w:color="auto"/>
              <w:bottom w:val="single" w:sz="8" w:space="0" w:color="auto"/>
              <w:right w:val="single" w:sz="8" w:space="0" w:color="auto"/>
            </w:tcBorders>
            <w:shd w:val="clear" w:color="auto" w:fill="auto"/>
            <w:vAlign w:val="center"/>
            <w:hideMark/>
          </w:tcPr>
          <w:p w:rsidR="00051EFC" w:rsidRDefault="00051EFC" w:rsidP="00051EFC">
            <w:pPr>
              <w:rPr>
                <w:color w:val="000000"/>
                <w:sz w:val="20"/>
                <w:szCs w:val="20"/>
              </w:rPr>
            </w:pPr>
            <w:r>
              <w:rPr>
                <w:color w:val="000000"/>
                <w:sz w:val="20"/>
                <w:szCs w:val="20"/>
              </w:rPr>
              <w:t>Oost-Vlaanderen</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7</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4.678.769,51</w:t>
            </w:r>
          </w:p>
        </w:tc>
        <w:tc>
          <w:tcPr>
            <w:tcW w:w="774" w:type="dxa"/>
            <w:tcBorders>
              <w:top w:val="nil"/>
              <w:left w:val="nil"/>
              <w:bottom w:val="single" w:sz="8" w:space="0" w:color="auto"/>
              <w:right w:val="single" w:sz="8" w:space="0" w:color="auto"/>
            </w:tcBorders>
            <w:shd w:val="clear" w:color="auto" w:fill="auto"/>
            <w:noWrap/>
            <w:vAlign w:val="center"/>
            <w:hideMark/>
          </w:tcPr>
          <w:p w:rsidR="00051EFC" w:rsidRDefault="00051EFC">
            <w:pPr>
              <w:rPr>
                <w:color w:val="000000"/>
                <w:sz w:val="20"/>
                <w:szCs w:val="20"/>
              </w:rPr>
            </w:pPr>
            <w:r>
              <w:rPr>
                <w:color w:val="000000"/>
                <w:sz w:val="20"/>
                <w:szCs w:val="20"/>
              </w:rPr>
              <w:t> </w:t>
            </w:r>
          </w:p>
        </w:tc>
        <w:tc>
          <w:tcPr>
            <w:tcW w:w="1290" w:type="dxa"/>
            <w:tcBorders>
              <w:top w:val="nil"/>
              <w:left w:val="nil"/>
              <w:bottom w:val="single" w:sz="8" w:space="0" w:color="auto"/>
              <w:right w:val="single" w:sz="8" w:space="0" w:color="auto"/>
            </w:tcBorders>
            <w:shd w:val="clear" w:color="auto" w:fill="auto"/>
            <w:noWrap/>
            <w:vAlign w:val="center"/>
            <w:hideMark/>
          </w:tcPr>
          <w:p w:rsidR="00051EFC" w:rsidRDefault="00051EFC">
            <w:pPr>
              <w:rPr>
                <w:color w:val="000000"/>
                <w:sz w:val="20"/>
                <w:szCs w:val="20"/>
              </w:rPr>
            </w:pPr>
            <w:r>
              <w:rPr>
                <w:color w:val="000000"/>
                <w:sz w:val="20"/>
                <w:szCs w:val="20"/>
              </w:rPr>
              <w:t> </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4</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5.176.636,27</w:t>
            </w:r>
          </w:p>
        </w:tc>
        <w:tc>
          <w:tcPr>
            <w:tcW w:w="774" w:type="dxa"/>
            <w:tcBorders>
              <w:top w:val="nil"/>
              <w:left w:val="nil"/>
              <w:bottom w:val="single" w:sz="8" w:space="0" w:color="auto"/>
              <w:right w:val="single" w:sz="8" w:space="0" w:color="auto"/>
            </w:tcBorders>
            <w:shd w:val="clear" w:color="auto" w:fill="auto"/>
            <w:noWrap/>
            <w:vAlign w:val="center"/>
            <w:hideMark/>
          </w:tcPr>
          <w:p w:rsidR="00051EFC" w:rsidRDefault="00051EFC">
            <w:pPr>
              <w:rPr>
                <w:color w:val="000000"/>
                <w:sz w:val="20"/>
                <w:szCs w:val="20"/>
              </w:rPr>
            </w:pPr>
            <w:r>
              <w:rPr>
                <w:color w:val="000000"/>
                <w:sz w:val="20"/>
                <w:szCs w:val="20"/>
              </w:rPr>
              <w:t> </w:t>
            </w:r>
          </w:p>
        </w:tc>
        <w:tc>
          <w:tcPr>
            <w:tcW w:w="1390" w:type="dxa"/>
            <w:tcBorders>
              <w:top w:val="nil"/>
              <w:left w:val="nil"/>
              <w:bottom w:val="single" w:sz="8" w:space="0" w:color="auto"/>
              <w:right w:val="single" w:sz="8" w:space="0" w:color="auto"/>
            </w:tcBorders>
            <w:shd w:val="clear" w:color="auto" w:fill="auto"/>
            <w:noWrap/>
            <w:vAlign w:val="center"/>
            <w:hideMark/>
          </w:tcPr>
          <w:p w:rsidR="00051EFC" w:rsidRDefault="00051EFC">
            <w:pPr>
              <w:rPr>
                <w:color w:val="000000"/>
                <w:sz w:val="20"/>
                <w:szCs w:val="20"/>
              </w:rPr>
            </w:pPr>
            <w:r>
              <w:rPr>
                <w:color w:val="000000"/>
                <w:sz w:val="20"/>
                <w:szCs w:val="20"/>
              </w:rPr>
              <w:t> </w:t>
            </w:r>
          </w:p>
        </w:tc>
      </w:tr>
      <w:tr w:rsidR="00051EFC" w:rsidTr="00051EFC">
        <w:trPr>
          <w:trHeight w:val="60"/>
        </w:trPr>
        <w:tc>
          <w:tcPr>
            <w:tcW w:w="1623" w:type="dxa"/>
            <w:tcBorders>
              <w:top w:val="nil"/>
              <w:left w:val="single" w:sz="8" w:space="0" w:color="auto"/>
              <w:bottom w:val="single" w:sz="8" w:space="0" w:color="auto"/>
              <w:right w:val="single" w:sz="8" w:space="0" w:color="auto"/>
            </w:tcBorders>
            <w:shd w:val="clear" w:color="auto" w:fill="auto"/>
            <w:vAlign w:val="center"/>
            <w:hideMark/>
          </w:tcPr>
          <w:p w:rsidR="00051EFC" w:rsidRDefault="00051EFC" w:rsidP="00051EFC">
            <w:pPr>
              <w:rPr>
                <w:color w:val="000000"/>
                <w:sz w:val="20"/>
                <w:szCs w:val="20"/>
              </w:rPr>
            </w:pPr>
            <w:r>
              <w:rPr>
                <w:color w:val="000000"/>
                <w:sz w:val="20"/>
                <w:szCs w:val="20"/>
              </w:rPr>
              <w:t>Vlaams-Brabant</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2</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1.622.789,38</w:t>
            </w:r>
          </w:p>
        </w:tc>
        <w:tc>
          <w:tcPr>
            <w:tcW w:w="774" w:type="dxa"/>
            <w:tcBorders>
              <w:top w:val="nil"/>
              <w:left w:val="nil"/>
              <w:bottom w:val="single" w:sz="8" w:space="0" w:color="auto"/>
              <w:right w:val="single" w:sz="8" w:space="0" w:color="auto"/>
            </w:tcBorders>
            <w:shd w:val="clear" w:color="auto" w:fill="auto"/>
            <w:noWrap/>
            <w:vAlign w:val="center"/>
            <w:hideMark/>
          </w:tcPr>
          <w:p w:rsidR="00051EFC" w:rsidRDefault="00051EFC">
            <w:pPr>
              <w:rPr>
                <w:color w:val="000000"/>
                <w:sz w:val="20"/>
                <w:szCs w:val="20"/>
              </w:rPr>
            </w:pPr>
            <w:r>
              <w:rPr>
                <w:color w:val="000000"/>
                <w:sz w:val="20"/>
                <w:szCs w:val="20"/>
              </w:rPr>
              <w:t> </w:t>
            </w:r>
          </w:p>
        </w:tc>
        <w:tc>
          <w:tcPr>
            <w:tcW w:w="1290" w:type="dxa"/>
            <w:tcBorders>
              <w:top w:val="nil"/>
              <w:left w:val="nil"/>
              <w:bottom w:val="single" w:sz="8" w:space="0" w:color="auto"/>
              <w:right w:val="single" w:sz="8" w:space="0" w:color="auto"/>
            </w:tcBorders>
            <w:shd w:val="clear" w:color="auto" w:fill="auto"/>
            <w:noWrap/>
            <w:vAlign w:val="center"/>
            <w:hideMark/>
          </w:tcPr>
          <w:p w:rsidR="00051EFC" w:rsidRDefault="00051EFC">
            <w:pPr>
              <w:rPr>
                <w:color w:val="000000"/>
                <w:sz w:val="20"/>
                <w:szCs w:val="20"/>
              </w:rPr>
            </w:pPr>
            <w:r>
              <w:rPr>
                <w:color w:val="000000"/>
                <w:sz w:val="20"/>
                <w:szCs w:val="20"/>
              </w:rPr>
              <w:t> </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2</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1.703.023,63</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1</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250.000,00</w:t>
            </w:r>
          </w:p>
        </w:tc>
      </w:tr>
      <w:tr w:rsidR="00051EFC" w:rsidTr="00051EFC">
        <w:trPr>
          <w:trHeight w:val="60"/>
        </w:trPr>
        <w:tc>
          <w:tcPr>
            <w:tcW w:w="1623" w:type="dxa"/>
            <w:tcBorders>
              <w:top w:val="nil"/>
              <w:left w:val="single" w:sz="8" w:space="0" w:color="auto"/>
              <w:bottom w:val="single" w:sz="8" w:space="0" w:color="auto"/>
              <w:right w:val="single" w:sz="8" w:space="0" w:color="auto"/>
            </w:tcBorders>
            <w:shd w:val="clear" w:color="auto" w:fill="auto"/>
            <w:vAlign w:val="center"/>
            <w:hideMark/>
          </w:tcPr>
          <w:p w:rsidR="00051EFC" w:rsidRDefault="00051EFC" w:rsidP="00051EFC">
            <w:pPr>
              <w:rPr>
                <w:color w:val="000000"/>
                <w:sz w:val="20"/>
                <w:szCs w:val="20"/>
              </w:rPr>
            </w:pPr>
            <w:r>
              <w:rPr>
                <w:color w:val="000000"/>
                <w:sz w:val="20"/>
                <w:szCs w:val="20"/>
              </w:rPr>
              <w:t>West-Vlaanderen</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13</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4.209.716,53</w:t>
            </w:r>
          </w:p>
        </w:tc>
        <w:tc>
          <w:tcPr>
            <w:tcW w:w="774" w:type="dxa"/>
            <w:tcBorders>
              <w:top w:val="nil"/>
              <w:left w:val="nil"/>
              <w:bottom w:val="single" w:sz="8" w:space="0" w:color="auto"/>
              <w:right w:val="single" w:sz="8" w:space="0" w:color="auto"/>
            </w:tcBorders>
            <w:shd w:val="clear" w:color="auto" w:fill="auto"/>
            <w:noWrap/>
            <w:vAlign w:val="center"/>
            <w:hideMark/>
          </w:tcPr>
          <w:p w:rsidR="00051EFC" w:rsidRDefault="00051EFC">
            <w:pPr>
              <w:rPr>
                <w:color w:val="000000"/>
                <w:sz w:val="20"/>
                <w:szCs w:val="20"/>
              </w:rPr>
            </w:pPr>
            <w:r>
              <w:rPr>
                <w:color w:val="000000"/>
                <w:sz w:val="20"/>
                <w:szCs w:val="20"/>
              </w:rPr>
              <w:t> </w:t>
            </w:r>
          </w:p>
        </w:tc>
        <w:tc>
          <w:tcPr>
            <w:tcW w:w="1290" w:type="dxa"/>
            <w:tcBorders>
              <w:top w:val="nil"/>
              <w:left w:val="nil"/>
              <w:bottom w:val="single" w:sz="8" w:space="0" w:color="auto"/>
              <w:right w:val="single" w:sz="8" w:space="0" w:color="auto"/>
            </w:tcBorders>
            <w:shd w:val="clear" w:color="auto" w:fill="auto"/>
            <w:noWrap/>
            <w:vAlign w:val="center"/>
            <w:hideMark/>
          </w:tcPr>
          <w:p w:rsidR="00051EFC" w:rsidRDefault="00051EFC">
            <w:pPr>
              <w:rPr>
                <w:color w:val="000000"/>
                <w:sz w:val="20"/>
                <w:szCs w:val="20"/>
              </w:rPr>
            </w:pPr>
            <w:r>
              <w:rPr>
                <w:color w:val="000000"/>
                <w:sz w:val="20"/>
                <w:szCs w:val="20"/>
              </w:rPr>
              <w:t> </w:t>
            </w:r>
          </w:p>
        </w:tc>
        <w:tc>
          <w:tcPr>
            <w:tcW w:w="774"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1</w:t>
            </w:r>
          </w:p>
        </w:tc>
        <w:tc>
          <w:tcPr>
            <w:tcW w:w="1390" w:type="dxa"/>
            <w:tcBorders>
              <w:top w:val="nil"/>
              <w:left w:val="nil"/>
              <w:bottom w:val="single" w:sz="8" w:space="0" w:color="auto"/>
              <w:right w:val="single" w:sz="8" w:space="0" w:color="auto"/>
            </w:tcBorders>
            <w:shd w:val="clear" w:color="auto" w:fill="auto"/>
            <w:vAlign w:val="center"/>
            <w:hideMark/>
          </w:tcPr>
          <w:p w:rsidR="00051EFC" w:rsidRDefault="00051EFC">
            <w:pPr>
              <w:jc w:val="right"/>
              <w:rPr>
                <w:color w:val="000000"/>
                <w:sz w:val="20"/>
                <w:szCs w:val="20"/>
              </w:rPr>
            </w:pPr>
            <w:r>
              <w:rPr>
                <w:color w:val="000000"/>
                <w:sz w:val="20"/>
                <w:szCs w:val="20"/>
              </w:rPr>
              <w:t>4.617.424,25</w:t>
            </w:r>
          </w:p>
        </w:tc>
        <w:tc>
          <w:tcPr>
            <w:tcW w:w="774" w:type="dxa"/>
            <w:tcBorders>
              <w:top w:val="nil"/>
              <w:left w:val="nil"/>
              <w:bottom w:val="single" w:sz="8" w:space="0" w:color="auto"/>
              <w:right w:val="single" w:sz="8" w:space="0" w:color="auto"/>
            </w:tcBorders>
            <w:shd w:val="clear" w:color="auto" w:fill="auto"/>
            <w:noWrap/>
            <w:vAlign w:val="center"/>
            <w:hideMark/>
          </w:tcPr>
          <w:p w:rsidR="00051EFC" w:rsidRDefault="00051EFC">
            <w:pPr>
              <w:rPr>
                <w:color w:val="000000"/>
                <w:sz w:val="20"/>
                <w:szCs w:val="20"/>
              </w:rPr>
            </w:pPr>
            <w:r>
              <w:rPr>
                <w:color w:val="000000"/>
                <w:sz w:val="20"/>
                <w:szCs w:val="20"/>
              </w:rPr>
              <w:t> </w:t>
            </w:r>
          </w:p>
        </w:tc>
        <w:tc>
          <w:tcPr>
            <w:tcW w:w="1390" w:type="dxa"/>
            <w:tcBorders>
              <w:top w:val="nil"/>
              <w:left w:val="nil"/>
              <w:bottom w:val="single" w:sz="8" w:space="0" w:color="auto"/>
              <w:right w:val="single" w:sz="8" w:space="0" w:color="auto"/>
            </w:tcBorders>
            <w:shd w:val="clear" w:color="auto" w:fill="auto"/>
            <w:noWrap/>
            <w:vAlign w:val="center"/>
            <w:hideMark/>
          </w:tcPr>
          <w:p w:rsidR="00051EFC" w:rsidRDefault="00051EFC">
            <w:pPr>
              <w:rPr>
                <w:color w:val="000000"/>
                <w:sz w:val="20"/>
                <w:szCs w:val="20"/>
              </w:rPr>
            </w:pPr>
            <w:r>
              <w:rPr>
                <w:color w:val="000000"/>
                <w:sz w:val="20"/>
                <w:szCs w:val="20"/>
              </w:rPr>
              <w:t> </w:t>
            </w:r>
          </w:p>
        </w:tc>
      </w:tr>
      <w:tr w:rsidR="00051EFC" w:rsidTr="00051EFC">
        <w:trPr>
          <w:trHeight w:val="60"/>
        </w:trPr>
        <w:tc>
          <w:tcPr>
            <w:tcW w:w="1623" w:type="dxa"/>
            <w:tcBorders>
              <w:top w:val="single" w:sz="8" w:space="0" w:color="auto"/>
              <w:left w:val="single" w:sz="8" w:space="0" w:color="auto"/>
              <w:bottom w:val="single" w:sz="8" w:space="0" w:color="auto"/>
              <w:right w:val="single" w:sz="8" w:space="0" w:color="auto"/>
            </w:tcBorders>
            <w:shd w:val="pct10" w:color="000000" w:fill="auto"/>
            <w:vAlign w:val="center"/>
            <w:hideMark/>
          </w:tcPr>
          <w:p w:rsidR="00051EFC" w:rsidRDefault="00051EFC">
            <w:pPr>
              <w:rPr>
                <w:b/>
                <w:bCs/>
                <w:color w:val="000000"/>
                <w:sz w:val="20"/>
                <w:szCs w:val="20"/>
              </w:rPr>
            </w:pPr>
            <w:r>
              <w:rPr>
                <w:b/>
                <w:bCs/>
                <w:color w:val="000000"/>
                <w:sz w:val="20"/>
                <w:szCs w:val="20"/>
              </w:rPr>
              <w:t>Totaal</w:t>
            </w:r>
          </w:p>
        </w:tc>
        <w:tc>
          <w:tcPr>
            <w:tcW w:w="774" w:type="dxa"/>
            <w:tcBorders>
              <w:top w:val="single" w:sz="8" w:space="0" w:color="auto"/>
              <w:left w:val="nil"/>
              <w:bottom w:val="single" w:sz="8" w:space="0" w:color="auto"/>
              <w:right w:val="single" w:sz="8" w:space="0" w:color="auto"/>
            </w:tcBorders>
            <w:shd w:val="pct10" w:color="000000" w:fill="auto"/>
            <w:vAlign w:val="center"/>
            <w:hideMark/>
          </w:tcPr>
          <w:p w:rsidR="00051EFC" w:rsidRDefault="00051EFC">
            <w:pPr>
              <w:jc w:val="right"/>
              <w:rPr>
                <w:b/>
                <w:bCs/>
                <w:color w:val="000000"/>
                <w:sz w:val="20"/>
                <w:szCs w:val="20"/>
              </w:rPr>
            </w:pPr>
            <w:r>
              <w:rPr>
                <w:b/>
                <w:bCs/>
                <w:color w:val="000000"/>
                <w:sz w:val="20"/>
                <w:szCs w:val="20"/>
              </w:rPr>
              <w:t>30</w:t>
            </w:r>
          </w:p>
        </w:tc>
        <w:tc>
          <w:tcPr>
            <w:tcW w:w="1390" w:type="dxa"/>
            <w:tcBorders>
              <w:top w:val="single" w:sz="8" w:space="0" w:color="auto"/>
              <w:left w:val="nil"/>
              <w:bottom w:val="single" w:sz="8" w:space="0" w:color="auto"/>
              <w:right w:val="single" w:sz="8" w:space="0" w:color="auto"/>
            </w:tcBorders>
            <w:shd w:val="pct10" w:color="000000" w:fill="auto"/>
            <w:vAlign w:val="center"/>
            <w:hideMark/>
          </w:tcPr>
          <w:p w:rsidR="00051EFC" w:rsidRDefault="00051EFC">
            <w:pPr>
              <w:jc w:val="right"/>
              <w:rPr>
                <w:b/>
                <w:bCs/>
                <w:color w:val="000000"/>
                <w:sz w:val="20"/>
                <w:szCs w:val="20"/>
              </w:rPr>
            </w:pPr>
            <w:r>
              <w:rPr>
                <w:b/>
                <w:bCs/>
                <w:color w:val="000000"/>
                <w:sz w:val="20"/>
                <w:szCs w:val="20"/>
              </w:rPr>
              <w:t>18.416.883,40</w:t>
            </w:r>
          </w:p>
        </w:tc>
        <w:tc>
          <w:tcPr>
            <w:tcW w:w="774" w:type="dxa"/>
            <w:tcBorders>
              <w:top w:val="single" w:sz="8" w:space="0" w:color="auto"/>
              <w:left w:val="nil"/>
              <w:bottom w:val="single" w:sz="8" w:space="0" w:color="auto"/>
              <w:right w:val="single" w:sz="8" w:space="0" w:color="auto"/>
            </w:tcBorders>
            <w:shd w:val="pct10" w:color="000000" w:fill="auto"/>
            <w:noWrap/>
            <w:vAlign w:val="center"/>
            <w:hideMark/>
          </w:tcPr>
          <w:p w:rsidR="00051EFC" w:rsidRDefault="00051EFC">
            <w:pPr>
              <w:jc w:val="right"/>
              <w:rPr>
                <w:b/>
                <w:bCs/>
                <w:color w:val="000000"/>
                <w:sz w:val="20"/>
                <w:szCs w:val="20"/>
              </w:rPr>
            </w:pPr>
            <w:r>
              <w:rPr>
                <w:b/>
                <w:bCs/>
                <w:color w:val="000000"/>
                <w:sz w:val="20"/>
                <w:szCs w:val="20"/>
              </w:rPr>
              <w:t>2</w:t>
            </w:r>
          </w:p>
        </w:tc>
        <w:tc>
          <w:tcPr>
            <w:tcW w:w="1290" w:type="dxa"/>
            <w:tcBorders>
              <w:top w:val="single" w:sz="8" w:space="0" w:color="auto"/>
              <w:left w:val="nil"/>
              <w:bottom w:val="single" w:sz="8" w:space="0" w:color="auto"/>
              <w:right w:val="single" w:sz="8" w:space="0" w:color="auto"/>
            </w:tcBorders>
            <w:shd w:val="pct10" w:color="000000" w:fill="auto"/>
            <w:vAlign w:val="center"/>
            <w:hideMark/>
          </w:tcPr>
          <w:p w:rsidR="00051EFC" w:rsidRDefault="00051EFC">
            <w:pPr>
              <w:jc w:val="right"/>
              <w:rPr>
                <w:b/>
                <w:bCs/>
                <w:color w:val="000000"/>
                <w:sz w:val="20"/>
                <w:szCs w:val="20"/>
              </w:rPr>
            </w:pPr>
            <w:r>
              <w:rPr>
                <w:b/>
                <w:bCs/>
                <w:color w:val="000000"/>
                <w:sz w:val="20"/>
                <w:szCs w:val="20"/>
              </w:rPr>
              <w:t>2.178.180,06</w:t>
            </w:r>
          </w:p>
        </w:tc>
        <w:tc>
          <w:tcPr>
            <w:tcW w:w="774" w:type="dxa"/>
            <w:tcBorders>
              <w:top w:val="single" w:sz="8" w:space="0" w:color="auto"/>
              <w:left w:val="nil"/>
              <w:bottom w:val="single" w:sz="8" w:space="0" w:color="auto"/>
              <w:right w:val="single" w:sz="8" w:space="0" w:color="auto"/>
            </w:tcBorders>
            <w:shd w:val="pct10" w:color="000000" w:fill="auto"/>
            <w:vAlign w:val="center"/>
            <w:hideMark/>
          </w:tcPr>
          <w:p w:rsidR="00051EFC" w:rsidRDefault="00051EFC">
            <w:pPr>
              <w:jc w:val="right"/>
              <w:rPr>
                <w:b/>
                <w:bCs/>
                <w:color w:val="000000"/>
                <w:sz w:val="20"/>
                <w:szCs w:val="20"/>
              </w:rPr>
            </w:pPr>
            <w:r>
              <w:rPr>
                <w:b/>
                <w:bCs/>
                <w:color w:val="000000"/>
                <w:sz w:val="20"/>
                <w:szCs w:val="20"/>
              </w:rPr>
              <w:t>16</w:t>
            </w:r>
          </w:p>
        </w:tc>
        <w:tc>
          <w:tcPr>
            <w:tcW w:w="1390" w:type="dxa"/>
            <w:tcBorders>
              <w:top w:val="single" w:sz="8" w:space="0" w:color="auto"/>
              <w:left w:val="nil"/>
              <w:bottom w:val="single" w:sz="8" w:space="0" w:color="auto"/>
              <w:right w:val="single" w:sz="8" w:space="0" w:color="auto"/>
            </w:tcBorders>
            <w:shd w:val="pct10" w:color="000000" w:fill="auto"/>
            <w:vAlign w:val="center"/>
            <w:hideMark/>
          </w:tcPr>
          <w:p w:rsidR="00051EFC" w:rsidRDefault="00051EFC">
            <w:pPr>
              <w:jc w:val="right"/>
              <w:rPr>
                <w:b/>
                <w:bCs/>
                <w:color w:val="000000"/>
                <w:sz w:val="20"/>
                <w:szCs w:val="20"/>
              </w:rPr>
            </w:pPr>
            <w:r>
              <w:rPr>
                <w:b/>
                <w:bCs/>
                <w:color w:val="000000"/>
                <w:sz w:val="20"/>
                <w:szCs w:val="20"/>
              </w:rPr>
              <w:t>20.697.240,70</w:t>
            </w:r>
          </w:p>
        </w:tc>
        <w:tc>
          <w:tcPr>
            <w:tcW w:w="774" w:type="dxa"/>
            <w:tcBorders>
              <w:top w:val="single" w:sz="8" w:space="0" w:color="auto"/>
              <w:left w:val="nil"/>
              <w:bottom w:val="single" w:sz="8" w:space="0" w:color="auto"/>
              <w:right w:val="single" w:sz="8" w:space="0" w:color="auto"/>
            </w:tcBorders>
            <w:shd w:val="pct10" w:color="000000" w:fill="auto"/>
            <w:noWrap/>
            <w:vAlign w:val="center"/>
            <w:hideMark/>
          </w:tcPr>
          <w:p w:rsidR="00051EFC" w:rsidRDefault="00051EFC">
            <w:pPr>
              <w:jc w:val="right"/>
              <w:rPr>
                <w:b/>
                <w:bCs/>
                <w:color w:val="000000"/>
                <w:sz w:val="20"/>
                <w:szCs w:val="20"/>
              </w:rPr>
            </w:pPr>
            <w:r>
              <w:rPr>
                <w:b/>
                <w:bCs/>
                <w:color w:val="000000"/>
                <w:sz w:val="20"/>
                <w:szCs w:val="20"/>
              </w:rPr>
              <w:t>5</w:t>
            </w:r>
          </w:p>
        </w:tc>
        <w:tc>
          <w:tcPr>
            <w:tcW w:w="1390" w:type="dxa"/>
            <w:tcBorders>
              <w:top w:val="single" w:sz="8" w:space="0" w:color="auto"/>
              <w:left w:val="nil"/>
              <w:bottom w:val="single" w:sz="8" w:space="0" w:color="auto"/>
              <w:right w:val="single" w:sz="8" w:space="0" w:color="auto"/>
            </w:tcBorders>
            <w:shd w:val="pct10" w:color="000000" w:fill="auto"/>
            <w:vAlign w:val="center"/>
            <w:hideMark/>
          </w:tcPr>
          <w:p w:rsidR="00051EFC" w:rsidRDefault="00051EFC">
            <w:pPr>
              <w:jc w:val="right"/>
              <w:rPr>
                <w:b/>
                <w:bCs/>
                <w:color w:val="000000"/>
                <w:sz w:val="20"/>
                <w:szCs w:val="20"/>
              </w:rPr>
            </w:pPr>
            <w:r>
              <w:rPr>
                <w:b/>
                <w:bCs/>
                <w:color w:val="000000"/>
                <w:sz w:val="20"/>
                <w:szCs w:val="20"/>
              </w:rPr>
              <w:t>792.859,00</w:t>
            </w:r>
          </w:p>
        </w:tc>
      </w:tr>
      <w:tr w:rsidR="00051EFC" w:rsidTr="00051EFC">
        <w:trPr>
          <w:trHeight w:val="60"/>
        </w:trPr>
        <w:tc>
          <w:tcPr>
            <w:tcW w:w="1623"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774"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1390"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774"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1290"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774"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2164" w:type="dxa"/>
            <w:gridSpan w:val="2"/>
            <w:tcBorders>
              <w:top w:val="single" w:sz="8" w:space="0" w:color="auto"/>
              <w:left w:val="single" w:sz="8" w:space="0" w:color="auto"/>
              <w:bottom w:val="single" w:sz="8" w:space="0" w:color="auto"/>
              <w:right w:val="single" w:sz="8" w:space="0" w:color="auto"/>
            </w:tcBorders>
            <w:shd w:val="pct15" w:color="auto" w:fill="auto"/>
            <w:noWrap/>
            <w:vAlign w:val="bottom"/>
            <w:hideMark/>
          </w:tcPr>
          <w:p w:rsidR="00051EFC" w:rsidRPr="00D9019B" w:rsidRDefault="00051EFC">
            <w:pPr>
              <w:jc w:val="right"/>
              <w:rPr>
                <w:b/>
                <w:bCs/>
                <w:i/>
                <w:color w:val="000000"/>
                <w:sz w:val="20"/>
                <w:szCs w:val="20"/>
              </w:rPr>
            </w:pPr>
            <w:r w:rsidRPr="00D9019B">
              <w:rPr>
                <w:b/>
                <w:bCs/>
                <w:i/>
                <w:color w:val="000000"/>
                <w:sz w:val="20"/>
                <w:szCs w:val="20"/>
              </w:rPr>
              <w:t>Totaal aantal</w:t>
            </w:r>
          </w:p>
        </w:tc>
        <w:tc>
          <w:tcPr>
            <w:tcW w:w="1390" w:type="dxa"/>
            <w:tcBorders>
              <w:top w:val="nil"/>
              <w:left w:val="nil"/>
              <w:bottom w:val="single" w:sz="8" w:space="0" w:color="auto"/>
              <w:right w:val="single" w:sz="8" w:space="0" w:color="auto"/>
            </w:tcBorders>
            <w:shd w:val="pct15" w:color="auto" w:fill="auto"/>
            <w:noWrap/>
            <w:vAlign w:val="bottom"/>
            <w:hideMark/>
          </w:tcPr>
          <w:p w:rsidR="00051EFC" w:rsidRPr="00D9019B" w:rsidRDefault="00051EFC">
            <w:pPr>
              <w:jc w:val="right"/>
              <w:rPr>
                <w:b/>
                <w:bCs/>
                <w:i/>
                <w:color w:val="000000"/>
                <w:sz w:val="20"/>
                <w:szCs w:val="20"/>
              </w:rPr>
            </w:pPr>
            <w:r w:rsidRPr="00D9019B">
              <w:rPr>
                <w:b/>
                <w:bCs/>
                <w:i/>
                <w:color w:val="000000"/>
                <w:sz w:val="20"/>
                <w:szCs w:val="20"/>
              </w:rPr>
              <w:t>53</w:t>
            </w:r>
          </w:p>
        </w:tc>
      </w:tr>
      <w:tr w:rsidR="00051EFC" w:rsidTr="00051EFC">
        <w:trPr>
          <w:trHeight w:val="60"/>
        </w:trPr>
        <w:tc>
          <w:tcPr>
            <w:tcW w:w="1623"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774"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1390"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774"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1290"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774" w:type="dxa"/>
            <w:tcBorders>
              <w:top w:val="nil"/>
              <w:left w:val="nil"/>
              <w:bottom w:val="nil"/>
              <w:right w:val="nil"/>
            </w:tcBorders>
            <w:shd w:val="clear" w:color="auto" w:fill="auto"/>
            <w:noWrap/>
            <w:vAlign w:val="bottom"/>
            <w:hideMark/>
          </w:tcPr>
          <w:p w:rsidR="00051EFC" w:rsidRDefault="00051EFC">
            <w:pPr>
              <w:rPr>
                <w:color w:val="000000"/>
                <w:sz w:val="20"/>
                <w:szCs w:val="20"/>
              </w:rPr>
            </w:pPr>
          </w:p>
        </w:tc>
        <w:tc>
          <w:tcPr>
            <w:tcW w:w="2164" w:type="dxa"/>
            <w:gridSpan w:val="2"/>
            <w:tcBorders>
              <w:top w:val="single" w:sz="8" w:space="0" w:color="auto"/>
              <w:left w:val="single" w:sz="8" w:space="0" w:color="auto"/>
              <w:bottom w:val="single" w:sz="8" w:space="0" w:color="auto"/>
              <w:right w:val="single" w:sz="8" w:space="0" w:color="auto"/>
            </w:tcBorders>
            <w:shd w:val="pct15" w:color="auto" w:fill="auto"/>
            <w:noWrap/>
            <w:vAlign w:val="bottom"/>
            <w:hideMark/>
          </w:tcPr>
          <w:p w:rsidR="00051EFC" w:rsidRPr="00D9019B" w:rsidRDefault="00051EFC">
            <w:pPr>
              <w:jc w:val="right"/>
              <w:rPr>
                <w:b/>
                <w:bCs/>
                <w:i/>
                <w:color w:val="000000"/>
                <w:sz w:val="20"/>
                <w:szCs w:val="20"/>
              </w:rPr>
            </w:pPr>
            <w:r w:rsidRPr="00D9019B">
              <w:rPr>
                <w:b/>
                <w:bCs/>
                <w:i/>
                <w:color w:val="000000"/>
                <w:sz w:val="20"/>
                <w:szCs w:val="20"/>
              </w:rPr>
              <w:t>Totaal bedrag in €</w:t>
            </w:r>
          </w:p>
        </w:tc>
        <w:tc>
          <w:tcPr>
            <w:tcW w:w="1390" w:type="dxa"/>
            <w:tcBorders>
              <w:top w:val="single" w:sz="8" w:space="0" w:color="auto"/>
              <w:left w:val="nil"/>
              <w:bottom w:val="single" w:sz="8" w:space="0" w:color="auto"/>
              <w:right w:val="single" w:sz="8" w:space="0" w:color="auto"/>
            </w:tcBorders>
            <w:shd w:val="pct15" w:color="auto" w:fill="auto"/>
            <w:noWrap/>
            <w:vAlign w:val="bottom"/>
            <w:hideMark/>
          </w:tcPr>
          <w:p w:rsidR="00051EFC" w:rsidRPr="00D9019B" w:rsidRDefault="00051EFC">
            <w:pPr>
              <w:jc w:val="right"/>
              <w:rPr>
                <w:b/>
                <w:bCs/>
                <w:i/>
                <w:color w:val="000000"/>
                <w:sz w:val="20"/>
                <w:szCs w:val="20"/>
              </w:rPr>
            </w:pPr>
            <w:r w:rsidRPr="00D9019B">
              <w:rPr>
                <w:b/>
                <w:bCs/>
                <w:i/>
                <w:color w:val="000000"/>
                <w:sz w:val="20"/>
                <w:szCs w:val="20"/>
              </w:rPr>
              <w:t>42.085.163,16</w:t>
            </w:r>
          </w:p>
        </w:tc>
      </w:tr>
    </w:tbl>
    <w:p w:rsidR="00051EFC" w:rsidRDefault="00051EFC" w:rsidP="0025053C">
      <w:pPr>
        <w:pStyle w:val="StandaardSV"/>
        <w:ind w:firstLine="360"/>
        <w:rPr>
          <w:szCs w:val="22"/>
        </w:rPr>
      </w:pPr>
    </w:p>
    <w:p w:rsidR="003D0BB8" w:rsidRPr="0025053C" w:rsidRDefault="0025053C" w:rsidP="0025053C">
      <w:pPr>
        <w:pStyle w:val="StandaardSV"/>
        <w:ind w:left="360"/>
        <w:rPr>
          <w:szCs w:val="22"/>
        </w:rPr>
      </w:pPr>
      <w:r w:rsidRPr="00B30595">
        <w:rPr>
          <w:b/>
          <w:szCs w:val="22"/>
          <w:vertAlign w:val="superscript"/>
        </w:rPr>
        <w:t>*</w:t>
      </w:r>
      <w:r w:rsidR="003D0BB8" w:rsidRPr="0025053C">
        <w:rPr>
          <w:szCs w:val="22"/>
        </w:rPr>
        <w:t>Per bedrijventerrein worden verschillende steunaanvragen ingediend omdat het procedureverloop samenvalt met de aanbesteding van de verschillende werken (wegenis met riolering, waterleiding, openbare verlichting, etc.). Hier worden per jaar alle steunaanvragen per terrein samengenomen.</w:t>
      </w:r>
    </w:p>
    <w:p w:rsidR="003D0BB8" w:rsidRPr="0025053C" w:rsidRDefault="003D0BB8" w:rsidP="0025053C">
      <w:pPr>
        <w:pStyle w:val="StandaardSV"/>
        <w:ind w:firstLine="360"/>
        <w:rPr>
          <w:szCs w:val="22"/>
        </w:rPr>
      </w:pPr>
    </w:p>
    <w:p w:rsidR="003D0BB8" w:rsidRDefault="003D0BB8" w:rsidP="00E55FBD">
      <w:pPr>
        <w:pStyle w:val="StandaardSV"/>
        <w:ind w:firstLine="360"/>
        <w:rPr>
          <w:szCs w:val="22"/>
        </w:rPr>
      </w:pPr>
      <w:r w:rsidRPr="00B30595">
        <w:rPr>
          <w:b/>
          <w:szCs w:val="22"/>
          <w:vertAlign w:val="superscript"/>
        </w:rPr>
        <w:t>**</w:t>
      </w:r>
      <w:r w:rsidRPr="0025053C">
        <w:rPr>
          <w:szCs w:val="22"/>
        </w:rPr>
        <w:t>Nieuw = eerste ontwikkeling.</w:t>
      </w:r>
    </w:p>
    <w:p w:rsidR="00CD3308" w:rsidRPr="0025053C" w:rsidRDefault="00CD3308" w:rsidP="0025053C">
      <w:pPr>
        <w:pStyle w:val="StandaardSV"/>
        <w:ind w:firstLine="360"/>
        <w:rPr>
          <w:szCs w:val="22"/>
        </w:rPr>
      </w:pPr>
    </w:p>
    <w:p w:rsidR="003D0BB8" w:rsidRPr="003D0BB8" w:rsidRDefault="003D0BB8" w:rsidP="003D0BB8">
      <w:pPr>
        <w:pStyle w:val="Geenafstand"/>
        <w:numPr>
          <w:ilvl w:val="0"/>
          <w:numId w:val="6"/>
        </w:numPr>
        <w:rPr>
          <w:sz w:val="22"/>
          <w:szCs w:val="22"/>
        </w:rPr>
      </w:pPr>
      <w:r w:rsidRPr="003D0BB8">
        <w:rPr>
          <w:sz w:val="22"/>
          <w:szCs w:val="22"/>
        </w:rPr>
        <w:t>In de</w:t>
      </w:r>
      <w:r w:rsidR="00CC2575">
        <w:rPr>
          <w:sz w:val="22"/>
          <w:szCs w:val="22"/>
        </w:rPr>
        <w:t xml:space="preserve"> beschouwde</w:t>
      </w:r>
      <w:r w:rsidRPr="003D0BB8">
        <w:rPr>
          <w:sz w:val="22"/>
          <w:szCs w:val="22"/>
        </w:rPr>
        <w:t xml:space="preserve"> periode verliep de verdeling van deze steunaanvragen over private en publieke ontwikkelaars als volgt:</w:t>
      </w:r>
    </w:p>
    <w:p w:rsidR="003D0BB8" w:rsidRDefault="003D0BB8" w:rsidP="003D0BB8">
      <w:pPr>
        <w:pStyle w:val="Geenafstand"/>
        <w:rPr>
          <w:sz w:val="22"/>
          <w:szCs w:val="22"/>
        </w:rPr>
      </w:pPr>
    </w:p>
    <w:tbl>
      <w:tblPr>
        <w:tblW w:w="3324" w:type="dxa"/>
        <w:jc w:val="center"/>
        <w:tblInd w:w="55" w:type="dxa"/>
        <w:tblCellMar>
          <w:left w:w="70" w:type="dxa"/>
          <w:right w:w="70" w:type="dxa"/>
        </w:tblCellMar>
        <w:tblLook w:val="04A0" w:firstRow="1" w:lastRow="0" w:firstColumn="1" w:lastColumn="0" w:noHBand="0" w:noVBand="1"/>
      </w:tblPr>
      <w:tblGrid>
        <w:gridCol w:w="923"/>
        <w:gridCol w:w="886"/>
        <w:gridCol w:w="1515"/>
      </w:tblGrid>
      <w:tr w:rsidR="00051EFC" w:rsidRPr="00051EFC" w:rsidTr="00051EFC">
        <w:trPr>
          <w:trHeight w:val="60"/>
          <w:jc w:val="center"/>
        </w:trPr>
        <w:tc>
          <w:tcPr>
            <w:tcW w:w="923" w:type="dxa"/>
            <w:tcBorders>
              <w:top w:val="single" w:sz="8" w:space="0" w:color="auto"/>
              <w:left w:val="single" w:sz="8" w:space="0" w:color="auto"/>
              <w:bottom w:val="single" w:sz="8" w:space="0" w:color="auto"/>
              <w:right w:val="single" w:sz="8" w:space="0" w:color="auto"/>
            </w:tcBorders>
            <w:shd w:val="pct15" w:color="000000" w:fill="FFFFFF" w:themeFill="background1"/>
            <w:noWrap/>
            <w:vAlign w:val="bottom"/>
            <w:hideMark/>
          </w:tcPr>
          <w:p w:rsidR="00051EFC" w:rsidRPr="00051EFC" w:rsidRDefault="00051EFC">
            <w:pPr>
              <w:rPr>
                <w:b/>
                <w:color w:val="000000"/>
                <w:sz w:val="20"/>
                <w:szCs w:val="20"/>
              </w:rPr>
            </w:pPr>
            <w:r w:rsidRPr="00051EFC">
              <w:rPr>
                <w:b/>
                <w:color w:val="000000"/>
                <w:sz w:val="20"/>
                <w:szCs w:val="20"/>
              </w:rPr>
              <w:t> </w:t>
            </w:r>
          </w:p>
        </w:tc>
        <w:tc>
          <w:tcPr>
            <w:tcW w:w="886" w:type="dxa"/>
            <w:tcBorders>
              <w:top w:val="single" w:sz="8" w:space="0" w:color="auto"/>
              <w:left w:val="nil"/>
              <w:bottom w:val="single" w:sz="8" w:space="0" w:color="auto"/>
              <w:right w:val="single" w:sz="8" w:space="0" w:color="auto"/>
            </w:tcBorders>
            <w:shd w:val="pct15" w:color="000000" w:fill="FFFFFF" w:themeFill="background1"/>
            <w:noWrap/>
            <w:vAlign w:val="center"/>
            <w:hideMark/>
          </w:tcPr>
          <w:p w:rsidR="00051EFC" w:rsidRPr="00051EFC" w:rsidRDefault="00051EFC">
            <w:pPr>
              <w:jc w:val="right"/>
              <w:rPr>
                <w:b/>
                <w:bCs/>
                <w:color w:val="000000"/>
                <w:sz w:val="22"/>
                <w:szCs w:val="22"/>
              </w:rPr>
            </w:pPr>
            <w:r w:rsidRPr="00051EFC">
              <w:rPr>
                <w:b/>
                <w:bCs/>
                <w:color w:val="000000"/>
                <w:sz w:val="22"/>
                <w:szCs w:val="22"/>
              </w:rPr>
              <w:t>Aantal</w:t>
            </w:r>
          </w:p>
        </w:tc>
        <w:tc>
          <w:tcPr>
            <w:tcW w:w="1515" w:type="dxa"/>
            <w:tcBorders>
              <w:top w:val="single" w:sz="8" w:space="0" w:color="auto"/>
              <w:left w:val="nil"/>
              <w:bottom w:val="single" w:sz="8" w:space="0" w:color="auto"/>
              <w:right w:val="single" w:sz="8" w:space="0" w:color="auto"/>
            </w:tcBorders>
            <w:shd w:val="pct15" w:color="000000" w:fill="FFFFFF" w:themeFill="background1"/>
            <w:noWrap/>
            <w:vAlign w:val="center"/>
            <w:hideMark/>
          </w:tcPr>
          <w:p w:rsidR="00051EFC" w:rsidRPr="00051EFC" w:rsidRDefault="00051EFC">
            <w:pPr>
              <w:jc w:val="right"/>
              <w:rPr>
                <w:b/>
                <w:bCs/>
                <w:color w:val="000000"/>
                <w:sz w:val="22"/>
                <w:szCs w:val="22"/>
              </w:rPr>
            </w:pPr>
            <w:r w:rsidRPr="00051EFC">
              <w:rPr>
                <w:b/>
                <w:bCs/>
                <w:color w:val="000000"/>
                <w:sz w:val="22"/>
                <w:szCs w:val="22"/>
              </w:rPr>
              <w:t>Bedrag in €</w:t>
            </w:r>
          </w:p>
        </w:tc>
      </w:tr>
      <w:tr w:rsidR="00051EFC" w:rsidTr="00051EFC">
        <w:trPr>
          <w:trHeight w:val="60"/>
          <w:jc w:val="center"/>
        </w:trPr>
        <w:tc>
          <w:tcPr>
            <w:tcW w:w="923" w:type="dxa"/>
            <w:tcBorders>
              <w:top w:val="nil"/>
              <w:left w:val="single" w:sz="8" w:space="0" w:color="auto"/>
              <w:bottom w:val="single" w:sz="8" w:space="0" w:color="auto"/>
              <w:right w:val="single" w:sz="8" w:space="0" w:color="auto"/>
            </w:tcBorders>
            <w:shd w:val="clear" w:color="auto" w:fill="auto"/>
            <w:noWrap/>
            <w:vAlign w:val="center"/>
            <w:hideMark/>
          </w:tcPr>
          <w:p w:rsidR="00051EFC" w:rsidRDefault="00051EFC">
            <w:pPr>
              <w:rPr>
                <w:color w:val="000000"/>
                <w:sz w:val="22"/>
                <w:szCs w:val="22"/>
              </w:rPr>
            </w:pPr>
            <w:r>
              <w:rPr>
                <w:color w:val="000000"/>
                <w:sz w:val="22"/>
                <w:szCs w:val="22"/>
              </w:rPr>
              <w:t>Privaat</w:t>
            </w:r>
          </w:p>
        </w:tc>
        <w:tc>
          <w:tcPr>
            <w:tcW w:w="886" w:type="dxa"/>
            <w:tcBorders>
              <w:top w:val="nil"/>
              <w:left w:val="nil"/>
              <w:bottom w:val="single" w:sz="8" w:space="0" w:color="auto"/>
              <w:right w:val="single" w:sz="8" w:space="0" w:color="auto"/>
            </w:tcBorders>
            <w:shd w:val="clear" w:color="auto" w:fill="auto"/>
            <w:noWrap/>
            <w:vAlign w:val="center"/>
            <w:hideMark/>
          </w:tcPr>
          <w:p w:rsidR="00051EFC" w:rsidRDefault="00051EFC">
            <w:pPr>
              <w:jc w:val="right"/>
              <w:rPr>
                <w:color w:val="000000"/>
                <w:sz w:val="22"/>
                <w:szCs w:val="22"/>
              </w:rPr>
            </w:pPr>
            <w:r>
              <w:rPr>
                <w:color w:val="000000"/>
                <w:sz w:val="22"/>
                <w:szCs w:val="22"/>
              </w:rPr>
              <w:t>5</w:t>
            </w:r>
          </w:p>
        </w:tc>
        <w:tc>
          <w:tcPr>
            <w:tcW w:w="1515" w:type="dxa"/>
            <w:tcBorders>
              <w:top w:val="nil"/>
              <w:left w:val="nil"/>
              <w:bottom w:val="single" w:sz="8" w:space="0" w:color="auto"/>
              <w:right w:val="single" w:sz="8" w:space="0" w:color="auto"/>
            </w:tcBorders>
            <w:shd w:val="clear" w:color="auto" w:fill="auto"/>
            <w:noWrap/>
            <w:vAlign w:val="center"/>
            <w:hideMark/>
          </w:tcPr>
          <w:p w:rsidR="00051EFC" w:rsidRDefault="00051EFC">
            <w:pPr>
              <w:jc w:val="right"/>
              <w:rPr>
                <w:color w:val="000000"/>
                <w:sz w:val="22"/>
                <w:szCs w:val="22"/>
              </w:rPr>
            </w:pPr>
            <w:r>
              <w:rPr>
                <w:color w:val="000000"/>
                <w:sz w:val="22"/>
                <w:szCs w:val="22"/>
              </w:rPr>
              <w:t>5.052.754,21</w:t>
            </w:r>
          </w:p>
        </w:tc>
      </w:tr>
      <w:tr w:rsidR="00051EFC" w:rsidTr="00051EFC">
        <w:trPr>
          <w:trHeight w:val="60"/>
          <w:jc w:val="center"/>
        </w:trPr>
        <w:tc>
          <w:tcPr>
            <w:tcW w:w="923" w:type="dxa"/>
            <w:tcBorders>
              <w:top w:val="nil"/>
              <w:left w:val="single" w:sz="8" w:space="0" w:color="auto"/>
              <w:bottom w:val="single" w:sz="8" w:space="0" w:color="auto"/>
              <w:right w:val="single" w:sz="8" w:space="0" w:color="auto"/>
            </w:tcBorders>
            <w:shd w:val="clear" w:color="auto" w:fill="auto"/>
            <w:noWrap/>
            <w:vAlign w:val="center"/>
            <w:hideMark/>
          </w:tcPr>
          <w:p w:rsidR="00051EFC" w:rsidRDefault="00051EFC">
            <w:pPr>
              <w:rPr>
                <w:color w:val="000000"/>
                <w:sz w:val="22"/>
                <w:szCs w:val="22"/>
              </w:rPr>
            </w:pPr>
            <w:r>
              <w:rPr>
                <w:color w:val="000000"/>
                <w:sz w:val="22"/>
                <w:szCs w:val="22"/>
              </w:rPr>
              <w:t>Publiek</w:t>
            </w:r>
          </w:p>
        </w:tc>
        <w:tc>
          <w:tcPr>
            <w:tcW w:w="886" w:type="dxa"/>
            <w:tcBorders>
              <w:top w:val="nil"/>
              <w:left w:val="nil"/>
              <w:bottom w:val="single" w:sz="8" w:space="0" w:color="auto"/>
              <w:right w:val="single" w:sz="8" w:space="0" w:color="auto"/>
            </w:tcBorders>
            <w:shd w:val="clear" w:color="auto" w:fill="auto"/>
            <w:noWrap/>
            <w:vAlign w:val="center"/>
            <w:hideMark/>
          </w:tcPr>
          <w:p w:rsidR="00051EFC" w:rsidRDefault="00051EFC">
            <w:pPr>
              <w:jc w:val="right"/>
              <w:rPr>
                <w:color w:val="000000"/>
                <w:sz w:val="22"/>
                <w:szCs w:val="22"/>
              </w:rPr>
            </w:pPr>
            <w:r>
              <w:rPr>
                <w:color w:val="000000"/>
                <w:sz w:val="22"/>
                <w:szCs w:val="22"/>
              </w:rPr>
              <w:t>48</w:t>
            </w:r>
          </w:p>
        </w:tc>
        <w:tc>
          <w:tcPr>
            <w:tcW w:w="1515" w:type="dxa"/>
            <w:tcBorders>
              <w:top w:val="nil"/>
              <w:left w:val="nil"/>
              <w:bottom w:val="single" w:sz="8" w:space="0" w:color="auto"/>
              <w:right w:val="single" w:sz="8" w:space="0" w:color="auto"/>
            </w:tcBorders>
            <w:shd w:val="clear" w:color="auto" w:fill="auto"/>
            <w:noWrap/>
            <w:vAlign w:val="center"/>
            <w:hideMark/>
          </w:tcPr>
          <w:p w:rsidR="00051EFC" w:rsidRDefault="00051EFC">
            <w:pPr>
              <w:jc w:val="right"/>
              <w:rPr>
                <w:color w:val="000000"/>
                <w:sz w:val="22"/>
                <w:szCs w:val="22"/>
              </w:rPr>
            </w:pPr>
            <w:r>
              <w:rPr>
                <w:color w:val="000000"/>
                <w:sz w:val="22"/>
                <w:szCs w:val="22"/>
              </w:rPr>
              <w:t>37.032.408,95</w:t>
            </w:r>
          </w:p>
        </w:tc>
      </w:tr>
      <w:tr w:rsidR="00051EFC" w:rsidRPr="00051EFC" w:rsidTr="00051EFC">
        <w:trPr>
          <w:trHeight w:val="60"/>
          <w:jc w:val="center"/>
        </w:trPr>
        <w:tc>
          <w:tcPr>
            <w:tcW w:w="923" w:type="dxa"/>
            <w:tcBorders>
              <w:top w:val="single" w:sz="8" w:space="0" w:color="auto"/>
              <w:left w:val="single" w:sz="8" w:space="0" w:color="auto"/>
              <w:bottom w:val="single" w:sz="8" w:space="0" w:color="auto"/>
              <w:right w:val="single" w:sz="8" w:space="0" w:color="auto"/>
            </w:tcBorders>
            <w:shd w:val="pct10" w:color="auto" w:fill="auto"/>
            <w:noWrap/>
            <w:vAlign w:val="center"/>
            <w:hideMark/>
          </w:tcPr>
          <w:p w:rsidR="00051EFC" w:rsidRPr="00051EFC" w:rsidRDefault="00051EFC">
            <w:pPr>
              <w:rPr>
                <w:b/>
                <w:color w:val="000000"/>
                <w:sz w:val="22"/>
                <w:szCs w:val="22"/>
              </w:rPr>
            </w:pPr>
            <w:r w:rsidRPr="00051EFC">
              <w:rPr>
                <w:b/>
                <w:color w:val="000000"/>
                <w:sz w:val="22"/>
                <w:szCs w:val="22"/>
              </w:rPr>
              <w:t>Totaal</w:t>
            </w:r>
          </w:p>
        </w:tc>
        <w:tc>
          <w:tcPr>
            <w:tcW w:w="886" w:type="dxa"/>
            <w:tcBorders>
              <w:top w:val="single" w:sz="8" w:space="0" w:color="auto"/>
              <w:left w:val="nil"/>
              <w:bottom w:val="single" w:sz="8" w:space="0" w:color="auto"/>
              <w:right w:val="single" w:sz="8" w:space="0" w:color="auto"/>
            </w:tcBorders>
            <w:shd w:val="pct10" w:color="auto" w:fill="auto"/>
            <w:noWrap/>
            <w:vAlign w:val="center"/>
            <w:hideMark/>
          </w:tcPr>
          <w:p w:rsidR="00051EFC" w:rsidRPr="00051EFC" w:rsidRDefault="00051EFC">
            <w:pPr>
              <w:jc w:val="right"/>
              <w:rPr>
                <w:b/>
                <w:color w:val="000000"/>
                <w:sz w:val="22"/>
                <w:szCs w:val="22"/>
              </w:rPr>
            </w:pPr>
            <w:r w:rsidRPr="00051EFC">
              <w:rPr>
                <w:b/>
                <w:color w:val="000000"/>
                <w:sz w:val="22"/>
                <w:szCs w:val="22"/>
              </w:rPr>
              <w:t>53</w:t>
            </w:r>
          </w:p>
        </w:tc>
        <w:tc>
          <w:tcPr>
            <w:tcW w:w="1515" w:type="dxa"/>
            <w:tcBorders>
              <w:top w:val="single" w:sz="8" w:space="0" w:color="auto"/>
              <w:left w:val="nil"/>
              <w:bottom w:val="single" w:sz="8" w:space="0" w:color="auto"/>
              <w:right w:val="single" w:sz="8" w:space="0" w:color="auto"/>
            </w:tcBorders>
            <w:shd w:val="pct10" w:color="auto" w:fill="auto"/>
            <w:noWrap/>
            <w:vAlign w:val="center"/>
            <w:hideMark/>
          </w:tcPr>
          <w:p w:rsidR="00051EFC" w:rsidRPr="00051EFC" w:rsidRDefault="00051EFC">
            <w:pPr>
              <w:jc w:val="right"/>
              <w:rPr>
                <w:b/>
                <w:color w:val="000000"/>
                <w:sz w:val="22"/>
                <w:szCs w:val="22"/>
              </w:rPr>
            </w:pPr>
            <w:r w:rsidRPr="00051EFC">
              <w:rPr>
                <w:b/>
                <w:color w:val="000000"/>
                <w:sz w:val="22"/>
                <w:szCs w:val="22"/>
              </w:rPr>
              <w:t>42.085.163,16</w:t>
            </w:r>
          </w:p>
        </w:tc>
      </w:tr>
    </w:tbl>
    <w:p w:rsidR="00051EFC" w:rsidRDefault="00051EFC" w:rsidP="003D0BB8">
      <w:pPr>
        <w:pStyle w:val="Geenafstand"/>
        <w:rPr>
          <w:sz w:val="22"/>
          <w:szCs w:val="22"/>
        </w:rPr>
      </w:pPr>
    </w:p>
    <w:p w:rsidR="003D0BB8" w:rsidRPr="003D0BB8" w:rsidRDefault="003D0BB8" w:rsidP="003D0BB8">
      <w:pPr>
        <w:pStyle w:val="Geenafstand"/>
        <w:ind w:firstLine="360"/>
        <w:rPr>
          <w:sz w:val="22"/>
          <w:szCs w:val="22"/>
        </w:rPr>
      </w:pPr>
      <w:r w:rsidRPr="003D0BB8">
        <w:rPr>
          <w:sz w:val="22"/>
          <w:szCs w:val="22"/>
        </w:rPr>
        <w:t>Er waren geen aanvragen door PPS-constructies.</w:t>
      </w:r>
    </w:p>
    <w:p w:rsidR="00CD3308" w:rsidRPr="003D0BB8" w:rsidRDefault="00CD3308" w:rsidP="003D0BB8">
      <w:pPr>
        <w:pStyle w:val="Geenafstand"/>
        <w:rPr>
          <w:sz w:val="22"/>
          <w:szCs w:val="22"/>
        </w:rPr>
      </w:pPr>
      <w:bookmarkStart w:id="0" w:name="_GoBack"/>
      <w:bookmarkEnd w:id="0"/>
    </w:p>
    <w:p w:rsidR="003D0BB8" w:rsidRPr="003D0BB8" w:rsidRDefault="003D0BB8" w:rsidP="00CC2575">
      <w:pPr>
        <w:pStyle w:val="Geenafstand"/>
        <w:numPr>
          <w:ilvl w:val="0"/>
          <w:numId w:val="6"/>
        </w:numPr>
        <w:rPr>
          <w:color w:val="000000"/>
          <w:sz w:val="22"/>
          <w:szCs w:val="22"/>
          <w:lang w:eastAsia="nl-BE"/>
        </w:rPr>
      </w:pPr>
      <w:r w:rsidRPr="003D0BB8">
        <w:rPr>
          <w:sz w:val="22"/>
          <w:szCs w:val="22"/>
        </w:rPr>
        <w:t>De hoogste som die sinds 1993 ooit werd vastgelegd en uitbetaald</w:t>
      </w:r>
      <w:r w:rsidR="00CC2575">
        <w:rPr>
          <w:sz w:val="22"/>
          <w:szCs w:val="22"/>
        </w:rPr>
        <w:t>,</w:t>
      </w:r>
      <w:r w:rsidRPr="003D0BB8">
        <w:rPr>
          <w:sz w:val="22"/>
          <w:szCs w:val="22"/>
        </w:rPr>
        <w:t xml:space="preserve"> bedroeg </w:t>
      </w:r>
      <w:r w:rsidRPr="003D0BB8">
        <w:rPr>
          <w:color w:val="000000"/>
          <w:sz w:val="22"/>
          <w:szCs w:val="22"/>
          <w:lang w:eastAsia="nl-BE"/>
        </w:rPr>
        <w:t>5.899.759,32</w:t>
      </w:r>
      <w:r w:rsidR="00CC2575">
        <w:rPr>
          <w:color w:val="000000"/>
          <w:sz w:val="22"/>
          <w:szCs w:val="22"/>
          <w:lang w:eastAsia="nl-BE"/>
        </w:rPr>
        <w:t xml:space="preserve"> euro</w:t>
      </w:r>
      <w:r w:rsidRPr="003D0BB8">
        <w:rPr>
          <w:color w:val="000000"/>
          <w:sz w:val="22"/>
          <w:szCs w:val="22"/>
          <w:lang w:eastAsia="nl-BE"/>
        </w:rPr>
        <w:t>. Ze werd toegekend aan de intercommunale Interleuven voor de volledige herontwikkeling van het</w:t>
      </w:r>
      <w:r w:rsidR="00CC2575">
        <w:rPr>
          <w:color w:val="000000"/>
          <w:sz w:val="22"/>
          <w:szCs w:val="22"/>
          <w:lang w:eastAsia="nl-BE"/>
        </w:rPr>
        <w:t xml:space="preserve"> </w:t>
      </w:r>
      <w:r w:rsidR="00CC2575" w:rsidRPr="00CC2575">
        <w:rPr>
          <w:color w:val="000000"/>
          <w:sz w:val="22"/>
          <w:szCs w:val="22"/>
          <w:lang w:eastAsia="nl-BE"/>
        </w:rPr>
        <w:t>Researchpark Haasrode</w:t>
      </w:r>
      <w:r w:rsidRPr="003D0BB8">
        <w:rPr>
          <w:color w:val="000000"/>
          <w:sz w:val="22"/>
          <w:szCs w:val="22"/>
          <w:lang w:eastAsia="nl-BE"/>
        </w:rPr>
        <w:t>.</w:t>
      </w:r>
    </w:p>
    <w:p w:rsidR="003D0BB8" w:rsidRPr="003D0BB8" w:rsidRDefault="003D0BB8" w:rsidP="003D0BB8">
      <w:pPr>
        <w:pStyle w:val="Geenafstand"/>
        <w:ind w:left="360"/>
        <w:rPr>
          <w:color w:val="000000"/>
          <w:sz w:val="22"/>
          <w:szCs w:val="22"/>
          <w:lang w:eastAsia="nl-BE"/>
        </w:rPr>
      </w:pPr>
    </w:p>
    <w:p w:rsidR="003D0BB8" w:rsidRPr="003D0BB8" w:rsidRDefault="003D0BB8" w:rsidP="003D0BB8">
      <w:pPr>
        <w:pStyle w:val="Geenafstand"/>
        <w:ind w:left="360"/>
        <w:rPr>
          <w:color w:val="000000"/>
          <w:sz w:val="22"/>
          <w:szCs w:val="22"/>
          <w:lang w:eastAsia="nl-BE"/>
        </w:rPr>
      </w:pPr>
      <w:r w:rsidRPr="003D0BB8">
        <w:rPr>
          <w:sz w:val="22"/>
          <w:szCs w:val="22"/>
        </w:rPr>
        <w:t xml:space="preserve">De laagste ooit toegekende som bedroeg </w:t>
      </w:r>
      <w:r w:rsidRPr="003D0BB8">
        <w:rPr>
          <w:color w:val="000000"/>
          <w:sz w:val="22"/>
          <w:szCs w:val="22"/>
          <w:lang w:eastAsia="nl-BE"/>
        </w:rPr>
        <w:t>7.262,52</w:t>
      </w:r>
      <w:r w:rsidR="00CC2575">
        <w:rPr>
          <w:color w:val="000000"/>
          <w:sz w:val="22"/>
          <w:szCs w:val="22"/>
          <w:lang w:eastAsia="nl-BE"/>
        </w:rPr>
        <w:t xml:space="preserve"> euro</w:t>
      </w:r>
      <w:r w:rsidRPr="003D0BB8">
        <w:rPr>
          <w:color w:val="000000"/>
          <w:sz w:val="22"/>
          <w:szCs w:val="22"/>
          <w:lang w:eastAsia="nl-BE"/>
        </w:rPr>
        <w:t>. Deze steun werd uitbetaald aan de gemeente Peer en kaderde in een actie van de POM Limburg om een aantal terreinen in de provincie te verfraaien. In casu ging de steun naar de vergroening van het terrein Bokt.</w:t>
      </w:r>
    </w:p>
    <w:p w:rsidR="003D0BB8" w:rsidRPr="003D0BB8" w:rsidRDefault="003D0BB8" w:rsidP="003D0BB8">
      <w:pPr>
        <w:pStyle w:val="Geenafstand"/>
        <w:ind w:left="360"/>
        <w:rPr>
          <w:color w:val="000000"/>
          <w:sz w:val="22"/>
          <w:szCs w:val="22"/>
          <w:lang w:eastAsia="nl-BE"/>
        </w:rPr>
      </w:pPr>
    </w:p>
    <w:p w:rsidR="002951F1" w:rsidRDefault="003D0BB8" w:rsidP="00A2654A">
      <w:pPr>
        <w:pStyle w:val="Geenafstand"/>
        <w:numPr>
          <w:ilvl w:val="0"/>
          <w:numId w:val="6"/>
        </w:numPr>
        <w:rPr>
          <w:color w:val="000000"/>
          <w:sz w:val="22"/>
          <w:szCs w:val="22"/>
          <w:lang w:eastAsia="nl-BE"/>
        </w:rPr>
      </w:pPr>
      <w:r w:rsidRPr="003D0BB8">
        <w:rPr>
          <w:color w:val="000000"/>
          <w:sz w:val="22"/>
          <w:szCs w:val="22"/>
          <w:lang w:eastAsia="nl-BE"/>
        </w:rPr>
        <w:lastRenderedPageBreak/>
        <w:t>Er zijn momenteel nog 80 aanvragen in behandeling. Deze omvatten zowel de nog openstaande dossiers van v</w:t>
      </w:r>
      <w:r w:rsidR="00A2654A">
        <w:rPr>
          <w:color w:val="000000"/>
          <w:sz w:val="22"/>
          <w:szCs w:val="22"/>
          <w:lang w:eastAsia="nl-BE"/>
        </w:rPr>
        <w:t>oo</w:t>
      </w:r>
      <w:r w:rsidRPr="003D0BB8">
        <w:rPr>
          <w:color w:val="000000"/>
          <w:sz w:val="22"/>
          <w:szCs w:val="22"/>
          <w:lang w:eastAsia="nl-BE"/>
        </w:rPr>
        <w:t>r 2009 als de 53 nieuwe steunaanvragen sinds 2009</w:t>
      </w:r>
      <w:r w:rsidR="00A2654A">
        <w:rPr>
          <w:color w:val="000000"/>
          <w:sz w:val="22"/>
          <w:szCs w:val="22"/>
          <w:lang w:eastAsia="nl-BE"/>
        </w:rPr>
        <w:t xml:space="preserve"> (zie verdeling in onderstaande tabel).</w:t>
      </w:r>
    </w:p>
    <w:p w:rsidR="003D0BB8" w:rsidRPr="003D0BB8" w:rsidRDefault="003D0BB8" w:rsidP="002951F1">
      <w:pPr>
        <w:pStyle w:val="Geenafstand"/>
        <w:rPr>
          <w:color w:val="000000"/>
          <w:sz w:val="22"/>
          <w:szCs w:val="22"/>
          <w:lang w:eastAsia="nl-BE"/>
        </w:rPr>
      </w:pPr>
    </w:p>
    <w:tbl>
      <w:tblPr>
        <w:tblW w:w="2688" w:type="dxa"/>
        <w:jc w:val="center"/>
        <w:tblInd w:w="55" w:type="dxa"/>
        <w:tblCellMar>
          <w:left w:w="70" w:type="dxa"/>
          <w:right w:w="70" w:type="dxa"/>
        </w:tblCellMar>
        <w:tblLook w:val="04A0" w:firstRow="1" w:lastRow="0" w:firstColumn="1" w:lastColumn="0" w:noHBand="0" w:noVBand="1"/>
      </w:tblPr>
      <w:tblGrid>
        <w:gridCol w:w="1802"/>
        <w:gridCol w:w="886"/>
      </w:tblGrid>
      <w:tr w:rsidR="00A2654A" w:rsidTr="007D5947">
        <w:trPr>
          <w:trHeight w:val="60"/>
          <w:jc w:val="center"/>
        </w:trPr>
        <w:tc>
          <w:tcPr>
            <w:tcW w:w="1802" w:type="dxa"/>
            <w:tcBorders>
              <w:top w:val="single" w:sz="8" w:space="0" w:color="auto"/>
              <w:left w:val="single" w:sz="8" w:space="0" w:color="auto"/>
              <w:bottom w:val="single" w:sz="8" w:space="0" w:color="auto"/>
              <w:right w:val="single" w:sz="8" w:space="0" w:color="auto"/>
            </w:tcBorders>
            <w:shd w:val="pct15" w:color="000000" w:fill="FFFFFF" w:themeFill="background1"/>
            <w:noWrap/>
            <w:vAlign w:val="center"/>
            <w:hideMark/>
          </w:tcPr>
          <w:p w:rsidR="00A2654A" w:rsidRDefault="00A2654A">
            <w:pPr>
              <w:rPr>
                <w:color w:val="000000"/>
                <w:sz w:val="22"/>
                <w:szCs w:val="22"/>
              </w:rPr>
            </w:pPr>
            <w:r>
              <w:rPr>
                <w:color w:val="000000"/>
                <w:sz w:val="22"/>
                <w:szCs w:val="22"/>
              </w:rPr>
              <w:t> </w:t>
            </w:r>
          </w:p>
        </w:tc>
        <w:tc>
          <w:tcPr>
            <w:tcW w:w="886" w:type="dxa"/>
            <w:tcBorders>
              <w:top w:val="single" w:sz="8" w:space="0" w:color="auto"/>
              <w:left w:val="nil"/>
              <w:bottom w:val="single" w:sz="8" w:space="0" w:color="auto"/>
              <w:right w:val="single" w:sz="8" w:space="0" w:color="auto"/>
            </w:tcBorders>
            <w:shd w:val="pct15" w:color="000000" w:fill="FFFFFF" w:themeFill="background1"/>
            <w:noWrap/>
            <w:vAlign w:val="center"/>
            <w:hideMark/>
          </w:tcPr>
          <w:p w:rsidR="00A2654A" w:rsidRDefault="00A2654A">
            <w:pPr>
              <w:jc w:val="right"/>
              <w:rPr>
                <w:b/>
                <w:bCs/>
                <w:color w:val="000000"/>
                <w:sz w:val="22"/>
                <w:szCs w:val="22"/>
              </w:rPr>
            </w:pPr>
            <w:r>
              <w:rPr>
                <w:rFonts w:eastAsia="Calibri"/>
                <w:b/>
                <w:bCs/>
                <w:color w:val="000000"/>
                <w:sz w:val="22"/>
                <w:szCs w:val="22"/>
              </w:rPr>
              <w:t>Aantal</w:t>
            </w:r>
          </w:p>
        </w:tc>
      </w:tr>
      <w:tr w:rsidR="00A2654A" w:rsidTr="007D5947">
        <w:trPr>
          <w:trHeight w:val="60"/>
          <w:jc w:val="center"/>
        </w:trPr>
        <w:tc>
          <w:tcPr>
            <w:tcW w:w="1802" w:type="dxa"/>
            <w:tcBorders>
              <w:top w:val="nil"/>
              <w:left w:val="single" w:sz="8" w:space="0" w:color="auto"/>
              <w:bottom w:val="single" w:sz="8" w:space="0" w:color="auto"/>
              <w:right w:val="single" w:sz="8" w:space="0" w:color="auto"/>
            </w:tcBorders>
            <w:shd w:val="clear" w:color="auto" w:fill="auto"/>
            <w:vAlign w:val="center"/>
            <w:hideMark/>
          </w:tcPr>
          <w:p w:rsidR="00A2654A" w:rsidRDefault="00A2654A">
            <w:pPr>
              <w:rPr>
                <w:color w:val="000000"/>
                <w:sz w:val="22"/>
                <w:szCs w:val="22"/>
              </w:rPr>
            </w:pPr>
            <w:r>
              <w:rPr>
                <w:rFonts w:eastAsia="Calibri"/>
                <w:color w:val="000000"/>
                <w:sz w:val="22"/>
                <w:szCs w:val="22"/>
              </w:rPr>
              <w:t>Brownfield</w:t>
            </w:r>
          </w:p>
        </w:tc>
        <w:tc>
          <w:tcPr>
            <w:tcW w:w="886" w:type="dxa"/>
            <w:tcBorders>
              <w:top w:val="nil"/>
              <w:left w:val="nil"/>
              <w:bottom w:val="single" w:sz="8" w:space="0" w:color="auto"/>
              <w:right w:val="single" w:sz="8" w:space="0" w:color="auto"/>
            </w:tcBorders>
            <w:shd w:val="clear" w:color="auto" w:fill="auto"/>
            <w:noWrap/>
            <w:vAlign w:val="center"/>
            <w:hideMark/>
          </w:tcPr>
          <w:p w:rsidR="00A2654A" w:rsidRDefault="00A2654A">
            <w:pPr>
              <w:jc w:val="right"/>
              <w:rPr>
                <w:color w:val="000000"/>
                <w:sz w:val="22"/>
                <w:szCs w:val="22"/>
              </w:rPr>
            </w:pPr>
            <w:r>
              <w:rPr>
                <w:rFonts w:eastAsia="Calibri"/>
                <w:color w:val="000000"/>
                <w:sz w:val="22"/>
                <w:szCs w:val="22"/>
              </w:rPr>
              <w:t>3</w:t>
            </w:r>
          </w:p>
        </w:tc>
      </w:tr>
      <w:tr w:rsidR="00A2654A" w:rsidTr="007D5947">
        <w:trPr>
          <w:trHeight w:val="60"/>
          <w:jc w:val="center"/>
        </w:trPr>
        <w:tc>
          <w:tcPr>
            <w:tcW w:w="1802" w:type="dxa"/>
            <w:tcBorders>
              <w:top w:val="nil"/>
              <w:left w:val="single" w:sz="8" w:space="0" w:color="auto"/>
              <w:bottom w:val="single" w:sz="8" w:space="0" w:color="auto"/>
              <w:right w:val="single" w:sz="8" w:space="0" w:color="auto"/>
            </w:tcBorders>
            <w:shd w:val="clear" w:color="auto" w:fill="auto"/>
            <w:vAlign w:val="center"/>
            <w:hideMark/>
          </w:tcPr>
          <w:p w:rsidR="00A2654A" w:rsidRDefault="00A2654A">
            <w:pPr>
              <w:rPr>
                <w:color w:val="000000"/>
                <w:sz w:val="22"/>
                <w:szCs w:val="22"/>
              </w:rPr>
            </w:pPr>
            <w:r>
              <w:rPr>
                <w:rFonts w:eastAsia="Calibri"/>
                <w:color w:val="000000"/>
                <w:sz w:val="22"/>
                <w:szCs w:val="22"/>
              </w:rPr>
              <w:t>Nieuw</w:t>
            </w:r>
          </w:p>
        </w:tc>
        <w:tc>
          <w:tcPr>
            <w:tcW w:w="886" w:type="dxa"/>
            <w:tcBorders>
              <w:top w:val="nil"/>
              <w:left w:val="nil"/>
              <w:bottom w:val="single" w:sz="8" w:space="0" w:color="auto"/>
              <w:right w:val="single" w:sz="8" w:space="0" w:color="auto"/>
            </w:tcBorders>
            <w:shd w:val="clear" w:color="auto" w:fill="auto"/>
            <w:noWrap/>
            <w:vAlign w:val="center"/>
            <w:hideMark/>
          </w:tcPr>
          <w:p w:rsidR="00A2654A" w:rsidRDefault="00A2654A">
            <w:pPr>
              <w:jc w:val="right"/>
              <w:rPr>
                <w:color w:val="000000"/>
                <w:sz w:val="22"/>
                <w:szCs w:val="22"/>
              </w:rPr>
            </w:pPr>
            <w:r>
              <w:rPr>
                <w:rFonts w:eastAsia="Calibri"/>
                <w:color w:val="000000"/>
                <w:sz w:val="22"/>
                <w:szCs w:val="22"/>
              </w:rPr>
              <w:t>49</w:t>
            </w:r>
          </w:p>
        </w:tc>
      </w:tr>
      <w:tr w:rsidR="00A2654A" w:rsidTr="007D5947">
        <w:trPr>
          <w:trHeight w:val="60"/>
          <w:jc w:val="center"/>
        </w:trPr>
        <w:tc>
          <w:tcPr>
            <w:tcW w:w="1802" w:type="dxa"/>
            <w:tcBorders>
              <w:top w:val="nil"/>
              <w:left w:val="single" w:sz="8" w:space="0" w:color="auto"/>
              <w:bottom w:val="single" w:sz="8" w:space="0" w:color="auto"/>
              <w:right w:val="single" w:sz="8" w:space="0" w:color="auto"/>
            </w:tcBorders>
            <w:shd w:val="clear" w:color="auto" w:fill="auto"/>
            <w:vAlign w:val="center"/>
            <w:hideMark/>
          </w:tcPr>
          <w:p w:rsidR="00A2654A" w:rsidRDefault="00A2654A">
            <w:pPr>
              <w:rPr>
                <w:color w:val="000000"/>
                <w:sz w:val="22"/>
                <w:szCs w:val="22"/>
              </w:rPr>
            </w:pPr>
            <w:r>
              <w:rPr>
                <w:rFonts w:eastAsia="Calibri"/>
                <w:color w:val="000000"/>
                <w:sz w:val="22"/>
                <w:szCs w:val="22"/>
              </w:rPr>
              <w:t>Verouderd</w:t>
            </w:r>
          </w:p>
        </w:tc>
        <w:tc>
          <w:tcPr>
            <w:tcW w:w="886" w:type="dxa"/>
            <w:tcBorders>
              <w:top w:val="nil"/>
              <w:left w:val="nil"/>
              <w:bottom w:val="single" w:sz="8" w:space="0" w:color="auto"/>
              <w:right w:val="single" w:sz="8" w:space="0" w:color="auto"/>
            </w:tcBorders>
            <w:shd w:val="clear" w:color="auto" w:fill="auto"/>
            <w:noWrap/>
            <w:vAlign w:val="center"/>
            <w:hideMark/>
          </w:tcPr>
          <w:p w:rsidR="00A2654A" w:rsidRDefault="00A2654A">
            <w:pPr>
              <w:jc w:val="right"/>
              <w:rPr>
                <w:color w:val="000000"/>
                <w:sz w:val="22"/>
                <w:szCs w:val="22"/>
              </w:rPr>
            </w:pPr>
            <w:r>
              <w:rPr>
                <w:rFonts w:eastAsia="Calibri"/>
                <w:color w:val="000000"/>
                <w:sz w:val="22"/>
                <w:szCs w:val="22"/>
              </w:rPr>
              <w:t>20</w:t>
            </w:r>
          </w:p>
        </w:tc>
      </w:tr>
      <w:tr w:rsidR="00A2654A" w:rsidTr="007D5947">
        <w:trPr>
          <w:trHeight w:val="60"/>
          <w:jc w:val="center"/>
        </w:trPr>
        <w:tc>
          <w:tcPr>
            <w:tcW w:w="1802" w:type="dxa"/>
            <w:tcBorders>
              <w:top w:val="nil"/>
              <w:left w:val="single" w:sz="8" w:space="0" w:color="auto"/>
              <w:bottom w:val="single" w:sz="8" w:space="0" w:color="auto"/>
              <w:right w:val="single" w:sz="8" w:space="0" w:color="auto"/>
            </w:tcBorders>
            <w:shd w:val="clear" w:color="auto" w:fill="auto"/>
            <w:vAlign w:val="center"/>
            <w:hideMark/>
          </w:tcPr>
          <w:p w:rsidR="00A2654A" w:rsidRDefault="00A2654A">
            <w:pPr>
              <w:rPr>
                <w:color w:val="000000"/>
                <w:sz w:val="22"/>
                <w:szCs w:val="22"/>
              </w:rPr>
            </w:pPr>
            <w:r>
              <w:rPr>
                <w:rFonts w:eastAsia="Calibri"/>
                <w:color w:val="000000"/>
                <w:sz w:val="22"/>
                <w:szCs w:val="22"/>
              </w:rPr>
              <w:t>Voortraject</w:t>
            </w:r>
          </w:p>
        </w:tc>
        <w:tc>
          <w:tcPr>
            <w:tcW w:w="886" w:type="dxa"/>
            <w:tcBorders>
              <w:top w:val="nil"/>
              <w:left w:val="nil"/>
              <w:bottom w:val="single" w:sz="8" w:space="0" w:color="auto"/>
              <w:right w:val="single" w:sz="8" w:space="0" w:color="auto"/>
            </w:tcBorders>
            <w:shd w:val="clear" w:color="auto" w:fill="auto"/>
            <w:noWrap/>
            <w:vAlign w:val="center"/>
            <w:hideMark/>
          </w:tcPr>
          <w:p w:rsidR="00A2654A" w:rsidRDefault="00A2654A">
            <w:pPr>
              <w:jc w:val="right"/>
              <w:rPr>
                <w:color w:val="000000"/>
                <w:sz w:val="22"/>
                <w:szCs w:val="22"/>
              </w:rPr>
            </w:pPr>
            <w:r>
              <w:rPr>
                <w:rFonts w:eastAsia="Calibri"/>
                <w:color w:val="000000"/>
                <w:sz w:val="22"/>
                <w:szCs w:val="22"/>
              </w:rPr>
              <w:t>6</w:t>
            </w:r>
          </w:p>
        </w:tc>
      </w:tr>
      <w:tr w:rsidR="00A2654A" w:rsidTr="007D5947">
        <w:trPr>
          <w:trHeight w:val="60"/>
          <w:jc w:val="center"/>
        </w:trPr>
        <w:tc>
          <w:tcPr>
            <w:tcW w:w="1802" w:type="dxa"/>
            <w:tcBorders>
              <w:top w:val="nil"/>
              <w:left w:val="single" w:sz="8" w:space="0" w:color="auto"/>
              <w:bottom w:val="single" w:sz="8" w:space="0" w:color="auto"/>
              <w:right w:val="single" w:sz="8" w:space="0" w:color="auto"/>
            </w:tcBorders>
            <w:shd w:val="clear" w:color="auto" w:fill="auto"/>
            <w:vAlign w:val="center"/>
            <w:hideMark/>
          </w:tcPr>
          <w:p w:rsidR="00A2654A" w:rsidRDefault="00A2654A">
            <w:pPr>
              <w:rPr>
                <w:color w:val="000000"/>
                <w:sz w:val="22"/>
                <w:szCs w:val="22"/>
              </w:rPr>
            </w:pPr>
            <w:r>
              <w:rPr>
                <w:rFonts w:eastAsia="Calibri"/>
                <w:color w:val="000000"/>
                <w:sz w:val="22"/>
                <w:szCs w:val="22"/>
              </w:rPr>
              <w:t>Wetenschapspark</w:t>
            </w:r>
          </w:p>
        </w:tc>
        <w:tc>
          <w:tcPr>
            <w:tcW w:w="886" w:type="dxa"/>
            <w:tcBorders>
              <w:top w:val="nil"/>
              <w:left w:val="nil"/>
              <w:bottom w:val="single" w:sz="8" w:space="0" w:color="auto"/>
              <w:right w:val="single" w:sz="8" w:space="0" w:color="auto"/>
            </w:tcBorders>
            <w:shd w:val="clear" w:color="auto" w:fill="auto"/>
            <w:noWrap/>
            <w:vAlign w:val="center"/>
            <w:hideMark/>
          </w:tcPr>
          <w:p w:rsidR="00A2654A" w:rsidRDefault="00A2654A">
            <w:pPr>
              <w:jc w:val="right"/>
              <w:rPr>
                <w:color w:val="000000"/>
                <w:sz w:val="22"/>
                <w:szCs w:val="22"/>
              </w:rPr>
            </w:pPr>
            <w:r>
              <w:rPr>
                <w:rFonts w:eastAsia="Calibri"/>
                <w:color w:val="000000"/>
                <w:sz w:val="22"/>
                <w:szCs w:val="22"/>
              </w:rPr>
              <w:t>2</w:t>
            </w:r>
          </w:p>
        </w:tc>
      </w:tr>
      <w:tr w:rsidR="00A2654A" w:rsidRPr="00A2654A" w:rsidTr="007D5947">
        <w:trPr>
          <w:trHeight w:val="60"/>
          <w:jc w:val="center"/>
        </w:trPr>
        <w:tc>
          <w:tcPr>
            <w:tcW w:w="1802" w:type="dxa"/>
            <w:tcBorders>
              <w:top w:val="single" w:sz="8" w:space="0" w:color="auto"/>
              <w:left w:val="single" w:sz="8" w:space="0" w:color="auto"/>
              <w:bottom w:val="single" w:sz="8" w:space="0" w:color="auto"/>
              <w:right w:val="single" w:sz="8" w:space="0" w:color="auto"/>
            </w:tcBorders>
            <w:shd w:val="pct10" w:color="auto" w:fill="auto"/>
            <w:vAlign w:val="center"/>
            <w:hideMark/>
          </w:tcPr>
          <w:p w:rsidR="00A2654A" w:rsidRPr="00A2654A" w:rsidRDefault="00A2654A">
            <w:pPr>
              <w:rPr>
                <w:b/>
                <w:color w:val="000000"/>
                <w:sz w:val="22"/>
                <w:szCs w:val="22"/>
              </w:rPr>
            </w:pPr>
            <w:r w:rsidRPr="00A2654A">
              <w:rPr>
                <w:b/>
                <w:color w:val="000000"/>
                <w:sz w:val="22"/>
                <w:szCs w:val="22"/>
              </w:rPr>
              <w:t>Totaal</w:t>
            </w:r>
          </w:p>
        </w:tc>
        <w:tc>
          <w:tcPr>
            <w:tcW w:w="886" w:type="dxa"/>
            <w:tcBorders>
              <w:top w:val="single" w:sz="8" w:space="0" w:color="auto"/>
              <w:left w:val="nil"/>
              <w:bottom w:val="single" w:sz="8" w:space="0" w:color="auto"/>
              <w:right w:val="single" w:sz="8" w:space="0" w:color="auto"/>
            </w:tcBorders>
            <w:shd w:val="pct10" w:color="auto" w:fill="auto"/>
            <w:noWrap/>
            <w:vAlign w:val="center"/>
            <w:hideMark/>
          </w:tcPr>
          <w:p w:rsidR="00A2654A" w:rsidRPr="00A2654A" w:rsidRDefault="00A2654A">
            <w:pPr>
              <w:jc w:val="right"/>
              <w:rPr>
                <w:b/>
                <w:color w:val="000000"/>
                <w:sz w:val="22"/>
                <w:szCs w:val="22"/>
              </w:rPr>
            </w:pPr>
            <w:r w:rsidRPr="00A2654A">
              <w:rPr>
                <w:b/>
                <w:color w:val="000000"/>
                <w:sz w:val="22"/>
                <w:szCs w:val="22"/>
              </w:rPr>
              <w:t>80</w:t>
            </w:r>
          </w:p>
        </w:tc>
      </w:tr>
    </w:tbl>
    <w:p w:rsidR="00A2654A" w:rsidRPr="00A2654A" w:rsidRDefault="00A2654A" w:rsidP="00A2654A">
      <w:pPr>
        <w:pStyle w:val="Geenafstand"/>
        <w:ind w:left="360"/>
        <w:rPr>
          <w:sz w:val="22"/>
          <w:szCs w:val="22"/>
        </w:rPr>
      </w:pPr>
    </w:p>
    <w:p w:rsidR="003D0BB8" w:rsidRPr="003D0BB8" w:rsidRDefault="008010DB" w:rsidP="00A2654A">
      <w:pPr>
        <w:pStyle w:val="Geenafstand"/>
        <w:ind w:left="360"/>
        <w:rPr>
          <w:sz w:val="22"/>
          <w:szCs w:val="22"/>
        </w:rPr>
      </w:pPr>
      <w:r>
        <w:rPr>
          <w:sz w:val="22"/>
          <w:szCs w:val="22"/>
        </w:rPr>
        <w:t>Dit kan worden verklaard door het feit dat</w:t>
      </w:r>
      <w:r w:rsidR="003D0BB8" w:rsidRPr="00A2654A">
        <w:rPr>
          <w:sz w:val="22"/>
          <w:szCs w:val="22"/>
        </w:rPr>
        <w:t xml:space="preserve"> het aanleggen van een bedrijventerrein verschillende jaren in beslag neemt en de </w:t>
      </w:r>
      <w:r w:rsidR="00A2654A" w:rsidRPr="00A2654A">
        <w:rPr>
          <w:sz w:val="22"/>
          <w:szCs w:val="22"/>
        </w:rPr>
        <w:t>subsidieprocedure a</w:t>
      </w:r>
      <w:r w:rsidR="003D0BB8" w:rsidRPr="00A2654A">
        <w:rPr>
          <w:sz w:val="22"/>
          <w:szCs w:val="22"/>
        </w:rPr>
        <w:t xml:space="preserve">anvangt nog vóór deze werken starten en pas eindigt bij de aanvraag van het subsidiesaldo nadat de laatste werken op het terrein </w:t>
      </w:r>
      <w:r w:rsidR="00A2654A">
        <w:rPr>
          <w:sz w:val="22"/>
          <w:szCs w:val="22"/>
        </w:rPr>
        <w:t xml:space="preserve">zijn </w:t>
      </w:r>
      <w:r w:rsidR="003D0BB8" w:rsidRPr="00A2654A">
        <w:rPr>
          <w:sz w:val="22"/>
          <w:szCs w:val="22"/>
        </w:rPr>
        <w:t>opgeleverd</w:t>
      </w:r>
      <w:r w:rsidR="00A2654A">
        <w:rPr>
          <w:sz w:val="22"/>
          <w:szCs w:val="22"/>
        </w:rPr>
        <w:t>.</w:t>
      </w:r>
    </w:p>
    <w:p w:rsidR="007B527F" w:rsidRPr="003D0BB8" w:rsidRDefault="007B527F" w:rsidP="003D0BB8">
      <w:pPr>
        <w:pStyle w:val="Geenafstand"/>
        <w:rPr>
          <w:sz w:val="22"/>
          <w:szCs w:val="22"/>
        </w:rPr>
      </w:pPr>
    </w:p>
    <w:sectPr w:rsidR="007B527F" w:rsidRPr="003D0BB8" w:rsidSect="003D0BB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1AE737D4"/>
    <w:multiLevelType w:val="hybridMultilevel"/>
    <w:tmpl w:val="44EA45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4A512C1"/>
    <w:multiLevelType w:val="hybridMultilevel"/>
    <w:tmpl w:val="6BDC3120"/>
    <w:lvl w:ilvl="0" w:tplc="49D03334">
      <w:start w:val="2"/>
      <w:numFmt w:val="decimal"/>
      <w:lvlText w:val="%1."/>
      <w:lvlJc w:val="left"/>
      <w:pPr>
        <w:tabs>
          <w:tab w:val="num" w:pos="720"/>
        </w:tabs>
        <w:ind w:left="720" w:hanging="360"/>
      </w:pPr>
      <w:rPr>
        <w:rFonts w:hint="default"/>
      </w:rPr>
    </w:lvl>
    <w:lvl w:ilvl="1" w:tplc="CC02EC0C" w:tentative="1">
      <w:start w:val="1"/>
      <w:numFmt w:val="lowerLetter"/>
      <w:lvlText w:val="%2."/>
      <w:lvlJc w:val="left"/>
      <w:pPr>
        <w:tabs>
          <w:tab w:val="num" w:pos="1440"/>
        </w:tabs>
        <w:ind w:left="1440" w:hanging="360"/>
      </w:pPr>
    </w:lvl>
    <w:lvl w:ilvl="2" w:tplc="306C006A" w:tentative="1">
      <w:start w:val="1"/>
      <w:numFmt w:val="lowerRoman"/>
      <w:lvlText w:val="%3."/>
      <w:lvlJc w:val="right"/>
      <w:pPr>
        <w:tabs>
          <w:tab w:val="num" w:pos="2160"/>
        </w:tabs>
        <w:ind w:left="2160" w:hanging="180"/>
      </w:pPr>
    </w:lvl>
    <w:lvl w:ilvl="3" w:tplc="3938884C" w:tentative="1">
      <w:start w:val="1"/>
      <w:numFmt w:val="decimal"/>
      <w:lvlText w:val="%4."/>
      <w:lvlJc w:val="left"/>
      <w:pPr>
        <w:tabs>
          <w:tab w:val="num" w:pos="2880"/>
        </w:tabs>
        <w:ind w:left="2880" w:hanging="360"/>
      </w:pPr>
    </w:lvl>
    <w:lvl w:ilvl="4" w:tplc="33EC2BD6" w:tentative="1">
      <w:start w:val="1"/>
      <w:numFmt w:val="lowerLetter"/>
      <w:lvlText w:val="%5."/>
      <w:lvlJc w:val="left"/>
      <w:pPr>
        <w:tabs>
          <w:tab w:val="num" w:pos="3600"/>
        </w:tabs>
        <w:ind w:left="3600" w:hanging="360"/>
      </w:pPr>
    </w:lvl>
    <w:lvl w:ilvl="5" w:tplc="1772B9FA" w:tentative="1">
      <w:start w:val="1"/>
      <w:numFmt w:val="lowerRoman"/>
      <w:lvlText w:val="%6."/>
      <w:lvlJc w:val="right"/>
      <w:pPr>
        <w:tabs>
          <w:tab w:val="num" w:pos="4320"/>
        </w:tabs>
        <w:ind w:left="4320" w:hanging="180"/>
      </w:pPr>
    </w:lvl>
    <w:lvl w:ilvl="6" w:tplc="25ACB16E" w:tentative="1">
      <w:start w:val="1"/>
      <w:numFmt w:val="decimal"/>
      <w:lvlText w:val="%7."/>
      <w:lvlJc w:val="left"/>
      <w:pPr>
        <w:tabs>
          <w:tab w:val="num" w:pos="5040"/>
        </w:tabs>
        <w:ind w:left="5040" w:hanging="360"/>
      </w:pPr>
    </w:lvl>
    <w:lvl w:ilvl="7" w:tplc="55C4CC26" w:tentative="1">
      <w:start w:val="1"/>
      <w:numFmt w:val="lowerLetter"/>
      <w:lvlText w:val="%8."/>
      <w:lvlJc w:val="left"/>
      <w:pPr>
        <w:tabs>
          <w:tab w:val="num" w:pos="5760"/>
        </w:tabs>
        <w:ind w:left="5760" w:hanging="360"/>
      </w:pPr>
    </w:lvl>
    <w:lvl w:ilvl="8" w:tplc="60C85E50" w:tentative="1">
      <w:start w:val="1"/>
      <w:numFmt w:val="lowerRoman"/>
      <w:lvlText w:val="%9."/>
      <w:lvlJc w:val="right"/>
      <w:pPr>
        <w:tabs>
          <w:tab w:val="num" w:pos="6480"/>
        </w:tabs>
        <w:ind w:left="6480" w:hanging="180"/>
      </w:pPr>
    </w:lvl>
  </w:abstractNum>
  <w:abstractNum w:abstractNumId="3">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0E1C7D"/>
    <w:multiLevelType w:val="hybridMultilevel"/>
    <w:tmpl w:val="6D06DC5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0"/>
    <w:rsid w:val="00045E43"/>
    <w:rsid w:val="00051EFC"/>
    <w:rsid w:val="00091AB4"/>
    <w:rsid w:val="00157A87"/>
    <w:rsid w:val="001747B4"/>
    <w:rsid w:val="001F0937"/>
    <w:rsid w:val="0025053C"/>
    <w:rsid w:val="002730B7"/>
    <w:rsid w:val="00276BA4"/>
    <w:rsid w:val="002951F1"/>
    <w:rsid w:val="003D0BB8"/>
    <w:rsid w:val="003F450F"/>
    <w:rsid w:val="004E0293"/>
    <w:rsid w:val="005431C7"/>
    <w:rsid w:val="006114A2"/>
    <w:rsid w:val="006A324D"/>
    <w:rsid w:val="006E19F2"/>
    <w:rsid w:val="006F7264"/>
    <w:rsid w:val="007520D5"/>
    <w:rsid w:val="007A666B"/>
    <w:rsid w:val="007B527F"/>
    <w:rsid w:val="007D5947"/>
    <w:rsid w:val="008010DB"/>
    <w:rsid w:val="009976C1"/>
    <w:rsid w:val="009E2C40"/>
    <w:rsid w:val="00A2654A"/>
    <w:rsid w:val="00AB0AA4"/>
    <w:rsid w:val="00B30595"/>
    <w:rsid w:val="00CC2575"/>
    <w:rsid w:val="00CD3308"/>
    <w:rsid w:val="00D522C8"/>
    <w:rsid w:val="00D9019B"/>
    <w:rsid w:val="00E55F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styleId="Lijstalinea">
    <w:name w:val="List Paragraph"/>
    <w:basedOn w:val="Standaard"/>
    <w:uiPriority w:val="34"/>
    <w:qFormat/>
    <w:rsid w:val="003D0BB8"/>
    <w:pPr>
      <w:spacing w:after="200" w:line="276" w:lineRule="auto"/>
      <w:ind w:left="720"/>
      <w:contextualSpacing/>
    </w:pPr>
    <w:rPr>
      <w:rFonts w:ascii="Calibri" w:eastAsia="Calibri" w:hAnsi="Calibri"/>
      <w:sz w:val="22"/>
      <w:szCs w:val="22"/>
      <w:lang w:val="nl-BE" w:eastAsia="en-US"/>
    </w:rPr>
  </w:style>
  <w:style w:type="paragraph" w:customStyle="1" w:styleId="SVVlaamsParlement">
    <w:name w:val="SV Vlaams Parlement"/>
    <w:basedOn w:val="Standaard"/>
    <w:rsid w:val="003D0BB8"/>
    <w:pPr>
      <w:jc w:val="both"/>
    </w:pPr>
    <w:rPr>
      <w:b/>
      <w:smallCaps/>
      <w:sz w:val="22"/>
      <w:szCs w:val="20"/>
    </w:rPr>
  </w:style>
  <w:style w:type="table" w:styleId="Tabelraster">
    <w:name w:val="Table Grid"/>
    <w:basedOn w:val="Standaardtabel"/>
    <w:uiPriority w:val="59"/>
    <w:rsid w:val="003D0B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3D0BB8"/>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styleId="Lijstalinea">
    <w:name w:val="List Paragraph"/>
    <w:basedOn w:val="Standaard"/>
    <w:uiPriority w:val="34"/>
    <w:qFormat/>
    <w:rsid w:val="003D0BB8"/>
    <w:pPr>
      <w:spacing w:after="200" w:line="276" w:lineRule="auto"/>
      <w:ind w:left="720"/>
      <w:contextualSpacing/>
    </w:pPr>
    <w:rPr>
      <w:rFonts w:ascii="Calibri" w:eastAsia="Calibri" w:hAnsi="Calibri"/>
      <w:sz w:val="22"/>
      <w:szCs w:val="22"/>
      <w:lang w:val="nl-BE" w:eastAsia="en-US"/>
    </w:rPr>
  </w:style>
  <w:style w:type="paragraph" w:customStyle="1" w:styleId="SVVlaamsParlement">
    <w:name w:val="SV Vlaams Parlement"/>
    <w:basedOn w:val="Standaard"/>
    <w:rsid w:val="003D0BB8"/>
    <w:pPr>
      <w:jc w:val="both"/>
    </w:pPr>
    <w:rPr>
      <w:b/>
      <w:smallCaps/>
      <w:sz w:val="22"/>
      <w:szCs w:val="20"/>
    </w:rPr>
  </w:style>
  <w:style w:type="table" w:styleId="Tabelraster">
    <w:name w:val="Table Grid"/>
    <w:basedOn w:val="Standaardtabel"/>
    <w:uiPriority w:val="59"/>
    <w:rsid w:val="003D0B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3D0BB8"/>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8425">
      <w:bodyDiv w:val="1"/>
      <w:marLeft w:val="0"/>
      <w:marRight w:val="0"/>
      <w:marTop w:val="0"/>
      <w:marBottom w:val="0"/>
      <w:divBdr>
        <w:top w:val="none" w:sz="0" w:space="0" w:color="auto"/>
        <w:left w:val="none" w:sz="0" w:space="0" w:color="auto"/>
        <w:bottom w:val="none" w:sz="0" w:space="0" w:color="auto"/>
        <w:right w:val="none" w:sz="0" w:space="0" w:color="auto"/>
      </w:divBdr>
    </w:div>
    <w:div w:id="1123963601">
      <w:bodyDiv w:val="1"/>
      <w:marLeft w:val="0"/>
      <w:marRight w:val="0"/>
      <w:marTop w:val="0"/>
      <w:marBottom w:val="0"/>
      <w:divBdr>
        <w:top w:val="none" w:sz="0" w:space="0" w:color="auto"/>
        <w:left w:val="none" w:sz="0" w:space="0" w:color="auto"/>
        <w:bottom w:val="none" w:sz="0" w:space="0" w:color="auto"/>
        <w:right w:val="none" w:sz="0" w:space="0" w:color="auto"/>
      </w:divBdr>
    </w:div>
    <w:div w:id="1207765798">
      <w:bodyDiv w:val="1"/>
      <w:marLeft w:val="0"/>
      <w:marRight w:val="0"/>
      <w:marTop w:val="0"/>
      <w:marBottom w:val="0"/>
      <w:divBdr>
        <w:top w:val="none" w:sz="0" w:space="0" w:color="auto"/>
        <w:left w:val="none" w:sz="0" w:space="0" w:color="auto"/>
        <w:bottom w:val="none" w:sz="0" w:space="0" w:color="auto"/>
        <w:right w:val="none" w:sz="0" w:space="0" w:color="auto"/>
      </w:divBdr>
    </w:div>
    <w:div w:id="2026637610">
      <w:bodyDiv w:val="1"/>
      <w:marLeft w:val="0"/>
      <w:marRight w:val="0"/>
      <w:marTop w:val="0"/>
      <w:marBottom w:val="0"/>
      <w:divBdr>
        <w:top w:val="none" w:sz="0" w:space="0" w:color="auto"/>
        <w:left w:val="none" w:sz="0" w:space="0" w:color="auto"/>
        <w:bottom w:val="none" w:sz="0" w:space="0" w:color="auto"/>
        <w:right w:val="none" w:sz="0" w:space="0" w:color="auto"/>
      </w:divBdr>
    </w:div>
    <w:div w:id="21175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87CD-BB01-4C67-98FD-AFBF616F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Schriftelijke vraag - antwoord - bijlage 3</Template>
  <TotalTime>0</TotalTime>
  <Pages>2</Pages>
  <Words>426</Words>
  <Characters>2343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wro</cp:lastModifiedBy>
  <cp:revision>2</cp:revision>
  <cp:lastPrinted>2012-03-23T14:36:00Z</cp:lastPrinted>
  <dcterms:created xsi:type="dcterms:W3CDTF">2012-04-03T14:29:00Z</dcterms:created>
  <dcterms:modified xsi:type="dcterms:W3CDTF">2012-04-03T14:29:00Z</dcterms:modified>
</cp:coreProperties>
</file>