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9B" w:rsidRPr="009C1C5D" w:rsidRDefault="004D5B23" w:rsidP="00B93773">
      <w:pPr>
        <w:pStyle w:val="A-NaamMinister"/>
        <w:tabs>
          <w:tab w:val="left" w:pos="2436"/>
        </w:tabs>
        <w:outlineLvl w:val="0"/>
        <w:rPr>
          <w:szCs w:val="22"/>
        </w:rPr>
      </w:pPr>
      <w:r>
        <w:rPr>
          <w:szCs w:val="22"/>
        </w:rPr>
        <w:t>k</w:t>
      </w:r>
      <w:r w:rsidR="00B544A0" w:rsidRPr="009C1C5D">
        <w:rPr>
          <w:szCs w:val="22"/>
        </w:rPr>
        <w:t xml:space="preserve">ris </w:t>
      </w:r>
      <w:proofErr w:type="spellStart"/>
      <w:r>
        <w:rPr>
          <w:szCs w:val="22"/>
        </w:rPr>
        <w:t>p</w:t>
      </w:r>
      <w:r w:rsidR="00B544A0" w:rsidRPr="009C1C5D">
        <w:rPr>
          <w:szCs w:val="22"/>
        </w:rPr>
        <w:t>eeters</w:t>
      </w:r>
      <w:proofErr w:type="spellEnd"/>
    </w:p>
    <w:p w:rsidR="0087539B" w:rsidRPr="009C1C5D" w:rsidRDefault="007E470F" w:rsidP="009F0FB2">
      <w:pPr>
        <w:pStyle w:val="A-NaamMinister"/>
        <w:rPr>
          <w:b w:val="0"/>
          <w:szCs w:val="22"/>
        </w:rPr>
      </w:pPr>
      <w:bookmarkStart w:id="0" w:name="Text2"/>
      <w:r w:rsidRPr="009C1C5D">
        <w:rPr>
          <w:b w:val="0"/>
          <w:szCs w:val="22"/>
        </w:rPr>
        <w:t>minister-p</w:t>
      </w:r>
      <w:r w:rsidR="00B544A0" w:rsidRPr="009C1C5D">
        <w:rPr>
          <w:b w:val="0"/>
          <w:szCs w:val="22"/>
        </w:rPr>
        <w:t xml:space="preserve">resident van de </w:t>
      </w:r>
      <w:proofErr w:type="spellStart"/>
      <w:r w:rsidR="004D5B23">
        <w:rPr>
          <w:b w:val="0"/>
          <w:szCs w:val="22"/>
        </w:rPr>
        <w:t>vl</w:t>
      </w:r>
      <w:r w:rsidRPr="009C1C5D">
        <w:rPr>
          <w:b w:val="0"/>
          <w:szCs w:val="22"/>
        </w:rPr>
        <w:t>aamse</w:t>
      </w:r>
      <w:proofErr w:type="spellEnd"/>
      <w:r w:rsidRPr="009C1C5D">
        <w:rPr>
          <w:b w:val="0"/>
          <w:szCs w:val="22"/>
        </w:rPr>
        <w:t xml:space="preserve"> r</w:t>
      </w:r>
      <w:r w:rsidR="00FF75FD" w:rsidRPr="009C1C5D">
        <w:rPr>
          <w:b w:val="0"/>
          <w:szCs w:val="22"/>
        </w:rPr>
        <w:t>egering</w:t>
      </w:r>
      <w:r w:rsidRPr="009C1C5D">
        <w:rPr>
          <w:b w:val="0"/>
          <w:szCs w:val="22"/>
        </w:rPr>
        <w:t xml:space="preserve">, </w:t>
      </w:r>
      <w:proofErr w:type="spellStart"/>
      <w:r w:rsidR="004D5B23">
        <w:rPr>
          <w:b w:val="0"/>
          <w:szCs w:val="22"/>
        </w:rPr>
        <w:t>v</w:t>
      </w:r>
      <w:r w:rsidRPr="009C1C5D">
        <w:rPr>
          <w:b w:val="0"/>
          <w:szCs w:val="22"/>
        </w:rPr>
        <w:t>laams</w:t>
      </w:r>
      <w:proofErr w:type="spellEnd"/>
      <w:r w:rsidRPr="009C1C5D">
        <w:rPr>
          <w:b w:val="0"/>
          <w:szCs w:val="22"/>
        </w:rPr>
        <w:t xml:space="preserve"> m</w:t>
      </w:r>
      <w:r w:rsidR="00B544A0" w:rsidRPr="009C1C5D">
        <w:rPr>
          <w:b w:val="0"/>
          <w:szCs w:val="22"/>
        </w:rPr>
        <w:t xml:space="preserve">inister van </w:t>
      </w:r>
      <w:bookmarkEnd w:id="0"/>
      <w:r w:rsidRPr="009C1C5D">
        <w:rPr>
          <w:b w:val="0"/>
          <w:szCs w:val="22"/>
        </w:rPr>
        <w:t>economie, buitenlands beleid, landbouw en p</w:t>
      </w:r>
      <w:r w:rsidR="001070AF" w:rsidRPr="009C1C5D">
        <w:rPr>
          <w:b w:val="0"/>
          <w:szCs w:val="22"/>
        </w:rPr>
        <w:t>lattelandsbeleid</w:t>
      </w:r>
    </w:p>
    <w:p w:rsidR="0087539B" w:rsidRPr="009C1C5D" w:rsidRDefault="0087539B">
      <w:pPr>
        <w:rPr>
          <w:sz w:val="22"/>
          <w:szCs w:val="22"/>
        </w:rPr>
      </w:pPr>
    </w:p>
    <w:p w:rsidR="0087539B" w:rsidRPr="009C1C5D" w:rsidRDefault="0087539B">
      <w:pPr>
        <w:pStyle w:val="A-Lijn"/>
        <w:rPr>
          <w:szCs w:val="22"/>
        </w:rPr>
      </w:pPr>
    </w:p>
    <w:p w:rsidR="0087539B" w:rsidRPr="009C1C5D" w:rsidRDefault="0087539B">
      <w:pPr>
        <w:pStyle w:val="A-Type"/>
        <w:rPr>
          <w:szCs w:val="22"/>
        </w:rPr>
        <w:sectPr w:rsidR="0087539B" w:rsidRPr="009C1C5D" w:rsidSect="00FA7C02">
          <w:pgSz w:w="11906" w:h="16838"/>
          <w:pgMar w:top="1418" w:right="1418" w:bottom="1134" w:left="1418" w:header="709" w:footer="709" w:gutter="0"/>
          <w:cols w:space="708"/>
        </w:sectPr>
      </w:pPr>
    </w:p>
    <w:p w:rsidR="00AB01CB" w:rsidRDefault="004D5B23" w:rsidP="005B5FD6">
      <w:pPr>
        <w:jc w:val="both"/>
        <w:rPr>
          <w:sz w:val="22"/>
          <w:szCs w:val="22"/>
        </w:rPr>
      </w:pPr>
      <w:r>
        <w:rPr>
          <w:b/>
          <w:smallCaps/>
          <w:sz w:val="22"/>
          <w:szCs w:val="22"/>
        </w:rPr>
        <w:lastRenderedPageBreak/>
        <w:t>a</w:t>
      </w:r>
      <w:r w:rsidR="00FD1753" w:rsidRPr="00AB01CB">
        <w:rPr>
          <w:b/>
          <w:smallCaps/>
          <w:sz w:val="22"/>
          <w:szCs w:val="22"/>
        </w:rPr>
        <w:t>ntwoord</w:t>
      </w:r>
      <w:r w:rsidR="00FD1753">
        <w:rPr>
          <w:sz w:val="22"/>
          <w:szCs w:val="22"/>
        </w:rPr>
        <w:t xml:space="preserve"> </w:t>
      </w:r>
    </w:p>
    <w:p w:rsidR="005B5FD6" w:rsidRPr="009C1C5D" w:rsidRDefault="00FD1753" w:rsidP="005B5FD6">
      <w:pPr>
        <w:jc w:val="both"/>
        <w:rPr>
          <w:sz w:val="22"/>
          <w:szCs w:val="22"/>
        </w:rPr>
      </w:pPr>
      <w:r>
        <w:rPr>
          <w:sz w:val="22"/>
          <w:szCs w:val="22"/>
        </w:rPr>
        <w:t xml:space="preserve">op </w:t>
      </w:r>
      <w:r w:rsidR="001B5C0A">
        <w:rPr>
          <w:sz w:val="22"/>
          <w:szCs w:val="22"/>
        </w:rPr>
        <w:t>v</w:t>
      </w:r>
      <w:r w:rsidR="00972FBD" w:rsidRPr="009C1C5D">
        <w:rPr>
          <w:sz w:val="22"/>
          <w:szCs w:val="22"/>
        </w:rPr>
        <w:t xml:space="preserve">raag nr. </w:t>
      </w:r>
      <w:r w:rsidR="00037299">
        <w:rPr>
          <w:sz w:val="22"/>
          <w:szCs w:val="22"/>
        </w:rPr>
        <w:t>261</w:t>
      </w:r>
      <w:r>
        <w:rPr>
          <w:sz w:val="22"/>
          <w:szCs w:val="22"/>
        </w:rPr>
        <w:t xml:space="preserve"> </w:t>
      </w:r>
      <w:r w:rsidR="007165BA">
        <w:rPr>
          <w:sz w:val="22"/>
          <w:szCs w:val="22"/>
        </w:rPr>
        <w:t>van</w:t>
      </w:r>
      <w:r w:rsidR="007E3E29">
        <w:rPr>
          <w:sz w:val="22"/>
          <w:szCs w:val="22"/>
        </w:rPr>
        <w:t xml:space="preserve"> </w:t>
      </w:r>
      <w:r w:rsidR="00037299">
        <w:rPr>
          <w:sz w:val="22"/>
          <w:szCs w:val="22"/>
        </w:rPr>
        <w:t>8</w:t>
      </w:r>
      <w:r w:rsidR="00575ED6">
        <w:rPr>
          <w:sz w:val="22"/>
          <w:szCs w:val="22"/>
        </w:rPr>
        <w:t xml:space="preserve"> </w:t>
      </w:r>
      <w:r w:rsidR="00561DA4">
        <w:rPr>
          <w:sz w:val="22"/>
          <w:szCs w:val="22"/>
        </w:rPr>
        <w:t>maart</w:t>
      </w:r>
      <w:r w:rsidR="00575ED6">
        <w:rPr>
          <w:sz w:val="22"/>
          <w:szCs w:val="22"/>
        </w:rPr>
        <w:t xml:space="preserve"> 2012</w:t>
      </w:r>
    </w:p>
    <w:p w:rsidR="005B5FD6" w:rsidRPr="008B753D" w:rsidRDefault="005B5FD6" w:rsidP="005B5FD6">
      <w:pPr>
        <w:jc w:val="both"/>
        <w:rPr>
          <w:rFonts w:ascii="Times New Roman Vet" w:hAnsi="Times New Roman Vet"/>
          <w:b/>
          <w:smallCaps/>
          <w:sz w:val="22"/>
          <w:szCs w:val="22"/>
        </w:rPr>
      </w:pPr>
      <w:r w:rsidRPr="009C1C5D">
        <w:rPr>
          <w:sz w:val="22"/>
          <w:szCs w:val="22"/>
        </w:rPr>
        <w:t>va</w:t>
      </w:r>
      <w:r w:rsidR="009F5B05">
        <w:rPr>
          <w:sz w:val="22"/>
          <w:szCs w:val="22"/>
        </w:rPr>
        <w:t>n</w:t>
      </w:r>
      <w:r w:rsidR="00D8584E">
        <w:rPr>
          <w:sz w:val="22"/>
          <w:szCs w:val="22"/>
        </w:rPr>
        <w:t xml:space="preserve"> </w:t>
      </w:r>
      <w:proofErr w:type="spellStart"/>
      <w:r w:rsidR="00037299">
        <w:rPr>
          <w:rFonts w:ascii="Times New Roman Vet" w:hAnsi="Times New Roman Vet"/>
          <w:b/>
          <w:smallCaps/>
          <w:sz w:val="22"/>
          <w:szCs w:val="22"/>
        </w:rPr>
        <w:t>matthias</w:t>
      </w:r>
      <w:proofErr w:type="spellEnd"/>
      <w:r w:rsidR="00037299">
        <w:rPr>
          <w:rFonts w:ascii="Times New Roman Vet" w:hAnsi="Times New Roman Vet"/>
          <w:b/>
          <w:smallCaps/>
          <w:sz w:val="22"/>
          <w:szCs w:val="22"/>
        </w:rPr>
        <w:t xml:space="preserve"> </w:t>
      </w:r>
      <w:proofErr w:type="spellStart"/>
      <w:r w:rsidR="00037299">
        <w:rPr>
          <w:rFonts w:ascii="Times New Roman Vet" w:hAnsi="Times New Roman Vet"/>
          <w:b/>
          <w:smallCaps/>
          <w:sz w:val="22"/>
          <w:szCs w:val="22"/>
        </w:rPr>
        <w:t>diependaele</w:t>
      </w:r>
      <w:proofErr w:type="spellEnd"/>
    </w:p>
    <w:p w:rsidR="005B5FD6" w:rsidRPr="009C1C5D" w:rsidRDefault="005B5FD6" w:rsidP="005B5FD6">
      <w:pPr>
        <w:pBdr>
          <w:bottom w:val="single" w:sz="4" w:space="1" w:color="auto"/>
        </w:pBdr>
        <w:jc w:val="both"/>
        <w:rPr>
          <w:sz w:val="22"/>
          <w:szCs w:val="22"/>
        </w:rPr>
      </w:pPr>
    </w:p>
    <w:p w:rsidR="005E70C1" w:rsidRDefault="005E70C1" w:rsidP="005E70C1">
      <w:pPr>
        <w:pStyle w:val="StandaardSV"/>
        <w:rPr>
          <w:szCs w:val="22"/>
        </w:rPr>
      </w:pPr>
    </w:p>
    <w:p w:rsidR="00EB725D" w:rsidRDefault="00EB725D" w:rsidP="005E70C1">
      <w:pPr>
        <w:pStyle w:val="StandaardSV"/>
        <w:rPr>
          <w:szCs w:val="22"/>
        </w:rPr>
      </w:pPr>
    </w:p>
    <w:p w:rsidR="005E70C1" w:rsidRDefault="005E70C1" w:rsidP="004D5B23">
      <w:pPr>
        <w:pStyle w:val="StandaardSV"/>
        <w:numPr>
          <w:ilvl w:val="0"/>
          <w:numId w:val="3"/>
        </w:numPr>
        <w:rPr>
          <w:szCs w:val="22"/>
        </w:rPr>
      </w:pPr>
      <w:r>
        <w:rPr>
          <w:szCs w:val="22"/>
        </w:rPr>
        <w:t>Onderstaande tabel geeft een overzicht van de totale waarde aan goederen en diensten die door ons land werden geleverd aan CERN van 2007 tot 2011.</w:t>
      </w:r>
      <w:r w:rsidR="001201FF">
        <w:rPr>
          <w:szCs w:val="22"/>
        </w:rPr>
        <w:t xml:space="preserve"> De eerste kolom vermel</w:t>
      </w:r>
      <w:r w:rsidR="009B0313">
        <w:rPr>
          <w:szCs w:val="22"/>
        </w:rPr>
        <w:t>dt de waarde in Zwitserse frank. D</w:t>
      </w:r>
      <w:r w:rsidR="001201FF">
        <w:rPr>
          <w:szCs w:val="22"/>
        </w:rPr>
        <w:t xml:space="preserve">e tweede kolom </w:t>
      </w:r>
      <w:r w:rsidR="009B0313">
        <w:rPr>
          <w:szCs w:val="22"/>
        </w:rPr>
        <w:t xml:space="preserve">geeft </w:t>
      </w:r>
      <w:r w:rsidR="001201FF">
        <w:rPr>
          <w:szCs w:val="22"/>
        </w:rPr>
        <w:t xml:space="preserve">de waarde in euro </w:t>
      </w:r>
      <w:r w:rsidR="009B0313">
        <w:rPr>
          <w:szCs w:val="22"/>
        </w:rPr>
        <w:t>weer, omgerekend op basis van</w:t>
      </w:r>
      <w:r w:rsidR="001201FF">
        <w:rPr>
          <w:szCs w:val="22"/>
        </w:rPr>
        <w:t xml:space="preserve"> de gemiddelde wisselkoers van het jaar waarop het cijfer betrekking heeft. De derde kolom geeft de status weer van </w:t>
      </w:r>
      <w:r w:rsidR="00D15297">
        <w:rPr>
          <w:szCs w:val="22"/>
        </w:rPr>
        <w:t>België als leverancier, waarbij WB staat voor ‘Well-</w:t>
      </w:r>
      <w:proofErr w:type="spellStart"/>
      <w:r w:rsidR="00D15297">
        <w:rPr>
          <w:szCs w:val="22"/>
        </w:rPr>
        <w:t>Balanced</w:t>
      </w:r>
      <w:proofErr w:type="spellEnd"/>
      <w:r w:rsidR="00D15297">
        <w:rPr>
          <w:szCs w:val="22"/>
        </w:rPr>
        <w:t>’ en PB voor ‘</w:t>
      </w:r>
      <w:proofErr w:type="spellStart"/>
      <w:r w:rsidR="00D15297">
        <w:rPr>
          <w:szCs w:val="22"/>
        </w:rPr>
        <w:t>Poorly</w:t>
      </w:r>
      <w:proofErr w:type="spellEnd"/>
      <w:r w:rsidR="00D15297">
        <w:rPr>
          <w:szCs w:val="22"/>
        </w:rPr>
        <w:t xml:space="preserve"> </w:t>
      </w:r>
      <w:proofErr w:type="spellStart"/>
      <w:r w:rsidR="00D15297">
        <w:rPr>
          <w:szCs w:val="22"/>
        </w:rPr>
        <w:t>Balanced</w:t>
      </w:r>
      <w:proofErr w:type="spellEnd"/>
      <w:r w:rsidR="00D15297">
        <w:rPr>
          <w:szCs w:val="22"/>
        </w:rPr>
        <w:t>’.</w:t>
      </w:r>
    </w:p>
    <w:p w:rsidR="005E70C1" w:rsidRDefault="005E70C1" w:rsidP="005E70C1">
      <w:pPr>
        <w:pStyle w:val="StandaardSV"/>
        <w:rPr>
          <w:szCs w:val="22"/>
        </w:rPr>
      </w:pPr>
    </w:p>
    <w:tbl>
      <w:tblPr>
        <w:tblStyle w:val="Eenvoudigetabel1"/>
        <w:tblW w:w="0" w:type="auto"/>
        <w:tblInd w:w="392" w:type="dxa"/>
        <w:tblLook w:val="04A0" w:firstRow="1" w:lastRow="0" w:firstColumn="1" w:lastColumn="0" w:noHBand="0" w:noVBand="1"/>
      </w:tblPr>
      <w:tblGrid>
        <w:gridCol w:w="992"/>
        <w:gridCol w:w="1299"/>
        <w:gridCol w:w="1299"/>
        <w:gridCol w:w="1300"/>
        <w:gridCol w:w="1299"/>
        <w:gridCol w:w="1299"/>
        <w:gridCol w:w="1300"/>
      </w:tblGrid>
      <w:tr w:rsidR="000F5EAE" w:rsidTr="00B026DA">
        <w:trPr>
          <w:cnfStyle w:val="100000000000" w:firstRow="1" w:lastRow="0" w:firstColumn="0" w:lastColumn="0" w:oddVBand="0" w:evenVBand="0" w:oddHBand="0" w:evenHBand="0" w:firstRowFirstColumn="0" w:firstRowLastColumn="0" w:lastRowFirstColumn="0" w:lastRowLastColumn="0"/>
        </w:trPr>
        <w:tc>
          <w:tcPr>
            <w:tcW w:w="992" w:type="dxa"/>
            <w:tcBorders>
              <w:top w:val="single" w:sz="12" w:space="0" w:color="000000" w:themeColor="text1"/>
              <w:bottom w:val="nil"/>
              <w:right w:val="single" w:sz="4" w:space="0" w:color="auto"/>
            </w:tcBorders>
          </w:tcPr>
          <w:p w:rsidR="000F5EAE" w:rsidRDefault="000F5EAE" w:rsidP="00D15297">
            <w:pPr>
              <w:pStyle w:val="StandaardSV"/>
              <w:jc w:val="center"/>
              <w:rPr>
                <w:szCs w:val="22"/>
              </w:rPr>
            </w:pPr>
          </w:p>
        </w:tc>
        <w:tc>
          <w:tcPr>
            <w:tcW w:w="3898" w:type="dxa"/>
            <w:gridSpan w:val="3"/>
            <w:tcBorders>
              <w:top w:val="single" w:sz="12" w:space="0" w:color="000000" w:themeColor="text1"/>
              <w:left w:val="single" w:sz="4" w:space="0" w:color="auto"/>
              <w:bottom w:val="nil"/>
              <w:right w:val="single" w:sz="4" w:space="0" w:color="000000" w:themeColor="text1"/>
            </w:tcBorders>
          </w:tcPr>
          <w:p w:rsidR="000F5EAE" w:rsidRDefault="000F5EAE" w:rsidP="00D15297">
            <w:pPr>
              <w:pStyle w:val="StandaardSV"/>
              <w:jc w:val="center"/>
              <w:rPr>
                <w:szCs w:val="22"/>
              </w:rPr>
            </w:pPr>
            <w:r>
              <w:rPr>
                <w:szCs w:val="22"/>
              </w:rPr>
              <w:t>Goederen</w:t>
            </w:r>
          </w:p>
        </w:tc>
        <w:tc>
          <w:tcPr>
            <w:tcW w:w="3898" w:type="dxa"/>
            <w:gridSpan w:val="3"/>
            <w:tcBorders>
              <w:top w:val="single" w:sz="12" w:space="0" w:color="000000" w:themeColor="text1"/>
              <w:left w:val="single" w:sz="4" w:space="0" w:color="000000" w:themeColor="text1"/>
              <w:bottom w:val="nil"/>
            </w:tcBorders>
          </w:tcPr>
          <w:p w:rsidR="000F5EAE" w:rsidRDefault="000F5EAE" w:rsidP="00D15297">
            <w:pPr>
              <w:pStyle w:val="StandaardSV"/>
              <w:jc w:val="center"/>
              <w:rPr>
                <w:szCs w:val="22"/>
              </w:rPr>
            </w:pPr>
            <w:r>
              <w:rPr>
                <w:szCs w:val="22"/>
              </w:rPr>
              <w:t>Diensten</w:t>
            </w:r>
          </w:p>
        </w:tc>
      </w:tr>
      <w:tr w:rsidR="00B026DA" w:rsidTr="00B026DA">
        <w:tc>
          <w:tcPr>
            <w:tcW w:w="992" w:type="dxa"/>
            <w:tcBorders>
              <w:top w:val="nil"/>
              <w:bottom w:val="single" w:sz="4" w:space="0" w:color="auto"/>
              <w:right w:val="single" w:sz="4" w:space="0" w:color="auto"/>
            </w:tcBorders>
            <w:vAlign w:val="center"/>
          </w:tcPr>
          <w:p w:rsidR="000F5EAE" w:rsidRDefault="000F5EAE" w:rsidP="00D15297">
            <w:pPr>
              <w:pStyle w:val="StandaardSV"/>
              <w:jc w:val="center"/>
              <w:rPr>
                <w:szCs w:val="22"/>
              </w:rPr>
            </w:pPr>
          </w:p>
        </w:tc>
        <w:tc>
          <w:tcPr>
            <w:tcW w:w="1299" w:type="dxa"/>
            <w:tcBorders>
              <w:top w:val="nil"/>
              <w:left w:val="single" w:sz="4" w:space="0" w:color="auto"/>
              <w:bottom w:val="single" w:sz="4" w:space="0" w:color="000000" w:themeColor="text1"/>
              <w:right w:val="nil"/>
            </w:tcBorders>
            <w:vAlign w:val="center"/>
          </w:tcPr>
          <w:p w:rsidR="000F5EAE" w:rsidRDefault="000F5EAE" w:rsidP="00D15297">
            <w:pPr>
              <w:pStyle w:val="StandaardSV"/>
              <w:jc w:val="center"/>
              <w:rPr>
                <w:szCs w:val="22"/>
              </w:rPr>
            </w:pPr>
            <w:r>
              <w:rPr>
                <w:szCs w:val="22"/>
              </w:rPr>
              <w:t>CHF</w:t>
            </w:r>
          </w:p>
        </w:tc>
        <w:tc>
          <w:tcPr>
            <w:tcW w:w="1299" w:type="dxa"/>
            <w:tcBorders>
              <w:top w:val="nil"/>
              <w:left w:val="nil"/>
              <w:bottom w:val="single" w:sz="4" w:space="0" w:color="000000" w:themeColor="text1"/>
              <w:right w:val="nil"/>
            </w:tcBorders>
            <w:vAlign w:val="center"/>
          </w:tcPr>
          <w:p w:rsidR="000F5EAE" w:rsidRDefault="000F5EAE" w:rsidP="00D15297">
            <w:pPr>
              <w:pStyle w:val="StandaardSV"/>
              <w:jc w:val="center"/>
              <w:rPr>
                <w:szCs w:val="22"/>
              </w:rPr>
            </w:pPr>
            <w:r>
              <w:rPr>
                <w:szCs w:val="22"/>
              </w:rPr>
              <w:t>EURO</w:t>
            </w:r>
          </w:p>
        </w:tc>
        <w:tc>
          <w:tcPr>
            <w:tcW w:w="1300" w:type="dxa"/>
            <w:tcBorders>
              <w:top w:val="nil"/>
              <w:left w:val="nil"/>
              <w:bottom w:val="single" w:sz="4" w:space="0" w:color="000000" w:themeColor="text1"/>
              <w:right w:val="single" w:sz="4" w:space="0" w:color="000000" w:themeColor="text1"/>
            </w:tcBorders>
            <w:vAlign w:val="center"/>
          </w:tcPr>
          <w:p w:rsidR="000F5EAE" w:rsidRDefault="000F5EAE" w:rsidP="00D15297">
            <w:pPr>
              <w:pStyle w:val="StandaardSV"/>
              <w:jc w:val="center"/>
              <w:rPr>
                <w:szCs w:val="22"/>
              </w:rPr>
            </w:pPr>
            <w:r>
              <w:rPr>
                <w:szCs w:val="22"/>
              </w:rPr>
              <w:t>STATUS</w:t>
            </w:r>
          </w:p>
        </w:tc>
        <w:tc>
          <w:tcPr>
            <w:tcW w:w="1299" w:type="dxa"/>
            <w:tcBorders>
              <w:top w:val="nil"/>
              <w:left w:val="single" w:sz="4" w:space="0" w:color="000000" w:themeColor="text1"/>
              <w:bottom w:val="single" w:sz="4" w:space="0" w:color="000000" w:themeColor="text1"/>
              <w:right w:val="nil"/>
            </w:tcBorders>
            <w:vAlign w:val="center"/>
          </w:tcPr>
          <w:p w:rsidR="000F5EAE" w:rsidRDefault="000F5EAE" w:rsidP="00D15297">
            <w:pPr>
              <w:pStyle w:val="StandaardSV"/>
              <w:jc w:val="center"/>
              <w:rPr>
                <w:szCs w:val="22"/>
              </w:rPr>
            </w:pPr>
            <w:r>
              <w:rPr>
                <w:szCs w:val="22"/>
              </w:rPr>
              <w:t>CHF</w:t>
            </w:r>
          </w:p>
        </w:tc>
        <w:tc>
          <w:tcPr>
            <w:tcW w:w="1299" w:type="dxa"/>
            <w:tcBorders>
              <w:top w:val="nil"/>
              <w:left w:val="nil"/>
              <w:bottom w:val="single" w:sz="4" w:space="0" w:color="000000" w:themeColor="text1"/>
              <w:right w:val="nil"/>
            </w:tcBorders>
            <w:vAlign w:val="center"/>
          </w:tcPr>
          <w:p w:rsidR="000F5EAE" w:rsidRDefault="000F5EAE" w:rsidP="00D15297">
            <w:pPr>
              <w:pStyle w:val="StandaardSV"/>
              <w:jc w:val="center"/>
              <w:rPr>
                <w:szCs w:val="22"/>
              </w:rPr>
            </w:pPr>
            <w:r>
              <w:rPr>
                <w:szCs w:val="22"/>
              </w:rPr>
              <w:t>EURO</w:t>
            </w:r>
          </w:p>
        </w:tc>
        <w:tc>
          <w:tcPr>
            <w:tcW w:w="1300" w:type="dxa"/>
            <w:tcBorders>
              <w:top w:val="nil"/>
              <w:left w:val="nil"/>
              <w:bottom w:val="single" w:sz="4" w:space="0" w:color="000000" w:themeColor="text1"/>
            </w:tcBorders>
            <w:vAlign w:val="center"/>
          </w:tcPr>
          <w:p w:rsidR="000F5EAE" w:rsidRDefault="000F5EAE" w:rsidP="00D15297">
            <w:pPr>
              <w:pStyle w:val="StandaardSV"/>
              <w:jc w:val="center"/>
              <w:rPr>
                <w:szCs w:val="22"/>
              </w:rPr>
            </w:pPr>
            <w:r>
              <w:rPr>
                <w:szCs w:val="22"/>
              </w:rPr>
              <w:t>STATUS</w:t>
            </w:r>
          </w:p>
        </w:tc>
      </w:tr>
      <w:tr w:rsidR="00B026DA" w:rsidTr="00B026DA">
        <w:tc>
          <w:tcPr>
            <w:tcW w:w="992" w:type="dxa"/>
            <w:tcBorders>
              <w:top w:val="single" w:sz="4" w:space="0" w:color="auto"/>
              <w:right w:val="single" w:sz="4" w:space="0" w:color="000000" w:themeColor="text1"/>
            </w:tcBorders>
          </w:tcPr>
          <w:p w:rsidR="000F5EAE" w:rsidRDefault="000F5EAE" w:rsidP="000F5EAE">
            <w:pPr>
              <w:pStyle w:val="StandaardSV"/>
              <w:rPr>
                <w:szCs w:val="22"/>
              </w:rPr>
            </w:pPr>
            <w:r>
              <w:rPr>
                <w:szCs w:val="22"/>
              </w:rPr>
              <w:t>2007</w:t>
            </w:r>
          </w:p>
        </w:tc>
        <w:tc>
          <w:tcPr>
            <w:tcW w:w="1299" w:type="dxa"/>
            <w:tcBorders>
              <w:top w:val="single" w:sz="4" w:space="0" w:color="000000" w:themeColor="text1"/>
              <w:left w:val="single" w:sz="4" w:space="0" w:color="000000" w:themeColor="text1"/>
              <w:bottom w:val="nil"/>
            </w:tcBorders>
            <w:vAlign w:val="center"/>
          </w:tcPr>
          <w:p w:rsidR="000F5EAE" w:rsidRDefault="000F5EAE" w:rsidP="00D15297">
            <w:pPr>
              <w:pStyle w:val="StandaardSV"/>
              <w:jc w:val="right"/>
              <w:rPr>
                <w:szCs w:val="22"/>
              </w:rPr>
            </w:pPr>
            <w:r>
              <w:rPr>
                <w:szCs w:val="22"/>
              </w:rPr>
              <w:t>1.991.295</w:t>
            </w:r>
          </w:p>
        </w:tc>
        <w:tc>
          <w:tcPr>
            <w:tcW w:w="1299" w:type="dxa"/>
            <w:tcBorders>
              <w:top w:val="single" w:sz="4" w:space="0" w:color="000000" w:themeColor="text1"/>
              <w:bottom w:val="nil"/>
            </w:tcBorders>
            <w:vAlign w:val="center"/>
          </w:tcPr>
          <w:p w:rsidR="000F5EAE" w:rsidRDefault="000F5EAE" w:rsidP="00D15297">
            <w:pPr>
              <w:pStyle w:val="StandaardSV"/>
              <w:jc w:val="right"/>
              <w:rPr>
                <w:szCs w:val="22"/>
              </w:rPr>
            </w:pPr>
            <w:r>
              <w:rPr>
                <w:szCs w:val="22"/>
              </w:rPr>
              <w:t>1.212.201</w:t>
            </w:r>
          </w:p>
        </w:tc>
        <w:tc>
          <w:tcPr>
            <w:tcW w:w="1300" w:type="dxa"/>
            <w:tcBorders>
              <w:top w:val="single" w:sz="4" w:space="0" w:color="000000" w:themeColor="text1"/>
              <w:bottom w:val="nil"/>
              <w:right w:val="single" w:sz="4" w:space="0" w:color="000000" w:themeColor="text1"/>
            </w:tcBorders>
            <w:vAlign w:val="center"/>
          </w:tcPr>
          <w:p w:rsidR="000F5EAE" w:rsidRDefault="000F5EAE" w:rsidP="00D15297">
            <w:pPr>
              <w:pStyle w:val="StandaardSV"/>
              <w:ind w:right="246"/>
              <w:jc w:val="right"/>
              <w:rPr>
                <w:szCs w:val="22"/>
              </w:rPr>
            </w:pPr>
            <w:r>
              <w:rPr>
                <w:szCs w:val="22"/>
              </w:rPr>
              <w:t>WB</w:t>
            </w:r>
          </w:p>
        </w:tc>
        <w:tc>
          <w:tcPr>
            <w:tcW w:w="1299" w:type="dxa"/>
            <w:tcBorders>
              <w:top w:val="single" w:sz="4" w:space="0" w:color="000000" w:themeColor="text1"/>
              <w:left w:val="single" w:sz="4" w:space="0" w:color="000000" w:themeColor="text1"/>
            </w:tcBorders>
            <w:vAlign w:val="center"/>
          </w:tcPr>
          <w:p w:rsidR="000F5EAE" w:rsidRDefault="00873B3F" w:rsidP="00D15297">
            <w:pPr>
              <w:pStyle w:val="StandaardSV"/>
              <w:jc w:val="right"/>
              <w:rPr>
                <w:szCs w:val="22"/>
              </w:rPr>
            </w:pPr>
            <w:r>
              <w:rPr>
                <w:szCs w:val="22"/>
              </w:rPr>
              <w:t>3.064.034</w:t>
            </w:r>
          </w:p>
        </w:tc>
        <w:tc>
          <w:tcPr>
            <w:tcW w:w="1299" w:type="dxa"/>
            <w:tcBorders>
              <w:top w:val="single" w:sz="4" w:space="0" w:color="000000" w:themeColor="text1"/>
            </w:tcBorders>
            <w:vAlign w:val="center"/>
          </w:tcPr>
          <w:p w:rsidR="000F5EAE" w:rsidRDefault="00873B3F" w:rsidP="00D15297">
            <w:pPr>
              <w:pStyle w:val="StandaardSV"/>
              <w:jc w:val="right"/>
              <w:rPr>
                <w:szCs w:val="22"/>
              </w:rPr>
            </w:pPr>
            <w:r>
              <w:rPr>
                <w:szCs w:val="22"/>
              </w:rPr>
              <w:t>1.865.231</w:t>
            </w:r>
          </w:p>
        </w:tc>
        <w:tc>
          <w:tcPr>
            <w:tcW w:w="1300" w:type="dxa"/>
            <w:tcBorders>
              <w:top w:val="single" w:sz="4" w:space="0" w:color="000000" w:themeColor="text1"/>
            </w:tcBorders>
            <w:vAlign w:val="center"/>
          </w:tcPr>
          <w:p w:rsidR="000F5EAE" w:rsidRDefault="00873B3F" w:rsidP="00D15297">
            <w:pPr>
              <w:pStyle w:val="StandaardSV"/>
              <w:ind w:right="264"/>
              <w:jc w:val="right"/>
              <w:rPr>
                <w:szCs w:val="22"/>
              </w:rPr>
            </w:pPr>
            <w:r>
              <w:rPr>
                <w:szCs w:val="22"/>
              </w:rPr>
              <w:t>WB</w:t>
            </w:r>
          </w:p>
        </w:tc>
      </w:tr>
      <w:tr w:rsidR="000F5EAE" w:rsidTr="00B026DA">
        <w:tc>
          <w:tcPr>
            <w:tcW w:w="992" w:type="dxa"/>
            <w:tcBorders>
              <w:right w:val="single" w:sz="4" w:space="0" w:color="000000" w:themeColor="text1"/>
            </w:tcBorders>
          </w:tcPr>
          <w:p w:rsidR="000F5EAE" w:rsidRDefault="000F5EAE" w:rsidP="000F5EAE">
            <w:pPr>
              <w:pStyle w:val="StandaardSV"/>
              <w:rPr>
                <w:szCs w:val="22"/>
              </w:rPr>
            </w:pPr>
            <w:r>
              <w:rPr>
                <w:szCs w:val="22"/>
              </w:rPr>
              <w:t>2008</w:t>
            </w:r>
          </w:p>
        </w:tc>
        <w:tc>
          <w:tcPr>
            <w:tcW w:w="1299" w:type="dxa"/>
            <w:tcBorders>
              <w:top w:val="nil"/>
              <w:left w:val="single" w:sz="4" w:space="0" w:color="000000" w:themeColor="text1"/>
              <w:bottom w:val="nil"/>
            </w:tcBorders>
            <w:vAlign w:val="center"/>
          </w:tcPr>
          <w:p w:rsidR="000F5EAE" w:rsidRDefault="000F5EAE" w:rsidP="00D15297">
            <w:pPr>
              <w:pStyle w:val="StandaardSV"/>
              <w:jc w:val="right"/>
              <w:rPr>
                <w:szCs w:val="22"/>
              </w:rPr>
            </w:pPr>
            <w:r>
              <w:rPr>
                <w:szCs w:val="22"/>
              </w:rPr>
              <w:t>926.240</w:t>
            </w:r>
          </w:p>
        </w:tc>
        <w:tc>
          <w:tcPr>
            <w:tcW w:w="1299" w:type="dxa"/>
            <w:tcBorders>
              <w:top w:val="nil"/>
              <w:bottom w:val="nil"/>
            </w:tcBorders>
            <w:vAlign w:val="center"/>
          </w:tcPr>
          <w:p w:rsidR="000F5EAE" w:rsidRDefault="000F5EAE" w:rsidP="00D15297">
            <w:pPr>
              <w:pStyle w:val="StandaardSV"/>
              <w:jc w:val="right"/>
              <w:rPr>
                <w:szCs w:val="22"/>
              </w:rPr>
            </w:pPr>
            <w:r>
              <w:rPr>
                <w:szCs w:val="22"/>
              </w:rPr>
              <w:t>583.494</w:t>
            </w:r>
          </w:p>
        </w:tc>
        <w:tc>
          <w:tcPr>
            <w:tcW w:w="1300" w:type="dxa"/>
            <w:tcBorders>
              <w:top w:val="nil"/>
              <w:bottom w:val="nil"/>
              <w:right w:val="single" w:sz="4" w:space="0" w:color="000000" w:themeColor="text1"/>
            </w:tcBorders>
            <w:vAlign w:val="center"/>
          </w:tcPr>
          <w:p w:rsidR="000F5EAE" w:rsidRDefault="00873B3F" w:rsidP="00D15297">
            <w:pPr>
              <w:pStyle w:val="StandaardSV"/>
              <w:ind w:right="246"/>
              <w:jc w:val="right"/>
              <w:rPr>
                <w:szCs w:val="22"/>
              </w:rPr>
            </w:pPr>
            <w:r>
              <w:rPr>
                <w:szCs w:val="22"/>
              </w:rPr>
              <w:t>WB</w:t>
            </w:r>
          </w:p>
        </w:tc>
        <w:tc>
          <w:tcPr>
            <w:tcW w:w="1299" w:type="dxa"/>
            <w:tcBorders>
              <w:left w:val="single" w:sz="4" w:space="0" w:color="000000" w:themeColor="text1"/>
            </w:tcBorders>
            <w:vAlign w:val="center"/>
          </w:tcPr>
          <w:p w:rsidR="000F5EAE" w:rsidRDefault="00873B3F" w:rsidP="00D15297">
            <w:pPr>
              <w:pStyle w:val="StandaardSV"/>
              <w:jc w:val="right"/>
              <w:rPr>
                <w:szCs w:val="22"/>
              </w:rPr>
            </w:pPr>
            <w:r>
              <w:rPr>
                <w:szCs w:val="22"/>
              </w:rPr>
              <w:t>1.519.854</w:t>
            </w:r>
          </w:p>
        </w:tc>
        <w:tc>
          <w:tcPr>
            <w:tcW w:w="1299" w:type="dxa"/>
            <w:vAlign w:val="center"/>
          </w:tcPr>
          <w:p w:rsidR="000F5EAE" w:rsidRDefault="00873B3F" w:rsidP="00D15297">
            <w:pPr>
              <w:pStyle w:val="StandaardSV"/>
              <w:jc w:val="right"/>
              <w:rPr>
                <w:szCs w:val="22"/>
              </w:rPr>
            </w:pPr>
            <w:r>
              <w:rPr>
                <w:szCs w:val="22"/>
              </w:rPr>
              <w:t>957.447</w:t>
            </w:r>
          </w:p>
        </w:tc>
        <w:tc>
          <w:tcPr>
            <w:tcW w:w="1300" w:type="dxa"/>
            <w:vAlign w:val="center"/>
          </w:tcPr>
          <w:p w:rsidR="000F5EAE" w:rsidRDefault="00873B3F" w:rsidP="00D15297">
            <w:pPr>
              <w:pStyle w:val="StandaardSV"/>
              <w:ind w:right="264"/>
              <w:jc w:val="right"/>
              <w:rPr>
                <w:szCs w:val="22"/>
              </w:rPr>
            </w:pPr>
            <w:r>
              <w:rPr>
                <w:szCs w:val="22"/>
              </w:rPr>
              <w:t>WB</w:t>
            </w:r>
          </w:p>
        </w:tc>
      </w:tr>
      <w:tr w:rsidR="000F5EAE" w:rsidTr="00B026DA">
        <w:tc>
          <w:tcPr>
            <w:tcW w:w="992" w:type="dxa"/>
            <w:tcBorders>
              <w:right w:val="single" w:sz="4" w:space="0" w:color="000000" w:themeColor="text1"/>
            </w:tcBorders>
          </w:tcPr>
          <w:p w:rsidR="000F5EAE" w:rsidRDefault="000F5EAE" w:rsidP="000F5EAE">
            <w:pPr>
              <w:pStyle w:val="StandaardSV"/>
              <w:rPr>
                <w:szCs w:val="22"/>
              </w:rPr>
            </w:pPr>
            <w:r>
              <w:rPr>
                <w:szCs w:val="22"/>
              </w:rPr>
              <w:t>2009</w:t>
            </w:r>
          </w:p>
        </w:tc>
        <w:tc>
          <w:tcPr>
            <w:tcW w:w="1299" w:type="dxa"/>
            <w:tcBorders>
              <w:top w:val="nil"/>
              <w:left w:val="single" w:sz="4" w:space="0" w:color="000000" w:themeColor="text1"/>
              <w:bottom w:val="nil"/>
            </w:tcBorders>
            <w:vAlign w:val="center"/>
          </w:tcPr>
          <w:p w:rsidR="000F5EAE" w:rsidRDefault="000F5EAE" w:rsidP="00D15297">
            <w:pPr>
              <w:pStyle w:val="StandaardSV"/>
              <w:jc w:val="right"/>
              <w:rPr>
                <w:szCs w:val="22"/>
              </w:rPr>
            </w:pPr>
            <w:r>
              <w:rPr>
                <w:szCs w:val="22"/>
              </w:rPr>
              <w:t>1.109.735</w:t>
            </w:r>
          </w:p>
        </w:tc>
        <w:tc>
          <w:tcPr>
            <w:tcW w:w="1299" w:type="dxa"/>
            <w:tcBorders>
              <w:top w:val="nil"/>
              <w:bottom w:val="nil"/>
            </w:tcBorders>
            <w:vAlign w:val="center"/>
          </w:tcPr>
          <w:p w:rsidR="000F5EAE" w:rsidRDefault="000F5EAE" w:rsidP="00D15297">
            <w:pPr>
              <w:pStyle w:val="StandaardSV"/>
              <w:jc w:val="right"/>
              <w:rPr>
                <w:szCs w:val="22"/>
              </w:rPr>
            </w:pPr>
            <w:r>
              <w:rPr>
                <w:szCs w:val="22"/>
              </w:rPr>
              <w:t>734.977</w:t>
            </w:r>
          </w:p>
        </w:tc>
        <w:tc>
          <w:tcPr>
            <w:tcW w:w="1300" w:type="dxa"/>
            <w:tcBorders>
              <w:top w:val="nil"/>
              <w:bottom w:val="nil"/>
              <w:right w:val="single" w:sz="4" w:space="0" w:color="000000" w:themeColor="text1"/>
            </w:tcBorders>
            <w:vAlign w:val="center"/>
          </w:tcPr>
          <w:p w:rsidR="000F5EAE" w:rsidRDefault="00873B3F" w:rsidP="00D15297">
            <w:pPr>
              <w:pStyle w:val="StandaardSV"/>
              <w:ind w:right="246"/>
              <w:jc w:val="right"/>
              <w:rPr>
                <w:szCs w:val="22"/>
              </w:rPr>
            </w:pPr>
            <w:r>
              <w:rPr>
                <w:szCs w:val="22"/>
              </w:rPr>
              <w:t>PB</w:t>
            </w:r>
          </w:p>
        </w:tc>
        <w:tc>
          <w:tcPr>
            <w:tcW w:w="1299" w:type="dxa"/>
            <w:tcBorders>
              <w:left w:val="single" w:sz="4" w:space="0" w:color="000000" w:themeColor="text1"/>
            </w:tcBorders>
            <w:vAlign w:val="center"/>
          </w:tcPr>
          <w:p w:rsidR="000F5EAE" w:rsidRDefault="00873B3F" w:rsidP="00D15297">
            <w:pPr>
              <w:pStyle w:val="StandaardSV"/>
              <w:jc w:val="right"/>
              <w:rPr>
                <w:szCs w:val="22"/>
              </w:rPr>
            </w:pPr>
            <w:r>
              <w:rPr>
                <w:szCs w:val="22"/>
              </w:rPr>
              <w:t>1.311.916</w:t>
            </w:r>
          </w:p>
        </w:tc>
        <w:tc>
          <w:tcPr>
            <w:tcW w:w="1299" w:type="dxa"/>
            <w:vAlign w:val="center"/>
          </w:tcPr>
          <w:p w:rsidR="000F5EAE" w:rsidRDefault="00873B3F" w:rsidP="00D15297">
            <w:pPr>
              <w:pStyle w:val="StandaardSV"/>
              <w:jc w:val="right"/>
              <w:rPr>
                <w:szCs w:val="22"/>
              </w:rPr>
            </w:pPr>
            <w:r>
              <w:rPr>
                <w:szCs w:val="22"/>
              </w:rPr>
              <w:t>868.882</w:t>
            </w:r>
          </w:p>
        </w:tc>
        <w:tc>
          <w:tcPr>
            <w:tcW w:w="1300" w:type="dxa"/>
            <w:vAlign w:val="center"/>
          </w:tcPr>
          <w:p w:rsidR="000F5EAE" w:rsidRDefault="00873B3F" w:rsidP="00D15297">
            <w:pPr>
              <w:pStyle w:val="StandaardSV"/>
              <w:ind w:right="264"/>
              <w:jc w:val="right"/>
              <w:rPr>
                <w:szCs w:val="22"/>
              </w:rPr>
            </w:pPr>
            <w:r>
              <w:rPr>
                <w:szCs w:val="22"/>
              </w:rPr>
              <w:t>WB</w:t>
            </w:r>
          </w:p>
        </w:tc>
      </w:tr>
      <w:tr w:rsidR="000F5EAE" w:rsidTr="00B026DA">
        <w:tc>
          <w:tcPr>
            <w:tcW w:w="992" w:type="dxa"/>
            <w:tcBorders>
              <w:bottom w:val="nil"/>
              <w:right w:val="single" w:sz="4" w:space="0" w:color="000000" w:themeColor="text1"/>
            </w:tcBorders>
          </w:tcPr>
          <w:p w:rsidR="000F5EAE" w:rsidRDefault="000F5EAE" w:rsidP="000F5EAE">
            <w:pPr>
              <w:pStyle w:val="StandaardSV"/>
              <w:rPr>
                <w:szCs w:val="22"/>
              </w:rPr>
            </w:pPr>
            <w:r>
              <w:rPr>
                <w:szCs w:val="22"/>
              </w:rPr>
              <w:t>2010</w:t>
            </w:r>
          </w:p>
        </w:tc>
        <w:tc>
          <w:tcPr>
            <w:tcW w:w="1299" w:type="dxa"/>
            <w:tcBorders>
              <w:top w:val="nil"/>
              <w:left w:val="single" w:sz="4" w:space="0" w:color="000000" w:themeColor="text1"/>
              <w:bottom w:val="nil"/>
            </w:tcBorders>
            <w:vAlign w:val="center"/>
          </w:tcPr>
          <w:p w:rsidR="000F5EAE" w:rsidRDefault="000F5EAE" w:rsidP="00D15297">
            <w:pPr>
              <w:pStyle w:val="StandaardSV"/>
              <w:jc w:val="right"/>
              <w:rPr>
                <w:szCs w:val="22"/>
              </w:rPr>
            </w:pPr>
            <w:r>
              <w:rPr>
                <w:szCs w:val="22"/>
              </w:rPr>
              <w:t>1.810.221</w:t>
            </w:r>
          </w:p>
        </w:tc>
        <w:tc>
          <w:tcPr>
            <w:tcW w:w="1299" w:type="dxa"/>
            <w:tcBorders>
              <w:top w:val="nil"/>
              <w:bottom w:val="nil"/>
            </w:tcBorders>
            <w:vAlign w:val="center"/>
          </w:tcPr>
          <w:p w:rsidR="000F5EAE" w:rsidRDefault="000F5EAE" w:rsidP="00D15297">
            <w:pPr>
              <w:pStyle w:val="StandaardSV"/>
              <w:jc w:val="right"/>
              <w:rPr>
                <w:szCs w:val="22"/>
              </w:rPr>
            </w:pPr>
            <w:r>
              <w:rPr>
                <w:szCs w:val="22"/>
              </w:rPr>
              <w:t>1.311.505</w:t>
            </w:r>
          </w:p>
        </w:tc>
        <w:tc>
          <w:tcPr>
            <w:tcW w:w="1300" w:type="dxa"/>
            <w:tcBorders>
              <w:top w:val="nil"/>
              <w:bottom w:val="nil"/>
              <w:right w:val="single" w:sz="4" w:space="0" w:color="000000" w:themeColor="text1"/>
            </w:tcBorders>
            <w:vAlign w:val="center"/>
          </w:tcPr>
          <w:p w:rsidR="000F5EAE" w:rsidRDefault="00873B3F" w:rsidP="00D15297">
            <w:pPr>
              <w:pStyle w:val="StandaardSV"/>
              <w:ind w:right="246"/>
              <w:jc w:val="right"/>
              <w:rPr>
                <w:szCs w:val="22"/>
              </w:rPr>
            </w:pPr>
            <w:r>
              <w:rPr>
                <w:szCs w:val="22"/>
              </w:rPr>
              <w:t>PB</w:t>
            </w:r>
          </w:p>
        </w:tc>
        <w:tc>
          <w:tcPr>
            <w:tcW w:w="1299" w:type="dxa"/>
            <w:tcBorders>
              <w:left w:val="single" w:sz="4" w:space="0" w:color="000000" w:themeColor="text1"/>
              <w:bottom w:val="nil"/>
            </w:tcBorders>
            <w:vAlign w:val="center"/>
          </w:tcPr>
          <w:p w:rsidR="000F5EAE" w:rsidRDefault="00873B3F" w:rsidP="00D15297">
            <w:pPr>
              <w:pStyle w:val="StandaardSV"/>
              <w:jc w:val="right"/>
              <w:rPr>
                <w:szCs w:val="22"/>
              </w:rPr>
            </w:pPr>
            <w:r>
              <w:rPr>
                <w:szCs w:val="22"/>
              </w:rPr>
              <w:t>263.760</w:t>
            </w:r>
          </w:p>
        </w:tc>
        <w:tc>
          <w:tcPr>
            <w:tcW w:w="1299" w:type="dxa"/>
            <w:tcBorders>
              <w:bottom w:val="nil"/>
            </w:tcBorders>
            <w:vAlign w:val="center"/>
          </w:tcPr>
          <w:p w:rsidR="000F5EAE" w:rsidRDefault="00873B3F" w:rsidP="00D15297">
            <w:pPr>
              <w:pStyle w:val="StandaardSV"/>
              <w:jc w:val="right"/>
              <w:rPr>
                <w:szCs w:val="22"/>
              </w:rPr>
            </w:pPr>
            <w:r>
              <w:rPr>
                <w:szCs w:val="22"/>
              </w:rPr>
              <w:t>191.094</w:t>
            </w:r>
          </w:p>
        </w:tc>
        <w:tc>
          <w:tcPr>
            <w:tcW w:w="1300" w:type="dxa"/>
            <w:tcBorders>
              <w:bottom w:val="nil"/>
            </w:tcBorders>
            <w:vAlign w:val="center"/>
          </w:tcPr>
          <w:p w:rsidR="000F5EAE" w:rsidRDefault="00873B3F" w:rsidP="00D15297">
            <w:pPr>
              <w:pStyle w:val="StandaardSV"/>
              <w:ind w:right="264"/>
              <w:jc w:val="right"/>
              <w:rPr>
                <w:szCs w:val="22"/>
              </w:rPr>
            </w:pPr>
            <w:r>
              <w:rPr>
                <w:szCs w:val="22"/>
              </w:rPr>
              <w:t>WB</w:t>
            </w:r>
          </w:p>
        </w:tc>
      </w:tr>
      <w:tr w:rsidR="00B026DA" w:rsidTr="00B026DA">
        <w:tc>
          <w:tcPr>
            <w:tcW w:w="992" w:type="dxa"/>
            <w:tcBorders>
              <w:top w:val="nil"/>
              <w:bottom w:val="single" w:sz="12" w:space="0" w:color="000000" w:themeColor="text1"/>
              <w:right w:val="single" w:sz="4" w:space="0" w:color="000000" w:themeColor="text1"/>
            </w:tcBorders>
          </w:tcPr>
          <w:p w:rsidR="000F5EAE" w:rsidRDefault="000F5EAE" w:rsidP="000F5EAE">
            <w:pPr>
              <w:pStyle w:val="StandaardSV"/>
              <w:rPr>
                <w:szCs w:val="22"/>
              </w:rPr>
            </w:pPr>
            <w:r>
              <w:rPr>
                <w:szCs w:val="22"/>
              </w:rPr>
              <w:t>2011</w:t>
            </w:r>
          </w:p>
        </w:tc>
        <w:tc>
          <w:tcPr>
            <w:tcW w:w="1299" w:type="dxa"/>
            <w:tcBorders>
              <w:top w:val="nil"/>
              <w:left w:val="single" w:sz="4" w:space="0" w:color="000000" w:themeColor="text1"/>
              <w:bottom w:val="single" w:sz="12" w:space="0" w:color="000000" w:themeColor="text1"/>
            </w:tcBorders>
            <w:vAlign w:val="center"/>
          </w:tcPr>
          <w:p w:rsidR="000F5EAE" w:rsidRDefault="000F5EAE" w:rsidP="00D15297">
            <w:pPr>
              <w:pStyle w:val="StandaardSV"/>
              <w:jc w:val="right"/>
              <w:rPr>
                <w:szCs w:val="22"/>
              </w:rPr>
            </w:pPr>
            <w:r>
              <w:rPr>
                <w:szCs w:val="22"/>
              </w:rPr>
              <w:t>2.548.448</w:t>
            </w:r>
          </w:p>
        </w:tc>
        <w:tc>
          <w:tcPr>
            <w:tcW w:w="1299" w:type="dxa"/>
            <w:tcBorders>
              <w:top w:val="nil"/>
              <w:bottom w:val="single" w:sz="12" w:space="0" w:color="000000" w:themeColor="text1"/>
            </w:tcBorders>
            <w:vAlign w:val="center"/>
          </w:tcPr>
          <w:p w:rsidR="000F5EAE" w:rsidRDefault="000F5EAE" w:rsidP="00D15297">
            <w:pPr>
              <w:pStyle w:val="StandaardSV"/>
              <w:jc w:val="right"/>
              <w:rPr>
                <w:szCs w:val="22"/>
              </w:rPr>
            </w:pPr>
            <w:r>
              <w:rPr>
                <w:szCs w:val="22"/>
              </w:rPr>
              <w:t>2.067.556</w:t>
            </w:r>
          </w:p>
        </w:tc>
        <w:tc>
          <w:tcPr>
            <w:tcW w:w="1300" w:type="dxa"/>
            <w:tcBorders>
              <w:top w:val="nil"/>
              <w:bottom w:val="single" w:sz="12" w:space="0" w:color="000000" w:themeColor="text1"/>
              <w:right w:val="single" w:sz="4" w:space="0" w:color="000000" w:themeColor="text1"/>
            </w:tcBorders>
            <w:vAlign w:val="center"/>
          </w:tcPr>
          <w:p w:rsidR="000F5EAE" w:rsidRDefault="00D15297" w:rsidP="00D15297">
            <w:pPr>
              <w:pStyle w:val="StandaardSV"/>
              <w:ind w:right="246"/>
              <w:jc w:val="right"/>
              <w:rPr>
                <w:szCs w:val="22"/>
              </w:rPr>
            </w:pPr>
            <w:r>
              <w:rPr>
                <w:szCs w:val="22"/>
              </w:rPr>
              <w:t>PB</w:t>
            </w:r>
          </w:p>
        </w:tc>
        <w:tc>
          <w:tcPr>
            <w:tcW w:w="1299" w:type="dxa"/>
            <w:tcBorders>
              <w:top w:val="nil"/>
              <w:left w:val="single" w:sz="4" w:space="0" w:color="000000" w:themeColor="text1"/>
              <w:bottom w:val="single" w:sz="12" w:space="0" w:color="000000" w:themeColor="text1"/>
            </w:tcBorders>
            <w:vAlign w:val="center"/>
          </w:tcPr>
          <w:p w:rsidR="000F5EAE" w:rsidRDefault="00873B3F" w:rsidP="00D15297">
            <w:pPr>
              <w:pStyle w:val="StandaardSV"/>
              <w:jc w:val="right"/>
              <w:rPr>
                <w:szCs w:val="22"/>
              </w:rPr>
            </w:pPr>
            <w:r>
              <w:rPr>
                <w:szCs w:val="22"/>
              </w:rPr>
              <w:t>0</w:t>
            </w:r>
          </w:p>
        </w:tc>
        <w:tc>
          <w:tcPr>
            <w:tcW w:w="1299" w:type="dxa"/>
            <w:tcBorders>
              <w:top w:val="nil"/>
              <w:bottom w:val="single" w:sz="12" w:space="0" w:color="000000" w:themeColor="text1"/>
            </w:tcBorders>
            <w:vAlign w:val="center"/>
          </w:tcPr>
          <w:p w:rsidR="000F5EAE" w:rsidRDefault="00873B3F" w:rsidP="00D15297">
            <w:pPr>
              <w:pStyle w:val="StandaardSV"/>
              <w:jc w:val="right"/>
              <w:rPr>
                <w:szCs w:val="22"/>
              </w:rPr>
            </w:pPr>
            <w:r>
              <w:rPr>
                <w:szCs w:val="22"/>
              </w:rPr>
              <w:t>0</w:t>
            </w:r>
          </w:p>
        </w:tc>
        <w:tc>
          <w:tcPr>
            <w:tcW w:w="1300" w:type="dxa"/>
            <w:tcBorders>
              <w:top w:val="nil"/>
              <w:bottom w:val="single" w:sz="12" w:space="0" w:color="000000" w:themeColor="text1"/>
            </w:tcBorders>
            <w:vAlign w:val="center"/>
          </w:tcPr>
          <w:p w:rsidR="000F5EAE" w:rsidRDefault="005E70C1" w:rsidP="00D15297">
            <w:pPr>
              <w:pStyle w:val="StandaardSV"/>
              <w:ind w:right="264"/>
              <w:jc w:val="right"/>
              <w:rPr>
                <w:szCs w:val="22"/>
              </w:rPr>
            </w:pPr>
            <w:r>
              <w:rPr>
                <w:szCs w:val="22"/>
              </w:rPr>
              <w:t>PB</w:t>
            </w:r>
          </w:p>
        </w:tc>
      </w:tr>
    </w:tbl>
    <w:p w:rsidR="00DA13EE" w:rsidRDefault="00DA13EE" w:rsidP="000F5EAE">
      <w:pPr>
        <w:pStyle w:val="StandaardSV"/>
        <w:rPr>
          <w:szCs w:val="22"/>
        </w:rPr>
      </w:pPr>
    </w:p>
    <w:p w:rsidR="00DA13EE" w:rsidRDefault="007F6800" w:rsidP="00EA274B">
      <w:pPr>
        <w:pStyle w:val="StandaardSV"/>
        <w:ind w:left="284"/>
        <w:rPr>
          <w:szCs w:val="22"/>
        </w:rPr>
      </w:pPr>
      <w:r>
        <w:rPr>
          <w:szCs w:val="22"/>
        </w:rPr>
        <w:t>Omwille van redenen van confidentialiteit worden de namen van de Belgische leveranciers niet vrijgegeven. Het is aan de bedrijven zelf om te beslissen of ze hierover willen communiceren of niet. Wat de g</w:t>
      </w:r>
      <w:r w:rsidR="003D7A82">
        <w:rPr>
          <w:szCs w:val="22"/>
        </w:rPr>
        <w:t>ewestelijke opdeling betreft geeft</w:t>
      </w:r>
      <w:r>
        <w:rPr>
          <w:szCs w:val="22"/>
        </w:rPr>
        <w:t xml:space="preserve"> </w:t>
      </w:r>
      <w:r w:rsidR="003D7A82">
        <w:rPr>
          <w:szCs w:val="22"/>
        </w:rPr>
        <w:t>onderstaande tabel meer duidelijkheid van de waarde aan goederen geleverd per gewest per jaar.</w:t>
      </w:r>
    </w:p>
    <w:p w:rsidR="003D7A82" w:rsidRDefault="003D7A82" w:rsidP="00EA274B">
      <w:pPr>
        <w:pStyle w:val="StandaardSV"/>
        <w:ind w:left="284"/>
        <w:rPr>
          <w:szCs w:val="22"/>
        </w:rPr>
      </w:pPr>
    </w:p>
    <w:tbl>
      <w:tblPr>
        <w:tblStyle w:val="Eenvoudigetabel1"/>
        <w:tblW w:w="0" w:type="auto"/>
        <w:tblInd w:w="392" w:type="dxa"/>
        <w:tblLook w:val="04A0" w:firstRow="1" w:lastRow="0" w:firstColumn="1" w:lastColumn="0" w:noHBand="0" w:noVBand="1"/>
      </w:tblPr>
      <w:tblGrid>
        <w:gridCol w:w="992"/>
        <w:gridCol w:w="1299"/>
        <w:gridCol w:w="1299"/>
        <w:gridCol w:w="1300"/>
        <w:gridCol w:w="1299"/>
        <w:gridCol w:w="1299"/>
        <w:gridCol w:w="1300"/>
      </w:tblGrid>
      <w:tr w:rsidR="003D7A82" w:rsidTr="003D7A82">
        <w:trPr>
          <w:cnfStyle w:val="100000000000" w:firstRow="1" w:lastRow="0" w:firstColumn="0" w:lastColumn="0" w:oddVBand="0" w:evenVBand="0" w:oddHBand="0" w:evenHBand="0" w:firstRowFirstColumn="0" w:firstRowLastColumn="0" w:lastRowFirstColumn="0" w:lastRowLastColumn="0"/>
        </w:trPr>
        <w:tc>
          <w:tcPr>
            <w:tcW w:w="992" w:type="dxa"/>
            <w:tcBorders>
              <w:top w:val="single" w:sz="12" w:space="0" w:color="000000" w:themeColor="text1"/>
              <w:bottom w:val="nil"/>
              <w:right w:val="single" w:sz="4" w:space="0" w:color="000000" w:themeColor="text1"/>
            </w:tcBorders>
          </w:tcPr>
          <w:p w:rsidR="003D7A82" w:rsidRDefault="003D7A82" w:rsidP="003D7A82">
            <w:pPr>
              <w:pStyle w:val="StandaardSV"/>
              <w:jc w:val="center"/>
              <w:rPr>
                <w:szCs w:val="22"/>
              </w:rPr>
            </w:pPr>
          </w:p>
        </w:tc>
        <w:tc>
          <w:tcPr>
            <w:tcW w:w="2598" w:type="dxa"/>
            <w:gridSpan w:val="2"/>
            <w:tcBorders>
              <w:top w:val="single" w:sz="12" w:space="0" w:color="000000" w:themeColor="text1"/>
              <w:left w:val="single" w:sz="4" w:space="0" w:color="000000" w:themeColor="text1"/>
              <w:bottom w:val="nil"/>
              <w:right w:val="single" w:sz="4" w:space="0" w:color="000000" w:themeColor="text1"/>
            </w:tcBorders>
          </w:tcPr>
          <w:p w:rsidR="003D7A82" w:rsidRDefault="003D7A82" w:rsidP="003D7A82">
            <w:pPr>
              <w:pStyle w:val="StandaardSV"/>
              <w:jc w:val="center"/>
              <w:rPr>
                <w:szCs w:val="22"/>
              </w:rPr>
            </w:pPr>
            <w:r>
              <w:rPr>
                <w:szCs w:val="22"/>
              </w:rPr>
              <w:t>Vlaams</w:t>
            </w:r>
          </w:p>
        </w:tc>
        <w:tc>
          <w:tcPr>
            <w:tcW w:w="2599" w:type="dxa"/>
            <w:gridSpan w:val="2"/>
            <w:tcBorders>
              <w:top w:val="single" w:sz="12" w:space="0" w:color="000000" w:themeColor="text1"/>
              <w:left w:val="single" w:sz="4" w:space="0" w:color="000000" w:themeColor="text1"/>
              <w:bottom w:val="nil"/>
              <w:right w:val="single" w:sz="4" w:space="0" w:color="000000" w:themeColor="text1"/>
            </w:tcBorders>
          </w:tcPr>
          <w:p w:rsidR="003D7A82" w:rsidRDefault="003D7A82" w:rsidP="003D7A82">
            <w:pPr>
              <w:pStyle w:val="StandaardSV"/>
              <w:jc w:val="center"/>
              <w:rPr>
                <w:szCs w:val="22"/>
              </w:rPr>
            </w:pPr>
            <w:r>
              <w:rPr>
                <w:szCs w:val="22"/>
              </w:rPr>
              <w:t>Waals</w:t>
            </w:r>
          </w:p>
        </w:tc>
        <w:tc>
          <w:tcPr>
            <w:tcW w:w="2599" w:type="dxa"/>
            <w:gridSpan w:val="2"/>
            <w:tcBorders>
              <w:top w:val="single" w:sz="12" w:space="0" w:color="000000" w:themeColor="text1"/>
              <w:left w:val="single" w:sz="4" w:space="0" w:color="000000" w:themeColor="text1"/>
              <w:bottom w:val="nil"/>
            </w:tcBorders>
          </w:tcPr>
          <w:p w:rsidR="003D7A82" w:rsidRDefault="003D7A82" w:rsidP="003D7A82">
            <w:pPr>
              <w:pStyle w:val="StandaardSV"/>
              <w:jc w:val="center"/>
              <w:rPr>
                <w:szCs w:val="22"/>
              </w:rPr>
            </w:pPr>
            <w:r>
              <w:rPr>
                <w:szCs w:val="22"/>
              </w:rPr>
              <w:t>Brussels</w:t>
            </w:r>
          </w:p>
        </w:tc>
      </w:tr>
      <w:tr w:rsidR="003D7A82" w:rsidTr="003D7A82">
        <w:tc>
          <w:tcPr>
            <w:tcW w:w="992" w:type="dxa"/>
            <w:tcBorders>
              <w:top w:val="nil"/>
              <w:bottom w:val="single" w:sz="4" w:space="0" w:color="000000" w:themeColor="text1"/>
              <w:right w:val="single" w:sz="4" w:space="0" w:color="000000" w:themeColor="text1"/>
            </w:tcBorders>
          </w:tcPr>
          <w:p w:rsidR="003D7A82" w:rsidRDefault="003D7A82" w:rsidP="003D7A82">
            <w:pPr>
              <w:pStyle w:val="StandaardSV"/>
              <w:jc w:val="center"/>
              <w:rPr>
                <w:szCs w:val="22"/>
              </w:rPr>
            </w:pPr>
          </w:p>
        </w:tc>
        <w:tc>
          <w:tcPr>
            <w:tcW w:w="1299" w:type="dxa"/>
            <w:tcBorders>
              <w:top w:val="nil"/>
              <w:left w:val="single" w:sz="4" w:space="0" w:color="000000" w:themeColor="text1"/>
              <w:bottom w:val="single" w:sz="4" w:space="0" w:color="000000" w:themeColor="text1"/>
            </w:tcBorders>
          </w:tcPr>
          <w:p w:rsidR="003D7A82" w:rsidRDefault="003D7A82" w:rsidP="003D7A82">
            <w:pPr>
              <w:pStyle w:val="StandaardSV"/>
              <w:jc w:val="center"/>
              <w:rPr>
                <w:szCs w:val="22"/>
              </w:rPr>
            </w:pPr>
            <w:r>
              <w:rPr>
                <w:szCs w:val="22"/>
              </w:rPr>
              <w:t>CHF</w:t>
            </w:r>
          </w:p>
        </w:tc>
        <w:tc>
          <w:tcPr>
            <w:tcW w:w="1299" w:type="dxa"/>
            <w:tcBorders>
              <w:top w:val="nil"/>
              <w:bottom w:val="single" w:sz="4" w:space="0" w:color="000000" w:themeColor="text1"/>
              <w:right w:val="single" w:sz="4" w:space="0" w:color="000000" w:themeColor="text1"/>
            </w:tcBorders>
          </w:tcPr>
          <w:p w:rsidR="003D7A82" w:rsidRDefault="003D7A82" w:rsidP="003D7A82">
            <w:pPr>
              <w:pStyle w:val="StandaardSV"/>
              <w:jc w:val="center"/>
              <w:rPr>
                <w:szCs w:val="22"/>
              </w:rPr>
            </w:pPr>
            <w:r>
              <w:rPr>
                <w:szCs w:val="22"/>
              </w:rPr>
              <w:t>EURO</w:t>
            </w:r>
          </w:p>
        </w:tc>
        <w:tc>
          <w:tcPr>
            <w:tcW w:w="1300" w:type="dxa"/>
            <w:tcBorders>
              <w:top w:val="nil"/>
              <w:left w:val="single" w:sz="4" w:space="0" w:color="000000" w:themeColor="text1"/>
              <w:bottom w:val="single" w:sz="4" w:space="0" w:color="000000" w:themeColor="text1"/>
            </w:tcBorders>
          </w:tcPr>
          <w:p w:rsidR="003D7A82" w:rsidRDefault="003D7A82" w:rsidP="003D7A82">
            <w:pPr>
              <w:pStyle w:val="StandaardSV"/>
              <w:jc w:val="center"/>
              <w:rPr>
                <w:szCs w:val="22"/>
              </w:rPr>
            </w:pPr>
            <w:r>
              <w:rPr>
                <w:szCs w:val="22"/>
              </w:rPr>
              <w:t>CHF</w:t>
            </w:r>
          </w:p>
        </w:tc>
        <w:tc>
          <w:tcPr>
            <w:tcW w:w="1299" w:type="dxa"/>
            <w:tcBorders>
              <w:top w:val="nil"/>
              <w:bottom w:val="single" w:sz="4" w:space="0" w:color="000000" w:themeColor="text1"/>
              <w:right w:val="single" w:sz="4" w:space="0" w:color="000000" w:themeColor="text1"/>
            </w:tcBorders>
          </w:tcPr>
          <w:p w:rsidR="003D7A82" w:rsidRDefault="003D7A82" w:rsidP="003D7A82">
            <w:pPr>
              <w:pStyle w:val="StandaardSV"/>
              <w:jc w:val="center"/>
              <w:rPr>
                <w:szCs w:val="22"/>
              </w:rPr>
            </w:pPr>
            <w:r>
              <w:rPr>
                <w:szCs w:val="22"/>
              </w:rPr>
              <w:t>EURO</w:t>
            </w:r>
          </w:p>
        </w:tc>
        <w:tc>
          <w:tcPr>
            <w:tcW w:w="1299" w:type="dxa"/>
            <w:tcBorders>
              <w:top w:val="nil"/>
              <w:left w:val="single" w:sz="4" w:space="0" w:color="000000" w:themeColor="text1"/>
              <w:bottom w:val="single" w:sz="4" w:space="0" w:color="000000" w:themeColor="text1"/>
            </w:tcBorders>
          </w:tcPr>
          <w:p w:rsidR="003D7A82" w:rsidRDefault="003D7A82" w:rsidP="003D7A82">
            <w:pPr>
              <w:pStyle w:val="StandaardSV"/>
              <w:jc w:val="center"/>
              <w:rPr>
                <w:szCs w:val="22"/>
              </w:rPr>
            </w:pPr>
            <w:r>
              <w:rPr>
                <w:szCs w:val="22"/>
              </w:rPr>
              <w:t>CHF</w:t>
            </w:r>
          </w:p>
        </w:tc>
        <w:tc>
          <w:tcPr>
            <w:tcW w:w="1300" w:type="dxa"/>
            <w:tcBorders>
              <w:top w:val="nil"/>
              <w:bottom w:val="single" w:sz="4" w:space="0" w:color="000000" w:themeColor="text1"/>
            </w:tcBorders>
          </w:tcPr>
          <w:p w:rsidR="003D7A82" w:rsidRDefault="003D7A82" w:rsidP="003D7A82">
            <w:pPr>
              <w:pStyle w:val="StandaardSV"/>
              <w:jc w:val="center"/>
              <w:rPr>
                <w:szCs w:val="22"/>
              </w:rPr>
            </w:pPr>
            <w:r>
              <w:rPr>
                <w:szCs w:val="22"/>
              </w:rPr>
              <w:t>EURO</w:t>
            </w:r>
          </w:p>
        </w:tc>
      </w:tr>
      <w:tr w:rsidR="003D7A82" w:rsidTr="00335CC4">
        <w:tc>
          <w:tcPr>
            <w:tcW w:w="992" w:type="dxa"/>
            <w:tcBorders>
              <w:top w:val="single" w:sz="4" w:space="0" w:color="000000" w:themeColor="text1"/>
              <w:right w:val="single" w:sz="4" w:space="0" w:color="000000" w:themeColor="text1"/>
            </w:tcBorders>
          </w:tcPr>
          <w:p w:rsidR="003D7A82" w:rsidRDefault="003D7A82" w:rsidP="00EA274B">
            <w:pPr>
              <w:pStyle w:val="StandaardSV"/>
              <w:rPr>
                <w:szCs w:val="22"/>
              </w:rPr>
            </w:pPr>
            <w:r>
              <w:rPr>
                <w:szCs w:val="22"/>
              </w:rPr>
              <w:t>2007</w:t>
            </w:r>
          </w:p>
        </w:tc>
        <w:tc>
          <w:tcPr>
            <w:tcW w:w="1299" w:type="dxa"/>
            <w:tcBorders>
              <w:top w:val="single" w:sz="4" w:space="0" w:color="000000" w:themeColor="text1"/>
              <w:left w:val="single" w:sz="4" w:space="0" w:color="000000" w:themeColor="text1"/>
              <w:bottom w:val="nil"/>
            </w:tcBorders>
            <w:vAlign w:val="center"/>
          </w:tcPr>
          <w:p w:rsidR="003D7A82" w:rsidRDefault="00703D6E" w:rsidP="00335CC4">
            <w:pPr>
              <w:pStyle w:val="StandaardSV"/>
              <w:ind w:right="199"/>
              <w:jc w:val="right"/>
              <w:rPr>
                <w:szCs w:val="22"/>
              </w:rPr>
            </w:pPr>
            <w:r>
              <w:rPr>
                <w:szCs w:val="22"/>
              </w:rPr>
              <w:t>193.987</w:t>
            </w:r>
          </w:p>
        </w:tc>
        <w:tc>
          <w:tcPr>
            <w:tcW w:w="1299" w:type="dxa"/>
            <w:tcBorders>
              <w:top w:val="single" w:sz="4" w:space="0" w:color="000000" w:themeColor="text1"/>
              <w:bottom w:val="nil"/>
              <w:right w:val="single" w:sz="4" w:space="0" w:color="000000" w:themeColor="text1"/>
            </w:tcBorders>
            <w:vAlign w:val="center"/>
          </w:tcPr>
          <w:p w:rsidR="003D7A82" w:rsidRDefault="00335CC4" w:rsidP="00335CC4">
            <w:pPr>
              <w:pStyle w:val="StandaardSV"/>
              <w:ind w:right="199"/>
              <w:jc w:val="right"/>
              <w:rPr>
                <w:szCs w:val="22"/>
              </w:rPr>
            </w:pPr>
            <w:r>
              <w:rPr>
                <w:szCs w:val="22"/>
              </w:rPr>
              <w:t>118.090</w:t>
            </w:r>
          </w:p>
        </w:tc>
        <w:tc>
          <w:tcPr>
            <w:tcW w:w="1300" w:type="dxa"/>
            <w:tcBorders>
              <w:top w:val="single" w:sz="4" w:space="0" w:color="000000" w:themeColor="text1"/>
              <w:left w:val="single" w:sz="4" w:space="0" w:color="000000" w:themeColor="text1"/>
            </w:tcBorders>
            <w:vAlign w:val="center"/>
          </w:tcPr>
          <w:p w:rsidR="003D7A82" w:rsidRDefault="003D7A82" w:rsidP="00335CC4">
            <w:pPr>
              <w:pStyle w:val="StandaardSV"/>
              <w:ind w:right="199"/>
              <w:jc w:val="right"/>
              <w:rPr>
                <w:szCs w:val="22"/>
              </w:rPr>
            </w:pPr>
            <w:r>
              <w:rPr>
                <w:szCs w:val="22"/>
              </w:rPr>
              <w:t>956.402</w:t>
            </w:r>
          </w:p>
        </w:tc>
        <w:tc>
          <w:tcPr>
            <w:tcW w:w="1299" w:type="dxa"/>
            <w:tcBorders>
              <w:top w:val="single" w:sz="4" w:space="0" w:color="000000" w:themeColor="text1"/>
              <w:right w:val="single" w:sz="4" w:space="0" w:color="000000" w:themeColor="text1"/>
            </w:tcBorders>
            <w:vAlign w:val="center"/>
          </w:tcPr>
          <w:p w:rsidR="003D7A82" w:rsidRDefault="00335CC4" w:rsidP="00335CC4">
            <w:pPr>
              <w:pStyle w:val="StandaardSV"/>
              <w:ind w:right="199"/>
              <w:jc w:val="right"/>
              <w:rPr>
                <w:szCs w:val="22"/>
              </w:rPr>
            </w:pPr>
            <w:r>
              <w:rPr>
                <w:szCs w:val="22"/>
              </w:rPr>
              <w:t>582.210</w:t>
            </w:r>
          </w:p>
        </w:tc>
        <w:tc>
          <w:tcPr>
            <w:tcW w:w="1299" w:type="dxa"/>
            <w:tcBorders>
              <w:top w:val="single" w:sz="4" w:space="0" w:color="000000" w:themeColor="text1"/>
              <w:left w:val="single" w:sz="4" w:space="0" w:color="000000" w:themeColor="text1"/>
              <w:bottom w:val="nil"/>
            </w:tcBorders>
            <w:vAlign w:val="center"/>
          </w:tcPr>
          <w:p w:rsidR="003D7A82" w:rsidRDefault="003D7A82" w:rsidP="00335CC4">
            <w:pPr>
              <w:pStyle w:val="StandaardSV"/>
              <w:ind w:right="199"/>
              <w:jc w:val="right"/>
              <w:rPr>
                <w:szCs w:val="22"/>
              </w:rPr>
            </w:pPr>
            <w:r>
              <w:rPr>
                <w:szCs w:val="22"/>
              </w:rPr>
              <w:t>840.906</w:t>
            </w:r>
          </w:p>
        </w:tc>
        <w:tc>
          <w:tcPr>
            <w:tcW w:w="1300" w:type="dxa"/>
            <w:tcBorders>
              <w:top w:val="single" w:sz="4" w:space="0" w:color="000000" w:themeColor="text1"/>
              <w:bottom w:val="nil"/>
            </w:tcBorders>
            <w:vAlign w:val="center"/>
          </w:tcPr>
          <w:p w:rsidR="003D7A82" w:rsidRDefault="00335CC4" w:rsidP="00335CC4">
            <w:pPr>
              <w:pStyle w:val="StandaardSV"/>
              <w:ind w:right="199"/>
              <w:jc w:val="right"/>
              <w:rPr>
                <w:szCs w:val="22"/>
              </w:rPr>
            </w:pPr>
            <w:r>
              <w:rPr>
                <w:szCs w:val="22"/>
              </w:rPr>
              <w:t>511.902</w:t>
            </w:r>
          </w:p>
        </w:tc>
      </w:tr>
      <w:tr w:rsidR="003D7A82" w:rsidTr="00335CC4">
        <w:tc>
          <w:tcPr>
            <w:tcW w:w="992" w:type="dxa"/>
            <w:tcBorders>
              <w:right w:val="single" w:sz="4" w:space="0" w:color="000000" w:themeColor="text1"/>
            </w:tcBorders>
          </w:tcPr>
          <w:p w:rsidR="003D7A82" w:rsidRDefault="003D7A82" w:rsidP="00EA274B">
            <w:pPr>
              <w:pStyle w:val="StandaardSV"/>
              <w:rPr>
                <w:szCs w:val="22"/>
              </w:rPr>
            </w:pPr>
            <w:r>
              <w:rPr>
                <w:szCs w:val="22"/>
              </w:rPr>
              <w:t>2008</w:t>
            </w:r>
          </w:p>
        </w:tc>
        <w:tc>
          <w:tcPr>
            <w:tcW w:w="1299" w:type="dxa"/>
            <w:tcBorders>
              <w:top w:val="nil"/>
              <w:left w:val="single" w:sz="4" w:space="0" w:color="000000" w:themeColor="text1"/>
              <w:bottom w:val="nil"/>
            </w:tcBorders>
            <w:vAlign w:val="center"/>
          </w:tcPr>
          <w:p w:rsidR="003D7A82" w:rsidRDefault="00703D6E" w:rsidP="00335CC4">
            <w:pPr>
              <w:pStyle w:val="StandaardSV"/>
              <w:ind w:right="199"/>
              <w:jc w:val="right"/>
              <w:rPr>
                <w:szCs w:val="22"/>
              </w:rPr>
            </w:pPr>
            <w:r>
              <w:rPr>
                <w:szCs w:val="22"/>
              </w:rPr>
              <w:t>208.856</w:t>
            </w:r>
          </w:p>
        </w:tc>
        <w:tc>
          <w:tcPr>
            <w:tcW w:w="1299" w:type="dxa"/>
            <w:tcBorders>
              <w:top w:val="nil"/>
              <w:bottom w:val="nil"/>
              <w:right w:val="single" w:sz="4" w:space="0" w:color="000000" w:themeColor="text1"/>
            </w:tcBorders>
            <w:vAlign w:val="center"/>
          </w:tcPr>
          <w:p w:rsidR="003D7A82" w:rsidRDefault="00335CC4" w:rsidP="00335CC4">
            <w:pPr>
              <w:pStyle w:val="StandaardSV"/>
              <w:ind w:right="199"/>
              <w:jc w:val="right"/>
              <w:rPr>
                <w:szCs w:val="22"/>
              </w:rPr>
            </w:pPr>
            <w:r>
              <w:rPr>
                <w:szCs w:val="22"/>
              </w:rPr>
              <w:t>131.571</w:t>
            </w:r>
          </w:p>
        </w:tc>
        <w:tc>
          <w:tcPr>
            <w:tcW w:w="1300" w:type="dxa"/>
            <w:tcBorders>
              <w:left w:val="single" w:sz="4" w:space="0" w:color="000000" w:themeColor="text1"/>
            </w:tcBorders>
            <w:vAlign w:val="center"/>
          </w:tcPr>
          <w:p w:rsidR="003D7A82" w:rsidRDefault="00703D6E" w:rsidP="00335CC4">
            <w:pPr>
              <w:pStyle w:val="StandaardSV"/>
              <w:ind w:right="199"/>
              <w:jc w:val="right"/>
              <w:rPr>
                <w:szCs w:val="22"/>
              </w:rPr>
            </w:pPr>
            <w:r>
              <w:rPr>
                <w:szCs w:val="22"/>
              </w:rPr>
              <w:t>416.156</w:t>
            </w:r>
          </w:p>
        </w:tc>
        <w:tc>
          <w:tcPr>
            <w:tcW w:w="1299" w:type="dxa"/>
            <w:tcBorders>
              <w:right w:val="single" w:sz="4" w:space="0" w:color="000000" w:themeColor="text1"/>
            </w:tcBorders>
            <w:vAlign w:val="center"/>
          </w:tcPr>
          <w:p w:rsidR="003D7A82" w:rsidRDefault="00335CC4" w:rsidP="00335CC4">
            <w:pPr>
              <w:pStyle w:val="StandaardSV"/>
              <w:ind w:right="199"/>
              <w:jc w:val="right"/>
              <w:rPr>
                <w:szCs w:val="22"/>
              </w:rPr>
            </w:pPr>
            <w:r>
              <w:rPr>
                <w:szCs w:val="22"/>
              </w:rPr>
              <w:t>262.162</w:t>
            </w:r>
          </w:p>
        </w:tc>
        <w:tc>
          <w:tcPr>
            <w:tcW w:w="1299" w:type="dxa"/>
            <w:tcBorders>
              <w:top w:val="nil"/>
              <w:left w:val="single" w:sz="4" w:space="0" w:color="000000" w:themeColor="text1"/>
              <w:bottom w:val="nil"/>
            </w:tcBorders>
            <w:vAlign w:val="center"/>
          </w:tcPr>
          <w:p w:rsidR="003D7A82" w:rsidRDefault="00703D6E" w:rsidP="00335CC4">
            <w:pPr>
              <w:pStyle w:val="StandaardSV"/>
              <w:ind w:right="199"/>
              <w:jc w:val="right"/>
              <w:rPr>
                <w:szCs w:val="22"/>
              </w:rPr>
            </w:pPr>
            <w:r>
              <w:rPr>
                <w:szCs w:val="22"/>
              </w:rPr>
              <w:t>301.227</w:t>
            </w:r>
          </w:p>
        </w:tc>
        <w:tc>
          <w:tcPr>
            <w:tcW w:w="1300" w:type="dxa"/>
            <w:tcBorders>
              <w:top w:val="nil"/>
              <w:bottom w:val="nil"/>
            </w:tcBorders>
            <w:vAlign w:val="center"/>
          </w:tcPr>
          <w:p w:rsidR="003D7A82" w:rsidRDefault="00335CC4" w:rsidP="00335CC4">
            <w:pPr>
              <w:pStyle w:val="StandaardSV"/>
              <w:ind w:right="199"/>
              <w:jc w:val="right"/>
              <w:rPr>
                <w:szCs w:val="22"/>
              </w:rPr>
            </w:pPr>
            <w:r>
              <w:rPr>
                <w:szCs w:val="22"/>
              </w:rPr>
              <w:t>189.761</w:t>
            </w:r>
          </w:p>
        </w:tc>
      </w:tr>
      <w:tr w:rsidR="003D7A82" w:rsidTr="00335CC4">
        <w:tc>
          <w:tcPr>
            <w:tcW w:w="992" w:type="dxa"/>
            <w:tcBorders>
              <w:right w:val="single" w:sz="4" w:space="0" w:color="000000" w:themeColor="text1"/>
            </w:tcBorders>
          </w:tcPr>
          <w:p w:rsidR="003D7A82" w:rsidRDefault="003D7A82" w:rsidP="00EA274B">
            <w:pPr>
              <w:pStyle w:val="StandaardSV"/>
              <w:rPr>
                <w:szCs w:val="22"/>
              </w:rPr>
            </w:pPr>
            <w:r>
              <w:rPr>
                <w:szCs w:val="22"/>
              </w:rPr>
              <w:t>2009</w:t>
            </w:r>
          </w:p>
        </w:tc>
        <w:tc>
          <w:tcPr>
            <w:tcW w:w="1299" w:type="dxa"/>
            <w:tcBorders>
              <w:top w:val="nil"/>
              <w:left w:val="single" w:sz="4" w:space="0" w:color="000000" w:themeColor="text1"/>
              <w:bottom w:val="nil"/>
            </w:tcBorders>
            <w:vAlign w:val="center"/>
          </w:tcPr>
          <w:p w:rsidR="003D7A82" w:rsidRDefault="004973C0" w:rsidP="00335CC4">
            <w:pPr>
              <w:pStyle w:val="StandaardSV"/>
              <w:ind w:right="199"/>
              <w:jc w:val="right"/>
              <w:rPr>
                <w:szCs w:val="22"/>
              </w:rPr>
            </w:pPr>
            <w:r>
              <w:rPr>
                <w:szCs w:val="22"/>
              </w:rPr>
              <w:t>434.359</w:t>
            </w:r>
          </w:p>
        </w:tc>
        <w:tc>
          <w:tcPr>
            <w:tcW w:w="1299" w:type="dxa"/>
            <w:tcBorders>
              <w:top w:val="nil"/>
              <w:bottom w:val="nil"/>
              <w:right w:val="single" w:sz="4" w:space="0" w:color="000000" w:themeColor="text1"/>
            </w:tcBorders>
            <w:vAlign w:val="center"/>
          </w:tcPr>
          <w:p w:rsidR="003D7A82" w:rsidRDefault="00335CC4" w:rsidP="00335CC4">
            <w:pPr>
              <w:pStyle w:val="StandaardSV"/>
              <w:ind w:right="199"/>
              <w:jc w:val="right"/>
              <w:rPr>
                <w:szCs w:val="22"/>
              </w:rPr>
            </w:pPr>
            <w:r>
              <w:rPr>
                <w:szCs w:val="22"/>
              </w:rPr>
              <w:t>287.676</w:t>
            </w:r>
          </w:p>
        </w:tc>
        <w:tc>
          <w:tcPr>
            <w:tcW w:w="1300" w:type="dxa"/>
            <w:tcBorders>
              <w:left w:val="single" w:sz="4" w:space="0" w:color="000000" w:themeColor="text1"/>
            </w:tcBorders>
            <w:vAlign w:val="center"/>
          </w:tcPr>
          <w:p w:rsidR="003D7A82" w:rsidRDefault="00703D6E" w:rsidP="00335CC4">
            <w:pPr>
              <w:pStyle w:val="StandaardSV"/>
              <w:ind w:right="199"/>
              <w:jc w:val="right"/>
              <w:rPr>
                <w:szCs w:val="22"/>
              </w:rPr>
            </w:pPr>
            <w:r>
              <w:rPr>
                <w:szCs w:val="22"/>
              </w:rPr>
              <w:t>558.569</w:t>
            </w:r>
          </w:p>
        </w:tc>
        <w:tc>
          <w:tcPr>
            <w:tcW w:w="1299" w:type="dxa"/>
            <w:tcBorders>
              <w:right w:val="single" w:sz="4" w:space="0" w:color="000000" w:themeColor="text1"/>
            </w:tcBorders>
            <w:vAlign w:val="center"/>
          </w:tcPr>
          <w:p w:rsidR="003D7A82" w:rsidRDefault="00335CC4" w:rsidP="00335CC4">
            <w:pPr>
              <w:pStyle w:val="StandaardSV"/>
              <w:ind w:right="199"/>
              <w:jc w:val="right"/>
              <w:rPr>
                <w:szCs w:val="22"/>
              </w:rPr>
            </w:pPr>
            <w:r>
              <w:rPr>
                <w:szCs w:val="22"/>
              </w:rPr>
              <w:t>369.940</w:t>
            </w:r>
          </w:p>
        </w:tc>
        <w:tc>
          <w:tcPr>
            <w:tcW w:w="1299" w:type="dxa"/>
            <w:tcBorders>
              <w:top w:val="nil"/>
              <w:left w:val="single" w:sz="4" w:space="0" w:color="000000" w:themeColor="text1"/>
              <w:bottom w:val="nil"/>
            </w:tcBorders>
            <w:vAlign w:val="center"/>
          </w:tcPr>
          <w:p w:rsidR="003D7A82" w:rsidRDefault="004973C0" w:rsidP="00335CC4">
            <w:pPr>
              <w:pStyle w:val="StandaardSV"/>
              <w:ind w:right="199"/>
              <w:jc w:val="right"/>
              <w:rPr>
                <w:szCs w:val="22"/>
              </w:rPr>
            </w:pPr>
            <w:r>
              <w:rPr>
                <w:szCs w:val="22"/>
              </w:rPr>
              <w:t>116.809</w:t>
            </w:r>
          </w:p>
        </w:tc>
        <w:tc>
          <w:tcPr>
            <w:tcW w:w="1300" w:type="dxa"/>
            <w:tcBorders>
              <w:top w:val="nil"/>
              <w:bottom w:val="nil"/>
            </w:tcBorders>
            <w:vAlign w:val="center"/>
          </w:tcPr>
          <w:p w:rsidR="003D7A82" w:rsidRDefault="00335CC4" w:rsidP="00335CC4">
            <w:pPr>
              <w:pStyle w:val="StandaardSV"/>
              <w:ind w:right="199"/>
              <w:jc w:val="right"/>
              <w:rPr>
                <w:szCs w:val="22"/>
              </w:rPr>
            </w:pPr>
            <w:r>
              <w:rPr>
                <w:szCs w:val="22"/>
              </w:rPr>
              <w:t>77.363</w:t>
            </w:r>
          </w:p>
        </w:tc>
      </w:tr>
      <w:tr w:rsidR="003D7A82" w:rsidTr="00335CC4">
        <w:tc>
          <w:tcPr>
            <w:tcW w:w="992" w:type="dxa"/>
            <w:tcBorders>
              <w:bottom w:val="nil"/>
              <w:right w:val="single" w:sz="4" w:space="0" w:color="000000" w:themeColor="text1"/>
            </w:tcBorders>
          </w:tcPr>
          <w:p w:rsidR="003D7A82" w:rsidRDefault="003D7A82" w:rsidP="00EA274B">
            <w:pPr>
              <w:pStyle w:val="StandaardSV"/>
              <w:rPr>
                <w:szCs w:val="22"/>
              </w:rPr>
            </w:pPr>
            <w:r>
              <w:rPr>
                <w:szCs w:val="22"/>
              </w:rPr>
              <w:t>2010</w:t>
            </w:r>
          </w:p>
        </w:tc>
        <w:tc>
          <w:tcPr>
            <w:tcW w:w="1299" w:type="dxa"/>
            <w:tcBorders>
              <w:top w:val="nil"/>
              <w:left w:val="single" w:sz="4" w:space="0" w:color="000000" w:themeColor="text1"/>
              <w:bottom w:val="nil"/>
            </w:tcBorders>
            <w:vAlign w:val="center"/>
          </w:tcPr>
          <w:p w:rsidR="003D7A82" w:rsidRDefault="004973C0" w:rsidP="00335CC4">
            <w:pPr>
              <w:pStyle w:val="StandaardSV"/>
              <w:ind w:right="199"/>
              <w:jc w:val="right"/>
              <w:rPr>
                <w:szCs w:val="22"/>
              </w:rPr>
            </w:pPr>
            <w:r>
              <w:rPr>
                <w:szCs w:val="22"/>
              </w:rPr>
              <w:t>455.970</w:t>
            </w:r>
          </w:p>
        </w:tc>
        <w:tc>
          <w:tcPr>
            <w:tcW w:w="1299" w:type="dxa"/>
            <w:tcBorders>
              <w:top w:val="nil"/>
              <w:bottom w:val="nil"/>
              <w:right w:val="single" w:sz="4" w:space="0" w:color="000000" w:themeColor="text1"/>
            </w:tcBorders>
            <w:vAlign w:val="center"/>
          </w:tcPr>
          <w:p w:rsidR="003D7A82" w:rsidRDefault="00335CC4" w:rsidP="00335CC4">
            <w:pPr>
              <w:pStyle w:val="StandaardSV"/>
              <w:ind w:right="199"/>
              <w:jc w:val="right"/>
              <w:rPr>
                <w:szCs w:val="22"/>
              </w:rPr>
            </w:pPr>
            <w:r>
              <w:rPr>
                <w:szCs w:val="22"/>
              </w:rPr>
              <w:t>330.350</w:t>
            </w:r>
          </w:p>
        </w:tc>
        <w:tc>
          <w:tcPr>
            <w:tcW w:w="1300" w:type="dxa"/>
            <w:tcBorders>
              <w:left w:val="single" w:sz="4" w:space="0" w:color="000000" w:themeColor="text1"/>
              <w:bottom w:val="nil"/>
            </w:tcBorders>
            <w:vAlign w:val="center"/>
          </w:tcPr>
          <w:p w:rsidR="003D7A82" w:rsidRDefault="004973C0" w:rsidP="00335CC4">
            <w:pPr>
              <w:pStyle w:val="StandaardSV"/>
              <w:ind w:right="199"/>
              <w:jc w:val="right"/>
              <w:rPr>
                <w:szCs w:val="22"/>
              </w:rPr>
            </w:pPr>
            <w:r>
              <w:rPr>
                <w:szCs w:val="22"/>
              </w:rPr>
              <w:t>972.577</w:t>
            </w:r>
          </w:p>
        </w:tc>
        <w:tc>
          <w:tcPr>
            <w:tcW w:w="1299" w:type="dxa"/>
            <w:tcBorders>
              <w:bottom w:val="nil"/>
              <w:right w:val="single" w:sz="4" w:space="0" w:color="000000" w:themeColor="text1"/>
            </w:tcBorders>
            <w:vAlign w:val="center"/>
          </w:tcPr>
          <w:p w:rsidR="003D7A82" w:rsidRDefault="00335CC4" w:rsidP="00335CC4">
            <w:pPr>
              <w:pStyle w:val="StandaardSV"/>
              <w:ind w:right="199"/>
              <w:jc w:val="right"/>
              <w:rPr>
                <w:szCs w:val="22"/>
              </w:rPr>
            </w:pPr>
            <w:r>
              <w:rPr>
                <w:szCs w:val="22"/>
              </w:rPr>
              <w:t>704.632</w:t>
            </w:r>
          </w:p>
        </w:tc>
        <w:tc>
          <w:tcPr>
            <w:tcW w:w="1299" w:type="dxa"/>
            <w:tcBorders>
              <w:top w:val="nil"/>
              <w:left w:val="single" w:sz="4" w:space="0" w:color="000000" w:themeColor="text1"/>
              <w:bottom w:val="nil"/>
            </w:tcBorders>
            <w:vAlign w:val="center"/>
          </w:tcPr>
          <w:p w:rsidR="003D7A82" w:rsidRDefault="004973C0" w:rsidP="00335CC4">
            <w:pPr>
              <w:pStyle w:val="StandaardSV"/>
              <w:ind w:right="199"/>
              <w:jc w:val="right"/>
              <w:rPr>
                <w:szCs w:val="22"/>
              </w:rPr>
            </w:pPr>
            <w:r>
              <w:rPr>
                <w:szCs w:val="22"/>
              </w:rPr>
              <w:t>381.670</w:t>
            </w:r>
          </w:p>
        </w:tc>
        <w:tc>
          <w:tcPr>
            <w:tcW w:w="1300" w:type="dxa"/>
            <w:tcBorders>
              <w:top w:val="nil"/>
              <w:bottom w:val="nil"/>
            </w:tcBorders>
            <w:vAlign w:val="center"/>
          </w:tcPr>
          <w:p w:rsidR="003D7A82" w:rsidRDefault="00335CC4" w:rsidP="00335CC4">
            <w:pPr>
              <w:pStyle w:val="StandaardSV"/>
              <w:ind w:right="199"/>
              <w:jc w:val="right"/>
              <w:rPr>
                <w:szCs w:val="22"/>
              </w:rPr>
            </w:pPr>
            <w:r>
              <w:rPr>
                <w:szCs w:val="22"/>
              </w:rPr>
              <w:t>276.520</w:t>
            </w:r>
          </w:p>
        </w:tc>
      </w:tr>
      <w:tr w:rsidR="003D7A82" w:rsidTr="00335CC4">
        <w:tc>
          <w:tcPr>
            <w:tcW w:w="992" w:type="dxa"/>
            <w:tcBorders>
              <w:top w:val="nil"/>
              <w:bottom w:val="single" w:sz="12" w:space="0" w:color="000000" w:themeColor="text1"/>
              <w:right w:val="single" w:sz="4" w:space="0" w:color="000000" w:themeColor="text1"/>
            </w:tcBorders>
          </w:tcPr>
          <w:p w:rsidR="003D7A82" w:rsidRDefault="003D7A82" w:rsidP="00EA274B">
            <w:pPr>
              <w:pStyle w:val="StandaardSV"/>
              <w:rPr>
                <w:szCs w:val="22"/>
              </w:rPr>
            </w:pPr>
            <w:r>
              <w:rPr>
                <w:szCs w:val="22"/>
              </w:rPr>
              <w:t>2011</w:t>
            </w:r>
          </w:p>
        </w:tc>
        <w:tc>
          <w:tcPr>
            <w:tcW w:w="1299" w:type="dxa"/>
            <w:tcBorders>
              <w:top w:val="nil"/>
              <w:left w:val="single" w:sz="4" w:space="0" w:color="000000" w:themeColor="text1"/>
              <w:bottom w:val="single" w:sz="12" w:space="0" w:color="000000" w:themeColor="text1"/>
            </w:tcBorders>
            <w:vAlign w:val="center"/>
          </w:tcPr>
          <w:p w:rsidR="003D7A82" w:rsidRDefault="00BF1BF6" w:rsidP="00335CC4">
            <w:pPr>
              <w:pStyle w:val="StandaardSV"/>
              <w:ind w:right="199"/>
              <w:jc w:val="right"/>
              <w:rPr>
                <w:szCs w:val="22"/>
              </w:rPr>
            </w:pPr>
            <w:r>
              <w:rPr>
                <w:szCs w:val="22"/>
              </w:rPr>
              <w:t>800.257</w:t>
            </w:r>
          </w:p>
        </w:tc>
        <w:tc>
          <w:tcPr>
            <w:tcW w:w="1299" w:type="dxa"/>
            <w:tcBorders>
              <w:top w:val="nil"/>
              <w:bottom w:val="single" w:sz="12" w:space="0" w:color="000000" w:themeColor="text1"/>
              <w:right w:val="single" w:sz="4" w:space="0" w:color="000000" w:themeColor="text1"/>
            </w:tcBorders>
            <w:vAlign w:val="center"/>
          </w:tcPr>
          <w:p w:rsidR="003D7A82" w:rsidRDefault="00335CC4" w:rsidP="00335CC4">
            <w:pPr>
              <w:pStyle w:val="StandaardSV"/>
              <w:ind w:right="199"/>
              <w:jc w:val="right"/>
              <w:rPr>
                <w:szCs w:val="22"/>
              </w:rPr>
            </w:pPr>
            <w:r>
              <w:rPr>
                <w:szCs w:val="22"/>
              </w:rPr>
              <w:t>649.249</w:t>
            </w:r>
          </w:p>
        </w:tc>
        <w:tc>
          <w:tcPr>
            <w:tcW w:w="1300" w:type="dxa"/>
            <w:tcBorders>
              <w:top w:val="nil"/>
              <w:left w:val="single" w:sz="4" w:space="0" w:color="000000" w:themeColor="text1"/>
              <w:bottom w:val="single" w:sz="12" w:space="0" w:color="000000" w:themeColor="text1"/>
            </w:tcBorders>
            <w:vAlign w:val="center"/>
          </w:tcPr>
          <w:p w:rsidR="003D7A82" w:rsidRDefault="004973C0" w:rsidP="00335CC4">
            <w:pPr>
              <w:pStyle w:val="StandaardSV"/>
              <w:ind w:right="199"/>
              <w:jc w:val="right"/>
              <w:rPr>
                <w:szCs w:val="22"/>
              </w:rPr>
            </w:pPr>
            <w:r>
              <w:rPr>
                <w:szCs w:val="22"/>
              </w:rPr>
              <w:t>1.101.870</w:t>
            </w:r>
          </w:p>
        </w:tc>
        <w:tc>
          <w:tcPr>
            <w:tcW w:w="1299" w:type="dxa"/>
            <w:tcBorders>
              <w:top w:val="nil"/>
              <w:bottom w:val="single" w:sz="12" w:space="0" w:color="000000" w:themeColor="text1"/>
              <w:right w:val="single" w:sz="4" w:space="0" w:color="000000" w:themeColor="text1"/>
            </w:tcBorders>
            <w:vAlign w:val="center"/>
          </w:tcPr>
          <w:p w:rsidR="003D7A82" w:rsidRDefault="00335CC4" w:rsidP="00335CC4">
            <w:pPr>
              <w:pStyle w:val="StandaardSV"/>
              <w:ind w:right="199"/>
              <w:jc w:val="right"/>
              <w:rPr>
                <w:szCs w:val="22"/>
              </w:rPr>
            </w:pPr>
            <w:r>
              <w:rPr>
                <w:szCs w:val="22"/>
              </w:rPr>
              <w:t>893.947</w:t>
            </w:r>
          </w:p>
        </w:tc>
        <w:tc>
          <w:tcPr>
            <w:tcW w:w="1299" w:type="dxa"/>
            <w:tcBorders>
              <w:top w:val="nil"/>
              <w:left w:val="single" w:sz="4" w:space="0" w:color="000000" w:themeColor="text1"/>
              <w:bottom w:val="single" w:sz="12" w:space="0" w:color="000000" w:themeColor="text1"/>
            </w:tcBorders>
            <w:vAlign w:val="center"/>
          </w:tcPr>
          <w:p w:rsidR="003D7A82" w:rsidRDefault="00BF1BF6" w:rsidP="00335CC4">
            <w:pPr>
              <w:pStyle w:val="StandaardSV"/>
              <w:ind w:right="199"/>
              <w:jc w:val="right"/>
              <w:rPr>
                <w:szCs w:val="22"/>
              </w:rPr>
            </w:pPr>
            <w:r>
              <w:rPr>
                <w:szCs w:val="22"/>
              </w:rPr>
              <w:t>646.323</w:t>
            </w:r>
          </w:p>
        </w:tc>
        <w:tc>
          <w:tcPr>
            <w:tcW w:w="1300" w:type="dxa"/>
            <w:tcBorders>
              <w:top w:val="nil"/>
              <w:bottom w:val="single" w:sz="12" w:space="0" w:color="000000" w:themeColor="text1"/>
            </w:tcBorders>
            <w:vAlign w:val="center"/>
          </w:tcPr>
          <w:p w:rsidR="003D7A82" w:rsidRDefault="00335CC4" w:rsidP="00335CC4">
            <w:pPr>
              <w:pStyle w:val="StandaardSV"/>
              <w:ind w:right="199"/>
              <w:jc w:val="right"/>
              <w:rPr>
                <w:szCs w:val="22"/>
              </w:rPr>
            </w:pPr>
            <w:r>
              <w:rPr>
                <w:szCs w:val="22"/>
              </w:rPr>
              <w:t>524.362</w:t>
            </w:r>
          </w:p>
        </w:tc>
      </w:tr>
    </w:tbl>
    <w:p w:rsidR="003D7A82" w:rsidRDefault="003D7A82" w:rsidP="00EA274B">
      <w:pPr>
        <w:pStyle w:val="StandaardSV"/>
        <w:ind w:left="284"/>
        <w:rPr>
          <w:szCs w:val="22"/>
        </w:rPr>
      </w:pPr>
    </w:p>
    <w:p w:rsidR="00C333CF" w:rsidRDefault="00C333CF" w:rsidP="00EA274B">
      <w:pPr>
        <w:pStyle w:val="StandaardSV"/>
        <w:ind w:left="284"/>
        <w:rPr>
          <w:szCs w:val="22"/>
        </w:rPr>
      </w:pPr>
      <w:r>
        <w:rPr>
          <w:szCs w:val="22"/>
        </w:rPr>
        <w:t>Slechts één leverancier was verantwoordelijk voor alle leveringen van diensten door België. Deze leverancier is gevestigd in Wallonië.</w:t>
      </w:r>
    </w:p>
    <w:p w:rsidR="00C333CF" w:rsidRDefault="00C333CF" w:rsidP="00EA274B">
      <w:pPr>
        <w:pStyle w:val="StandaardSV"/>
        <w:ind w:left="284"/>
        <w:rPr>
          <w:szCs w:val="22"/>
        </w:rPr>
      </w:pPr>
    </w:p>
    <w:p w:rsidR="004D5B23" w:rsidRDefault="004D5B23" w:rsidP="00820F2A">
      <w:pPr>
        <w:pStyle w:val="StandaardSV"/>
        <w:rPr>
          <w:szCs w:val="22"/>
        </w:rPr>
      </w:pPr>
      <w:bookmarkStart w:id="1" w:name="_GoBack"/>
      <w:bookmarkEnd w:id="1"/>
    </w:p>
    <w:p w:rsidR="00C333CF" w:rsidRDefault="00C333CF" w:rsidP="004D5B23">
      <w:pPr>
        <w:pStyle w:val="StandaardSV"/>
        <w:numPr>
          <w:ilvl w:val="0"/>
          <w:numId w:val="3"/>
        </w:numPr>
        <w:rPr>
          <w:szCs w:val="22"/>
        </w:rPr>
      </w:pPr>
      <w:r>
        <w:rPr>
          <w:szCs w:val="22"/>
        </w:rPr>
        <w:t>FIT is niet op de hoogte van andere akkoorden waarbij de Belgische industrie een voorbehouden of prioritair deel van de aan te leveren goederen en diensten mag leveren.</w:t>
      </w:r>
    </w:p>
    <w:sectPr w:rsidR="00C333CF"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A5" w:rsidRDefault="009812A5">
      <w:r>
        <w:separator/>
      </w:r>
    </w:p>
  </w:endnote>
  <w:endnote w:type="continuationSeparator" w:id="0">
    <w:p w:rsidR="009812A5" w:rsidRDefault="0098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Ve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A5" w:rsidRDefault="009812A5">
      <w:r>
        <w:separator/>
      </w:r>
    </w:p>
  </w:footnote>
  <w:footnote w:type="continuationSeparator" w:id="0">
    <w:p w:rsidR="009812A5" w:rsidRDefault="00981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20A20C84"/>
    <w:multiLevelType w:val="hybridMultilevel"/>
    <w:tmpl w:val="C436D858"/>
    <w:lvl w:ilvl="0" w:tplc="F29C0F7A">
      <w:start w:val="1"/>
      <w:numFmt w:val="decimal"/>
      <w:pStyle w:val="Rt6"/>
      <w:lvlText w:val="%1."/>
      <w:lvlJc w:val="left"/>
      <w:pPr>
        <w:tabs>
          <w:tab w:val="num" w:pos="36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cs="Arial"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Arial"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Arial"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3">
    <w:nsid w:val="6FD3395D"/>
    <w:multiLevelType w:val="hybridMultilevel"/>
    <w:tmpl w:val="3BDCD84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A0"/>
    <w:rsid w:val="000014D9"/>
    <w:rsid w:val="00001C82"/>
    <w:rsid w:val="000021E6"/>
    <w:rsid w:val="00010EBC"/>
    <w:rsid w:val="000152D5"/>
    <w:rsid w:val="00024075"/>
    <w:rsid w:val="000266C5"/>
    <w:rsid w:val="00026BE6"/>
    <w:rsid w:val="000309D3"/>
    <w:rsid w:val="00033D3D"/>
    <w:rsid w:val="00036F4F"/>
    <w:rsid w:val="00037299"/>
    <w:rsid w:val="00042AEA"/>
    <w:rsid w:val="00047A45"/>
    <w:rsid w:val="0005236C"/>
    <w:rsid w:val="00056988"/>
    <w:rsid w:val="00056ECE"/>
    <w:rsid w:val="00064F8A"/>
    <w:rsid w:val="00065529"/>
    <w:rsid w:val="00072457"/>
    <w:rsid w:val="00074B4A"/>
    <w:rsid w:val="00075D9F"/>
    <w:rsid w:val="00075EB4"/>
    <w:rsid w:val="00077665"/>
    <w:rsid w:val="00077E4A"/>
    <w:rsid w:val="00077EDB"/>
    <w:rsid w:val="000800E7"/>
    <w:rsid w:val="00080BE7"/>
    <w:rsid w:val="00084C31"/>
    <w:rsid w:val="00084E43"/>
    <w:rsid w:val="00092313"/>
    <w:rsid w:val="00093476"/>
    <w:rsid w:val="0009630A"/>
    <w:rsid w:val="000A2CF5"/>
    <w:rsid w:val="000A3F88"/>
    <w:rsid w:val="000A41C9"/>
    <w:rsid w:val="000A6973"/>
    <w:rsid w:val="000A7E10"/>
    <w:rsid w:val="000B1299"/>
    <w:rsid w:val="000B2322"/>
    <w:rsid w:val="000B771A"/>
    <w:rsid w:val="000B7DA6"/>
    <w:rsid w:val="000C5D15"/>
    <w:rsid w:val="000D4AE2"/>
    <w:rsid w:val="000D5486"/>
    <w:rsid w:val="000E0431"/>
    <w:rsid w:val="000E1257"/>
    <w:rsid w:val="000E32DF"/>
    <w:rsid w:val="000F1488"/>
    <w:rsid w:val="000F2BC1"/>
    <w:rsid w:val="000F5EAE"/>
    <w:rsid w:val="001028D5"/>
    <w:rsid w:val="001070AF"/>
    <w:rsid w:val="0010725F"/>
    <w:rsid w:val="001076C6"/>
    <w:rsid w:val="001120CA"/>
    <w:rsid w:val="00114B84"/>
    <w:rsid w:val="00115765"/>
    <w:rsid w:val="0011668A"/>
    <w:rsid w:val="00117861"/>
    <w:rsid w:val="001201FF"/>
    <w:rsid w:val="001202AA"/>
    <w:rsid w:val="00123B20"/>
    <w:rsid w:val="00126B21"/>
    <w:rsid w:val="001335C0"/>
    <w:rsid w:val="001340FC"/>
    <w:rsid w:val="00135503"/>
    <w:rsid w:val="0014054D"/>
    <w:rsid w:val="001512EB"/>
    <w:rsid w:val="001514DE"/>
    <w:rsid w:val="0015384E"/>
    <w:rsid w:val="001555C5"/>
    <w:rsid w:val="001558FE"/>
    <w:rsid w:val="001563B4"/>
    <w:rsid w:val="001618C4"/>
    <w:rsid w:val="001662D5"/>
    <w:rsid w:val="00174839"/>
    <w:rsid w:val="00183076"/>
    <w:rsid w:val="001914EE"/>
    <w:rsid w:val="00192147"/>
    <w:rsid w:val="0019251F"/>
    <w:rsid w:val="001951E0"/>
    <w:rsid w:val="0019747B"/>
    <w:rsid w:val="001A10AB"/>
    <w:rsid w:val="001A317B"/>
    <w:rsid w:val="001A5337"/>
    <w:rsid w:val="001A7C18"/>
    <w:rsid w:val="001B2284"/>
    <w:rsid w:val="001B2ACC"/>
    <w:rsid w:val="001B2CF4"/>
    <w:rsid w:val="001B5C0A"/>
    <w:rsid w:val="001B67BF"/>
    <w:rsid w:val="001C287E"/>
    <w:rsid w:val="001C40CA"/>
    <w:rsid w:val="001C5A7E"/>
    <w:rsid w:val="001D0C09"/>
    <w:rsid w:val="001D392E"/>
    <w:rsid w:val="001D3E83"/>
    <w:rsid w:val="001D4B35"/>
    <w:rsid w:val="001D57FD"/>
    <w:rsid w:val="001E2A12"/>
    <w:rsid w:val="001E744B"/>
    <w:rsid w:val="001E7834"/>
    <w:rsid w:val="001F473A"/>
    <w:rsid w:val="001F792C"/>
    <w:rsid w:val="00207DEF"/>
    <w:rsid w:val="00213292"/>
    <w:rsid w:val="002135A3"/>
    <w:rsid w:val="00213D2E"/>
    <w:rsid w:val="00214E6D"/>
    <w:rsid w:val="00216A87"/>
    <w:rsid w:val="002200B6"/>
    <w:rsid w:val="00220A79"/>
    <w:rsid w:val="00220DAC"/>
    <w:rsid w:val="00221220"/>
    <w:rsid w:val="00221387"/>
    <w:rsid w:val="002213A8"/>
    <w:rsid w:val="00222998"/>
    <w:rsid w:val="00226A2F"/>
    <w:rsid w:val="00226ABA"/>
    <w:rsid w:val="002271F0"/>
    <w:rsid w:val="00232554"/>
    <w:rsid w:val="00234ACB"/>
    <w:rsid w:val="00235E16"/>
    <w:rsid w:val="00254503"/>
    <w:rsid w:val="00256854"/>
    <w:rsid w:val="002576B5"/>
    <w:rsid w:val="00260410"/>
    <w:rsid w:val="00264673"/>
    <w:rsid w:val="002656E7"/>
    <w:rsid w:val="0026611C"/>
    <w:rsid w:val="002665BC"/>
    <w:rsid w:val="00267DB4"/>
    <w:rsid w:val="002708A1"/>
    <w:rsid w:val="0027114E"/>
    <w:rsid w:val="0028200E"/>
    <w:rsid w:val="002902D7"/>
    <w:rsid w:val="002911B9"/>
    <w:rsid w:val="00294E57"/>
    <w:rsid w:val="00296BFC"/>
    <w:rsid w:val="002A06F7"/>
    <w:rsid w:val="002A119A"/>
    <w:rsid w:val="002A4B72"/>
    <w:rsid w:val="002B15DF"/>
    <w:rsid w:val="002B4821"/>
    <w:rsid w:val="002B4C64"/>
    <w:rsid w:val="002B5CEF"/>
    <w:rsid w:val="002C00B4"/>
    <w:rsid w:val="002C2377"/>
    <w:rsid w:val="002C49DB"/>
    <w:rsid w:val="002C6EFE"/>
    <w:rsid w:val="002D3438"/>
    <w:rsid w:val="002D47B7"/>
    <w:rsid w:val="002D74C0"/>
    <w:rsid w:val="002D76BD"/>
    <w:rsid w:val="002D7DF9"/>
    <w:rsid w:val="002E02C1"/>
    <w:rsid w:val="002E067E"/>
    <w:rsid w:val="002E114D"/>
    <w:rsid w:val="002E20E9"/>
    <w:rsid w:val="002E2735"/>
    <w:rsid w:val="002E4EB4"/>
    <w:rsid w:val="002E6E2C"/>
    <w:rsid w:val="002F10AE"/>
    <w:rsid w:val="002F1729"/>
    <w:rsid w:val="002F3FA8"/>
    <w:rsid w:val="00301A1D"/>
    <w:rsid w:val="00302094"/>
    <w:rsid w:val="00303381"/>
    <w:rsid w:val="00311EAC"/>
    <w:rsid w:val="003216D9"/>
    <w:rsid w:val="00330660"/>
    <w:rsid w:val="0033258D"/>
    <w:rsid w:val="003354D2"/>
    <w:rsid w:val="00335BC1"/>
    <w:rsid w:val="00335CC4"/>
    <w:rsid w:val="00343734"/>
    <w:rsid w:val="003556D4"/>
    <w:rsid w:val="00360F9C"/>
    <w:rsid w:val="00361FD5"/>
    <w:rsid w:val="003667F1"/>
    <w:rsid w:val="0036770B"/>
    <w:rsid w:val="00367FFC"/>
    <w:rsid w:val="00372ACC"/>
    <w:rsid w:val="0037307B"/>
    <w:rsid w:val="00374680"/>
    <w:rsid w:val="00376784"/>
    <w:rsid w:val="00377043"/>
    <w:rsid w:val="00380BBE"/>
    <w:rsid w:val="00381A47"/>
    <w:rsid w:val="00382CFA"/>
    <w:rsid w:val="0038491D"/>
    <w:rsid w:val="003862A7"/>
    <w:rsid w:val="003940B6"/>
    <w:rsid w:val="00394767"/>
    <w:rsid w:val="003A0A79"/>
    <w:rsid w:val="003A0BE6"/>
    <w:rsid w:val="003A6A7A"/>
    <w:rsid w:val="003A6AAB"/>
    <w:rsid w:val="003B1DA9"/>
    <w:rsid w:val="003B2E95"/>
    <w:rsid w:val="003B3B1A"/>
    <w:rsid w:val="003B5710"/>
    <w:rsid w:val="003C19BE"/>
    <w:rsid w:val="003C3D4D"/>
    <w:rsid w:val="003C4D5A"/>
    <w:rsid w:val="003C62A9"/>
    <w:rsid w:val="003C79AC"/>
    <w:rsid w:val="003D4323"/>
    <w:rsid w:val="003D5B86"/>
    <w:rsid w:val="003D753C"/>
    <w:rsid w:val="003D7A82"/>
    <w:rsid w:val="003D7AC8"/>
    <w:rsid w:val="003E7449"/>
    <w:rsid w:val="003F1613"/>
    <w:rsid w:val="003F1625"/>
    <w:rsid w:val="003F4A68"/>
    <w:rsid w:val="00401570"/>
    <w:rsid w:val="00403B43"/>
    <w:rsid w:val="004074E8"/>
    <w:rsid w:val="00410FFA"/>
    <w:rsid w:val="004118D5"/>
    <w:rsid w:val="004140D5"/>
    <w:rsid w:val="0041428D"/>
    <w:rsid w:val="004170CC"/>
    <w:rsid w:val="0042015F"/>
    <w:rsid w:val="00422B5E"/>
    <w:rsid w:val="004246BC"/>
    <w:rsid w:val="00426C0A"/>
    <w:rsid w:val="00426DB0"/>
    <w:rsid w:val="0043252C"/>
    <w:rsid w:val="00433667"/>
    <w:rsid w:val="0043427D"/>
    <w:rsid w:val="00441B05"/>
    <w:rsid w:val="00441F3F"/>
    <w:rsid w:val="004426C8"/>
    <w:rsid w:val="004445CD"/>
    <w:rsid w:val="00445DC2"/>
    <w:rsid w:val="00445DF2"/>
    <w:rsid w:val="0044646C"/>
    <w:rsid w:val="00452109"/>
    <w:rsid w:val="004526B6"/>
    <w:rsid w:val="00453837"/>
    <w:rsid w:val="00456315"/>
    <w:rsid w:val="0046481F"/>
    <w:rsid w:val="004747A1"/>
    <w:rsid w:val="00480234"/>
    <w:rsid w:val="00481B69"/>
    <w:rsid w:val="00484FAF"/>
    <w:rsid w:val="00491186"/>
    <w:rsid w:val="00492BE7"/>
    <w:rsid w:val="00496797"/>
    <w:rsid w:val="0049683C"/>
    <w:rsid w:val="00497269"/>
    <w:rsid w:val="004973C0"/>
    <w:rsid w:val="00497592"/>
    <w:rsid w:val="004A0732"/>
    <w:rsid w:val="004A1C18"/>
    <w:rsid w:val="004B00EE"/>
    <w:rsid w:val="004B0A46"/>
    <w:rsid w:val="004B4A59"/>
    <w:rsid w:val="004B6A53"/>
    <w:rsid w:val="004C0D12"/>
    <w:rsid w:val="004C0E87"/>
    <w:rsid w:val="004C5503"/>
    <w:rsid w:val="004D3931"/>
    <w:rsid w:val="004D5B23"/>
    <w:rsid w:val="004D5EB8"/>
    <w:rsid w:val="004D5F55"/>
    <w:rsid w:val="004E1722"/>
    <w:rsid w:val="004E5436"/>
    <w:rsid w:val="004E7733"/>
    <w:rsid w:val="004F0CD1"/>
    <w:rsid w:val="00502F32"/>
    <w:rsid w:val="00504B9B"/>
    <w:rsid w:val="00505E0C"/>
    <w:rsid w:val="005135BC"/>
    <w:rsid w:val="005157B2"/>
    <w:rsid w:val="00516E70"/>
    <w:rsid w:val="005218C7"/>
    <w:rsid w:val="00522C31"/>
    <w:rsid w:val="00524040"/>
    <w:rsid w:val="00531DC3"/>
    <w:rsid w:val="00532075"/>
    <w:rsid w:val="00533208"/>
    <w:rsid w:val="00541229"/>
    <w:rsid w:val="005444F5"/>
    <w:rsid w:val="00547D33"/>
    <w:rsid w:val="00547D50"/>
    <w:rsid w:val="0055308C"/>
    <w:rsid w:val="005550AD"/>
    <w:rsid w:val="00560F06"/>
    <w:rsid w:val="00561DA4"/>
    <w:rsid w:val="00567FCA"/>
    <w:rsid w:val="00575ED6"/>
    <w:rsid w:val="005768E2"/>
    <w:rsid w:val="00580C7E"/>
    <w:rsid w:val="005848D4"/>
    <w:rsid w:val="00587C9E"/>
    <w:rsid w:val="0059438C"/>
    <w:rsid w:val="00595484"/>
    <w:rsid w:val="00596203"/>
    <w:rsid w:val="005963AF"/>
    <w:rsid w:val="005966AE"/>
    <w:rsid w:val="00596E46"/>
    <w:rsid w:val="005977EB"/>
    <w:rsid w:val="005A5419"/>
    <w:rsid w:val="005A647E"/>
    <w:rsid w:val="005A73C3"/>
    <w:rsid w:val="005A7B75"/>
    <w:rsid w:val="005B3FCF"/>
    <w:rsid w:val="005B5FD6"/>
    <w:rsid w:val="005C31B4"/>
    <w:rsid w:val="005D134D"/>
    <w:rsid w:val="005D5592"/>
    <w:rsid w:val="005E078E"/>
    <w:rsid w:val="005E2ECC"/>
    <w:rsid w:val="005E431A"/>
    <w:rsid w:val="005E6890"/>
    <w:rsid w:val="005E70C1"/>
    <w:rsid w:val="005F1026"/>
    <w:rsid w:val="005F257B"/>
    <w:rsid w:val="005F60F3"/>
    <w:rsid w:val="005F6335"/>
    <w:rsid w:val="005F63DB"/>
    <w:rsid w:val="005F71E2"/>
    <w:rsid w:val="005F741A"/>
    <w:rsid w:val="005F77C3"/>
    <w:rsid w:val="0060717B"/>
    <w:rsid w:val="00607219"/>
    <w:rsid w:val="00607763"/>
    <w:rsid w:val="0060792C"/>
    <w:rsid w:val="00611AD6"/>
    <w:rsid w:val="00613B99"/>
    <w:rsid w:val="00614804"/>
    <w:rsid w:val="00616CE3"/>
    <w:rsid w:val="006237D5"/>
    <w:rsid w:val="006333A4"/>
    <w:rsid w:val="00633E69"/>
    <w:rsid w:val="00636B79"/>
    <w:rsid w:val="00643DB7"/>
    <w:rsid w:val="00651DF5"/>
    <w:rsid w:val="00653652"/>
    <w:rsid w:val="00660348"/>
    <w:rsid w:val="006621A1"/>
    <w:rsid w:val="00665062"/>
    <w:rsid w:val="00665276"/>
    <w:rsid w:val="00665CA8"/>
    <w:rsid w:val="00671912"/>
    <w:rsid w:val="00671AE2"/>
    <w:rsid w:val="006720A8"/>
    <w:rsid w:val="0067266C"/>
    <w:rsid w:val="00674822"/>
    <w:rsid w:val="006830D3"/>
    <w:rsid w:val="0068388E"/>
    <w:rsid w:val="00690EFF"/>
    <w:rsid w:val="00697B71"/>
    <w:rsid w:val="00697FD3"/>
    <w:rsid w:val="006A1B6B"/>
    <w:rsid w:val="006A7D68"/>
    <w:rsid w:val="006B508E"/>
    <w:rsid w:val="006B71D5"/>
    <w:rsid w:val="006B7E91"/>
    <w:rsid w:val="006C118B"/>
    <w:rsid w:val="006C3626"/>
    <w:rsid w:val="006C4CBB"/>
    <w:rsid w:val="006C70C5"/>
    <w:rsid w:val="006D2015"/>
    <w:rsid w:val="006D3F55"/>
    <w:rsid w:val="006D4CF1"/>
    <w:rsid w:val="006D7FF2"/>
    <w:rsid w:val="006E1571"/>
    <w:rsid w:val="006E1D11"/>
    <w:rsid w:val="006E4238"/>
    <w:rsid w:val="006E4976"/>
    <w:rsid w:val="006E6C7C"/>
    <w:rsid w:val="006F3B19"/>
    <w:rsid w:val="006F4AF2"/>
    <w:rsid w:val="006F7DA6"/>
    <w:rsid w:val="00703D6E"/>
    <w:rsid w:val="00712AAF"/>
    <w:rsid w:val="00713C70"/>
    <w:rsid w:val="00714A08"/>
    <w:rsid w:val="007165BA"/>
    <w:rsid w:val="007237D0"/>
    <w:rsid w:val="00730951"/>
    <w:rsid w:val="00731455"/>
    <w:rsid w:val="00732336"/>
    <w:rsid w:val="00733990"/>
    <w:rsid w:val="00734F3D"/>
    <w:rsid w:val="00735454"/>
    <w:rsid w:val="0073606B"/>
    <w:rsid w:val="0073685F"/>
    <w:rsid w:val="00744E1F"/>
    <w:rsid w:val="0075209D"/>
    <w:rsid w:val="00754076"/>
    <w:rsid w:val="007578EC"/>
    <w:rsid w:val="0076066B"/>
    <w:rsid w:val="00761C82"/>
    <w:rsid w:val="007630CC"/>
    <w:rsid w:val="00763106"/>
    <w:rsid w:val="00764CD5"/>
    <w:rsid w:val="00770906"/>
    <w:rsid w:val="00772DEB"/>
    <w:rsid w:val="00773BD9"/>
    <w:rsid w:val="00773C43"/>
    <w:rsid w:val="00773F27"/>
    <w:rsid w:val="007759EF"/>
    <w:rsid w:val="00785E82"/>
    <w:rsid w:val="007A0AE4"/>
    <w:rsid w:val="007A2B4B"/>
    <w:rsid w:val="007A5422"/>
    <w:rsid w:val="007A66F2"/>
    <w:rsid w:val="007B11AA"/>
    <w:rsid w:val="007B370D"/>
    <w:rsid w:val="007B67B7"/>
    <w:rsid w:val="007B6B02"/>
    <w:rsid w:val="007C0946"/>
    <w:rsid w:val="007C241D"/>
    <w:rsid w:val="007C2E1E"/>
    <w:rsid w:val="007C4110"/>
    <w:rsid w:val="007D0388"/>
    <w:rsid w:val="007D158F"/>
    <w:rsid w:val="007D36B8"/>
    <w:rsid w:val="007D582F"/>
    <w:rsid w:val="007D593E"/>
    <w:rsid w:val="007D66A9"/>
    <w:rsid w:val="007D6F3C"/>
    <w:rsid w:val="007D788E"/>
    <w:rsid w:val="007E3E29"/>
    <w:rsid w:val="007E470F"/>
    <w:rsid w:val="007F1569"/>
    <w:rsid w:val="007F2C05"/>
    <w:rsid w:val="007F4A40"/>
    <w:rsid w:val="007F5D17"/>
    <w:rsid w:val="007F6800"/>
    <w:rsid w:val="008027AA"/>
    <w:rsid w:val="0080406D"/>
    <w:rsid w:val="00813B40"/>
    <w:rsid w:val="00820F2A"/>
    <w:rsid w:val="00822A2E"/>
    <w:rsid w:val="00823ED1"/>
    <w:rsid w:val="0082679F"/>
    <w:rsid w:val="00826A61"/>
    <w:rsid w:val="008278A8"/>
    <w:rsid w:val="00827AA1"/>
    <w:rsid w:val="00827E85"/>
    <w:rsid w:val="008320B4"/>
    <w:rsid w:val="00832411"/>
    <w:rsid w:val="00833B2F"/>
    <w:rsid w:val="00835415"/>
    <w:rsid w:val="00836A52"/>
    <w:rsid w:val="008372DE"/>
    <w:rsid w:val="00843631"/>
    <w:rsid w:val="00844CE0"/>
    <w:rsid w:val="0084545E"/>
    <w:rsid w:val="008500E2"/>
    <w:rsid w:val="00852B11"/>
    <w:rsid w:val="008534CA"/>
    <w:rsid w:val="00853DE0"/>
    <w:rsid w:val="008549B6"/>
    <w:rsid w:val="00855D80"/>
    <w:rsid w:val="00857B68"/>
    <w:rsid w:val="00865E1E"/>
    <w:rsid w:val="00871261"/>
    <w:rsid w:val="00873546"/>
    <w:rsid w:val="00873B3F"/>
    <w:rsid w:val="0087478B"/>
    <w:rsid w:val="0087539B"/>
    <w:rsid w:val="008772AF"/>
    <w:rsid w:val="00880032"/>
    <w:rsid w:val="00880CF8"/>
    <w:rsid w:val="0088151D"/>
    <w:rsid w:val="00881552"/>
    <w:rsid w:val="0088461A"/>
    <w:rsid w:val="0089061B"/>
    <w:rsid w:val="00891262"/>
    <w:rsid w:val="00895A90"/>
    <w:rsid w:val="008979F6"/>
    <w:rsid w:val="008A1162"/>
    <w:rsid w:val="008A163B"/>
    <w:rsid w:val="008A6026"/>
    <w:rsid w:val="008B45E3"/>
    <w:rsid w:val="008B753D"/>
    <w:rsid w:val="008C1991"/>
    <w:rsid w:val="008C5886"/>
    <w:rsid w:val="008C635D"/>
    <w:rsid w:val="008D0D0D"/>
    <w:rsid w:val="008D5308"/>
    <w:rsid w:val="008D72EF"/>
    <w:rsid w:val="008E1557"/>
    <w:rsid w:val="008E2040"/>
    <w:rsid w:val="008E5BD1"/>
    <w:rsid w:val="008E7D83"/>
    <w:rsid w:val="008F4021"/>
    <w:rsid w:val="008F4769"/>
    <w:rsid w:val="008F5B6D"/>
    <w:rsid w:val="008F7141"/>
    <w:rsid w:val="008F7AF5"/>
    <w:rsid w:val="0090321A"/>
    <w:rsid w:val="00904B9A"/>
    <w:rsid w:val="009060FD"/>
    <w:rsid w:val="00906881"/>
    <w:rsid w:val="0091244F"/>
    <w:rsid w:val="00912D30"/>
    <w:rsid w:val="00915C9E"/>
    <w:rsid w:val="00921ECF"/>
    <w:rsid w:val="00922C66"/>
    <w:rsid w:val="00923E0F"/>
    <w:rsid w:val="00923E55"/>
    <w:rsid w:val="00923F57"/>
    <w:rsid w:val="00924CEF"/>
    <w:rsid w:val="0092558B"/>
    <w:rsid w:val="00927876"/>
    <w:rsid w:val="00930C19"/>
    <w:rsid w:val="009347FC"/>
    <w:rsid w:val="0093520F"/>
    <w:rsid w:val="00936EB2"/>
    <w:rsid w:val="00943A64"/>
    <w:rsid w:val="00944508"/>
    <w:rsid w:val="00950CA5"/>
    <w:rsid w:val="0095130A"/>
    <w:rsid w:val="0095319B"/>
    <w:rsid w:val="00953AA3"/>
    <w:rsid w:val="0095481C"/>
    <w:rsid w:val="009556DB"/>
    <w:rsid w:val="00956ADB"/>
    <w:rsid w:val="00960C1D"/>
    <w:rsid w:val="0096439F"/>
    <w:rsid w:val="00965E2A"/>
    <w:rsid w:val="00966115"/>
    <w:rsid w:val="009665B7"/>
    <w:rsid w:val="00972FBD"/>
    <w:rsid w:val="009747BA"/>
    <w:rsid w:val="009812A5"/>
    <w:rsid w:val="00982AD0"/>
    <w:rsid w:val="00984353"/>
    <w:rsid w:val="009856DF"/>
    <w:rsid w:val="009915B4"/>
    <w:rsid w:val="009917D7"/>
    <w:rsid w:val="00991A69"/>
    <w:rsid w:val="0099667E"/>
    <w:rsid w:val="009A0CB9"/>
    <w:rsid w:val="009A0FD8"/>
    <w:rsid w:val="009A4BE9"/>
    <w:rsid w:val="009A4CEB"/>
    <w:rsid w:val="009A58D1"/>
    <w:rsid w:val="009A778C"/>
    <w:rsid w:val="009B0288"/>
    <w:rsid w:val="009B0313"/>
    <w:rsid w:val="009B1247"/>
    <w:rsid w:val="009B4EAD"/>
    <w:rsid w:val="009B6BBB"/>
    <w:rsid w:val="009B76EA"/>
    <w:rsid w:val="009C00FE"/>
    <w:rsid w:val="009C1C5D"/>
    <w:rsid w:val="009C2290"/>
    <w:rsid w:val="009C2DD0"/>
    <w:rsid w:val="009C62F7"/>
    <w:rsid w:val="009D417F"/>
    <w:rsid w:val="009D478B"/>
    <w:rsid w:val="009D6635"/>
    <w:rsid w:val="009D6F62"/>
    <w:rsid w:val="009E0B24"/>
    <w:rsid w:val="009E1017"/>
    <w:rsid w:val="009E26E9"/>
    <w:rsid w:val="009E3BAF"/>
    <w:rsid w:val="009E3D1D"/>
    <w:rsid w:val="009E42C6"/>
    <w:rsid w:val="009F0118"/>
    <w:rsid w:val="009F0FB2"/>
    <w:rsid w:val="009F3821"/>
    <w:rsid w:val="009F52D4"/>
    <w:rsid w:val="009F5B05"/>
    <w:rsid w:val="00A02BDA"/>
    <w:rsid w:val="00A079C9"/>
    <w:rsid w:val="00A11D87"/>
    <w:rsid w:val="00A135CA"/>
    <w:rsid w:val="00A14B01"/>
    <w:rsid w:val="00A17C51"/>
    <w:rsid w:val="00A2287B"/>
    <w:rsid w:val="00A259DB"/>
    <w:rsid w:val="00A25BA0"/>
    <w:rsid w:val="00A26E6B"/>
    <w:rsid w:val="00A27AB4"/>
    <w:rsid w:val="00A322C6"/>
    <w:rsid w:val="00A32603"/>
    <w:rsid w:val="00A32CE7"/>
    <w:rsid w:val="00A35B31"/>
    <w:rsid w:val="00A40D56"/>
    <w:rsid w:val="00A4135F"/>
    <w:rsid w:val="00A42887"/>
    <w:rsid w:val="00A42E9D"/>
    <w:rsid w:val="00A430AB"/>
    <w:rsid w:val="00A45CAA"/>
    <w:rsid w:val="00A5548C"/>
    <w:rsid w:val="00A5560A"/>
    <w:rsid w:val="00A5630B"/>
    <w:rsid w:val="00A565AA"/>
    <w:rsid w:val="00A63D22"/>
    <w:rsid w:val="00A656EC"/>
    <w:rsid w:val="00A6691D"/>
    <w:rsid w:val="00A67A8C"/>
    <w:rsid w:val="00A752DC"/>
    <w:rsid w:val="00A75568"/>
    <w:rsid w:val="00A77278"/>
    <w:rsid w:val="00A819E1"/>
    <w:rsid w:val="00A82981"/>
    <w:rsid w:val="00A83EFE"/>
    <w:rsid w:val="00A90614"/>
    <w:rsid w:val="00AA041B"/>
    <w:rsid w:val="00AA55F1"/>
    <w:rsid w:val="00AA61B0"/>
    <w:rsid w:val="00AA6A13"/>
    <w:rsid w:val="00AB01CB"/>
    <w:rsid w:val="00AB0AF9"/>
    <w:rsid w:val="00AC1591"/>
    <w:rsid w:val="00AD2125"/>
    <w:rsid w:val="00AE073F"/>
    <w:rsid w:val="00AE3328"/>
    <w:rsid w:val="00AE5077"/>
    <w:rsid w:val="00AF05D3"/>
    <w:rsid w:val="00AF1652"/>
    <w:rsid w:val="00AF368B"/>
    <w:rsid w:val="00AF3910"/>
    <w:rsid w:val="00AF71F6"/>
    <w:rsid w:val="00AF720C"/>
    <w:rsid w:val="00AF7DA3"/>
    <w:rsid w:val="00B005FD"/>
    <w:rsid w:val="00B0067D"/>
    <w:rsid w:val="00B0120F"/>
    <w:rsid w:val="00B026DA"/>
    <w:rsid w:val="00B066AB"/>
    <w:rsid w:val="00B0787A"/>
    <w:rsid w:val="00B07BFB"/>
    <w:rsid w:val="00B13ADD"/>
    <w:rsid w:val="00B233BC"/>
    <w:rsid w:val="00B30CF8"/>
    <w:rsid w:val="00B310B9"/>
    <w:rsid w:val="00B33194"/>
    <w:rsid w:val="00B33442"/>
    <w:rsid w:val="00B334CA"/>
    <w:rsid w:val="00B356C3"/>
    <w:rsid w:val="00B36601"/>
    <w:rsid w:val="00B46BC4"/>
    <w:rsid w:val="00B506BE"/>
    <w:rsid w:val="00B506D9"/>
    <w:rsid w:val="00B511AF"/>
    <w:rsid w:val="00B52BFC"/>
    <w:rsid w:val="00B52DE1"/>
    <w:rsid w:val="00B53E69"/>
    <w:rsid w:val="00B544A0"/>
    <w:rsid w:val="00B55957"/>
    <w:rsid w:val="00B60704"/>
    <w:rsid w:val="00B612CC"/>
    <w:rsid w:val="00B62B0A"/>
    <w:rsid w:val="00B65455"/>
    <w:rsid w:val="00B65DB2"/>
    <w:rsid w:val="00B660A6"/>
    <w:rsid w:val="00B67800"/>
    <w:rsid w:val="00B77361"/>
    <w:rsid w:val="00B85FA0"/>
    <w:rsid w:val="00B8723B"/>
    <w:rsid w:val="00B90297"/>
    <w:rsid w:val="00B93773"/>
    <w:rsid w:val="00BB2BCB"/>
    <w:rsid w:val="00BB3CDA"/>
    <w:rsid w:val="00BC39F2"/>
    <w:rsid w:val="00BC48D9"/>
    <w:rsid w:val="00BD124F"/>
    <w:rsid w:val="00BD5732"/>
    <w:rsid w:val="00BD5E1A"/>
    <w:rsid w:val="00BE0CFC"/>
    <w:rsid w:val="00BE157D"/>
    <w:rsid w:val="00BE52F1"/>
    <w:rsid w:val="00BF1BF6"/>
    <w:rsid w:val="00BF2330"/>
    <w:rsid w:val="00BF3100"/>
    <w:rsid w:val="00C044F4"/>
    <w:rsid w:val="00C077BA"/>
    <w:rsid w:val="00C10A52"/>
    <w:rsid w:val="00C1123B"/>
    <w:rsid w:val="00C2024E"/>
    <w:rsid w:val="00C22131"/>
    <w:rsid w:val="00C25E72"/>
    <w:rsid w:val="00C261C5"/>
    <w:rsid w:val="00C278E1"/>
    <w:rsid w:val="00C324AD"/>
    <w:rsid w:val="00C324F1"/>
    <w:rsid w:val="00C333CF"/>
    <w:rsid w:val="00C3464E"/>
    <w:rsid w:val="00C3579B"/>
    <w:rsid w:val="00C371CD"/>
    <w:rsid w:val="00C37D5F"/>
    <w:rsid w:val="00C42D2F"/>
    <w:rsid w:val="00C43F77"/>
    <w:rsid w:val="00C44F3A"/>
    <w:rsid w:val="00C4576B"/>
    <w:rsid w:val="00C46BF6"/>
    <w:rsid w:val="00C4714F"/>
    <w:rsid w:val="00C479F9"/>
    <w:rsid w:val="00C530DC"/>
    <w:rsid w:val="00C61D52"/>
    <w:rsid w:val="00C62F37"/>
    <w:rsid w:val="00C64E1C"/>
    <w:rsid w:val="00C6575D"/>
    <w:rsid w:val="00C74664"/>
    <w:rsid w:val="00C7672B"/>
    <w:rsid w:val="00C76AAC"/>
    <w:rsid w:val="00C80B0D"/>
    <w:rsid w:val="00C858B9"/>
    <w:rsid w:val="00C90971"/>
    <w:rsid w:val="00C92931"/>
    <w:rsid w:val="00C96290"/>
    <w:rsid w:val="00CA0C5D"/>
    <w:rsid w:val="00CA264D"/>
    <w:rsid w:val="00CA4BC6"/>
    <w:rsid w:val="00CA4DEF"/>
    <w:rsid w:val="00CA5C9F"/>
    <w:rsid w:val="00CB277B"/>
    <w:rsid w:val="00CB39FD"/>
    <w:rsid w:val="00CB6592"/>
    <w:rsid w:val="00CB79C4"/>
    <w:rsid w:val="00CD1399"/>
    <w:rsid w:val="00CD18CF"/>
    <w:rsid w:val="00CE477A"/>
    <w:rsid w:val="00CE582E"/>
    <w:rsid w:val="00CE7A62"/>
    <w:rsid w:val="00CF281A"/>
    <w:rsid w:val="00CF3715"/>
    <w:rsid w:val="00CF410C"/>
    <w:rsid w:val="00D023FD"/>
    <w:rsid w:val="00D05BC1"/>
    <w:rsid w:val="00D066DC"/>
    <w:rsid w:val="00D0710D"/>
    <w:rsid w:val="00D110A1"/>
    <w:rsid w:val="00D12B24"/>
    <w:rsid w:val="00D147CF"/>
    <w:rsid w:val="00D15297"/>
    <w:rsid w:val="00D15A4C"/>
    <w:rsid w:val="00D245B7"/>
    <w:rsid w:val="00D25555"/>
    <w:rsid w:val="00D271EE"/>
    <w:rsid w:val="00D27AD1"/>
    <w:rsid w:val="00D30F1C"/>
    <w:rsid w:val="00D32019"/>
    <w:rsid w:val="00D343AC"/>
    <w:rsid w:val="00D40F2D"/>
    <w:rsid w:val="00D4429F"/>
    <w:rsid w:val="00D44E45"/>
    <w:rsid w:val="00D46424"/>
    <w:rsid w:val="00D52E8E"/>
    <w:rsid w:val="00D53E69"/>
    <w:rsid w:val="00D54DB2"/>
    <w:rsid w:val="00D64A40"/>
    <w:rsid w:val="00D70C5E"/>
    <w:rsid w:val="00D71D02"/>
    <w:rsid w:val="00D854EB"/>
    <w:rsid w:val="00D8584E"/>
    <w:rsid w:val="00D931ED"/>
    <w:rsid w:val="00D9401E"/>
    <w:rsid w:val="00D95F7A"/>
    <w:rsid w:val="00D96C15"/>
    <w:rsid w:val="00DA13EE"/>
    <w:rsid w:val="00DA2170"/>
    <w:rsid w:val="00DA2A4F"/>
    <w:rsid w:val="00DB3F52"/>
    <w:rsid w:val="00DC02B9"/>
    <w:rsid w:val="00DC116F"/>
    <w:rsid w:val="00DD102D"/>
    <w:rsid w:val="00DD3074"/>
    <w:rsid w:val="00DD3870"/>
    <w:rsid w:val="00DD4A61"/>
    <w:rsid w:val="00DD5F65"/>
    <w:rsid w:val="00DE03ED"/>
    <w:rsid w:val="00DE0933"/>
    <w:rsid w:val="00DE131E"/>
    <w:rsid w:val="00DE173D"/>
    <w:rsid w:val="00DE2FF8"/>
    <w:rsid w:val="00DF1A43"/>
    <w:rsid w:val="00DF4019"/>
    <w:rsid w:val="00DF69B1"/>
    <w:rsid w:val="00E01EE6"/>
    <w:rsid w:val="00E026EC"/>
    <w:rsid w:val="00E02D42"/>
    <w:rsid w:val="00E04351"/>
    <w:rsid w:val="00E05ABC"/>
    <w:rsid w:val="00E06018"/>
    <w:rsid w:val="00E1259E"/>
    <w:rsid w:val="00E135D2"/>
    <w:rsid w:val="00E13C1D"/>
    <w:rsid w:val="00E164AC"/>
    <w:rsid w:val="00E16547"/>
    <w:rsid w:val="00E2318F"/>
    <w:rsid w:val="00E261C5"/>
    <w:rsid w:val="00E26994"/>
    <w:rsid w:val="00E34928"/>
    <w:rsid w:val="00E409C1"/>
    <w:rsid w:val="00E443B0"/>
    <w:rsid w:val="00E44792"/>
    <w:rsid w:val="00E45B92"/>
    <w:rsid w:val="00E4728E"/>
    <w:rsid w:val="00E50B34"/>
    <w:rsid w:val="00E519A4"/>
    <w:rsid w:val="00E53F58"/>
    <w:rsid w:val="00E54DB0"/>
    <w:rsid w:val="00E55EDF"/>
    <w:rsid w:val="00E56F41"/>
    <w:rsid w:val="00E57B50"/>
    <w:rsid w:val="00E602BE"/>
    <w:rsid w:val="00E65470"/>
    <w:rsid w:val="00E71D6C"/>
    <w:rsid w:val="00E76B95"/>
    <w:rsid w:val="00E81A24"/>
    <w:rsid w:val="00E81DFD"/>
    <w:rsid w:val="00E83FAF"/>
    <w:rsid w:val="00E85079"/>
    <w:rsid w:val="00E87E71"/>
    <w:rsid w:val="00E947FE"/>
    <w:rsid w:val="00EA06A8"/>
    <w:rsid w:val="00EA0949"/>
    <w:rsid w:val="00EA2582"/>
    <w:rsid w:val="00EA274B"/>
    <w:rsid w:val="00EA41DD"/>
    <w:rsid w:val="00EA6E3D"/>
    <w:rsid w:val="00EB052E"/>
    <w:rsid w:val="00EB2764"/>
    <w:rsid w:val="00EB725D"/>
    <w:rsid w:val="00EC4218"/>
    <w:rsid w:val="00ED0473"/>
    <w:rsid w:val="00ED2CE5"/>
    <w:rsid w:val="00ED60EA"/>
    <w:rsid w:val="00EE3CA4"/>
    <w:rsid w:val="00EF0CE4"/>
    <w:rsid w:val="00EF137D"/>
    <w:rsid w:val="00EF3799"/>
    <w:rsid w:val="00EF51C3"/>
    <w:rsid w:val="00EF7E70"/>
    <w:rsid w:val="00EF7FEB"/>
    <w:rsid w:val="00F009C7"/>
    <w:rsid w:val="00F04B84"/>
    <w:rsid w:val="00F11699"/>
    <w:rsid w:val="00F16567"/>
    <w:rsid w:val="00F17B83"/>
    <w:rsid w:val="00F232A2"/>
    <w:rsid w:val="00F25E62"/>
    <w:rsid w:val="00F31296"/>
    <w:rsid w:val="00F3282B"/>
    <w:rsid w:val="00F33679"/>
    <w:rsid w:val="00F373BB"/>
    <w:rsid w:val="00F41487"/>
    <w:rsid w:val="00F43258"/>
    <w:rsid w:val="00F46232"/>
    <w:rsid w:val="00F50240"/>
    <w:rsid w:val="00F50931"/>
    <w:rsid w:val="00F532D7"/>
    <w:rsid w:val="00F63E10"/>
    <w:rsid w:val="00F640B9"/>
    <w:rsid w:val="00F67A2F"/>
    <w:rsid w:val="00F72837"/>
    <w:rsid w:val="00F72BFC"/>
    <w:rsid w:val="00F734E3"/>
    <w:rsid w:val="00F75DEB"/>
    <w:rsid w:val="00F83A3B"/>
    <w:rsid w:val="00F852BA"/>
    <w:rsid w:val="00F85EE8"/>
    <w:rsid w:val="00F8631C"/>
    <w:rsid w:val="00F9210B"/>
    <w:rsid w:val="00F92BC5"/>
    <w:rsid w:val="00FA0CD3"/>
    <w:rsid w:val="00FA390F"/>
    <w:rsid w:val="00FA7C02"/>
    <w:rsid w:val="00FB0589"/>
    <w:rsid w:val="00FB16AF"/>
    <w:rsid w:val="00FB477F"/>
    <w:rsid w:val="00FB77E8"/>
    <w:rsid w:val="00FC1D52"/>
    <w:rsid w:val="00FD1753"/>
    <w:rsid w:val="00FD479F"/>
    <w:rsid w:val="00FE0394"/>
    <w:rsid w:val="00FE594B"/>
    <w:rsid w:val="00FF3AF7"/>
    <w:rsid w:val="00FF5E6F"/>
    <w:rsid w:val="00FF6886"/>
    <w:rsid w:val="00FF75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186"/>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9060FD"/>
    <w:rPr>
      <w:smallCaps/>
      <w:sz w:val="24"/>
      <w:lang w:val="nl-BE"/>
    </w:rPr>
  </w:style>
  <w:style w:type="paragraph" w:customStyle="1" w:styleId="A-NaamMinister">
    <w:name w:val="A-NaamMinister"/>
    <w:basedOn w:val="Standaard"/>
    <w:rsid w:val="009060FD"/>
    <w:rPr>
      <w:b/>
      <w:smallCaps/>
      <w:sz w:val="22"/>
      <w:lang w:val="nl-BE"/>
    </w:rPr>
  </w:style>
  <w:style w:type="paragraph" w:customStyle="1" w:styleId="A-Lijn">
    <w:name w:val="A-Lijn"/>
    <w:basedOn w:val="Standaard"/>
    <w:rsid w:val="009060FD"/>
    <w:pPr>
      <w:pBdr>
        <w:top w:val="single" w:sz="4" w:space="1" w:color="auto"/>
      </w:pBdr>
    </w:pPr>
    <w:rPr>
      <w:smallCaps/>
      <w:sz w:val="22"/>
      <w:lang w:val="nl-BE"/>
    </w:rPr>
  </w:style>
  <w:style w:type="paragraph" w:customStyle="1" w:styleId="A-Type">
    <w:name w:val="A-Type"/>
    <w:rsid w:val="009060FD"/>
    <w:rPr>
      <w:b/>
      <w:smallCaps/>
      <w:sz w:val="22"/>
      <w:lang w:eastAsia="nl-NL"/>
    </w:rPr>
  </w:style>
  <w:style w:type="character" w:customStyle="1" w:styleId="AntwoordNaamMinisterChar">
    <w:name w:val="AntwoordNaamMinister Char"/>
    <w:basedOn w:val="Standaardalinea-lettertype"/>
    <w:rsid w:val="009060FD"/>
    <w:rPr>
      <w:b/>
      <w:smallCaps/>
      <w:noProof w:val="0"/>
      <w:sz w:val="24"/>
      <w:szCs w:val="24"/>
      <w:lang w:val="nl-BE" w:eastAsia="nl-NL" w:bidi="ar-SA"/>
    </w:rPr>
  </w:style>
  <w:style w:type="paragraph" w:styleId="Plattetekst">
    <w:name w:val="Body Text"/>
    <w:basedOn w:val="Standaard"/>
    <w:rsid w:val="009060FD"/>
    <w:rPr>
      <w:rFonts w:ascii="Courier New" w:hAnsi="Courier New"/>
      <w:snapToGrid w:val="0"/>
      <w:sz w:val="24"/>
    </w:rPr>
  </w:style>
  <w:style w:type="paragraph" w:styleId="Plattetekstinspringen">
    <w:name w:val="Body Text Indent"/>
    <w:basedOn w:val="Standaard"/>
    <w:rsid w:val="009060FD"/>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styleId="Normaalweb">
    <w:name w:val="Normal (Web)"/>
    <w:basedOn w:val="Standaard"/>
    <w:uiPriority w:val="99"/>
    <w:rsid w:val="00B233BC"/>
    <w:pPr>
      <w:spacing w:before="100" w:beforeAutospacing="1" w:after="100" w:afterAutospacing="1"/>
    </w:pPr>
    <w:rPr>
      <w:sz w:val="24"/>
      <w:szCs w:val="24"/>
    </w:rPr>
  </w:style>
  <w:style w:type="character" w:styleId="Nadruk">
    <w:name w:val="Emphasis"/>
    <w:basedOn w:val="Standaardalinea-lettertype"/>
    <w:qFormat/>
    <w:rsid w:val="00F50240"/>
    <w:rPr>
      <w:i/>
      <w:iCs/>
    </w:rPr>
  </w:style>
  <w:style w:type="paragraph" w:styleId="Lijstalinea">
    <w:name w:val="List Paragraph"/>
    <w:basedOn w:val="Standaard"/>
    <w:uiPriority w:val="34"/>
    <w:qFormat/>
    <w:rsid w:val="00ED2CE5"/>
    <w:pPr>
      <w:ind w:left="720"/>
      <w:contextualSpacing/>
    </w:pPr>
  </w:style>
  <w:style w:type="character" w:styleId="Verwijzingopmerking">
    <w:name w:val="annotation reference"/>
    <w:basedOn w:val="Standaardalinea-lettertype"/>
    <w:rsid w:val="00422B5E"/>
    <w:rPr>
      <w:sz w:val="16"/>
      <w:szCs w:val="16"/>
    </w:rPr>
  </w:style>
  <w:style w:type="paragraph" w:styleId="Tekstopmerking">
    <w:name w:val="annotation text"/>
    <w:basedOn w:val="Standaard"/>
    <w:link w:val="TekstopmerkingChar"/>
    <w:rsid w:val="00422B5E"/>
  </w:style>
  <w:style w:type="character" w:customStyle="1" w:styleId="TekstopmerkingChar">
    <w:name w:val="Tekst opmerking Char"/>
    <w:basedOn w:val="Standaardalinea-lettertype"/>
    <w:link w:val="Tekstopmerking"/>
    <w:rsid w:val="00422B5E"/>
    <w:rPr>
      <w:lang w:val="nl-NL" w:eastAsia="nl-NL"/>
    </w:rPr>
  </w:style>
  <w:style w:type="paragraph" w:styleId="Onderwerpvanopmerking">
    <w:name w:val="annotation subject"/>
    <w:basedOn w:val="Tekstopmerking"/>
    <w:next w:val="Tekstopmerking"/>
    <w:link w:val="OnderwerpvanopmerkingChar"/>
    <w:rsid w:val="00422B5E"/>
    <w:rPr>
      <w:b/>
      <w:bCs/>
    </w:rPr>
  </w:style>
  <w:style w:type="character" w:customStyle="1" w:styleId="OnderwerpvanopmerkingChar">
    <w:name w:val="Onderwerp van opmerking Char"/>
    <w:basedOn w:val="TekstopmerkingChar"/>
    <w:link w:val="Onderwerpvanopmerking"/>
    <w:rsid w:val="00422B5E"/>
    <w:rPr>
      <w:b/>
      <w:bCs/>
      <w:lang w:val="nl-NL" w:eastAsia="nl-NL"/>
    </w:rPr>
  </w:style>
  <w:style w:type="table" w:styleId="Tabellijst3">
    <w:name w:val="Table List 3"/>
    <w:basedOn w:val="Standaardtabel"/>
    <w:rsid w:val="00965E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443B0"/>
    <w:pPr>
      <w:autoSpaceDE w:val="0"/>
      <w:autoSpaceDN w:val="0"/>
      <w:adjustRightInd w:val="0"/>
    </w:pPr>
    <w:rPr>
      <w:rFonts w:eastAsiaTheme="minorHAnsi"/>
      <w:color w:val="000000"/>
      <w:sz w:val="24"/>
      <w:szCs w:val="24"/>
      <w:lang w:eastAsia="en-US"/>
    </w:rPr>
  </w:style>
  <w:style w:type="table" w:styleId="Gemiddeldelijst1">
    <w:name w:val="Medium List 1"/>
    <w:basedOn w:val="Standaardtabel"/>
    <w:uiPriority w:val="65"/>
    <w:rsid w:val="00EB05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envoudigetabel1">
    <w:name w:val="Table Simple 1"/>
    <w:basedOn w:val="Standaardtabel"/>
    <w:rsid w:val="00772DE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chtearcering">
    <w:name w:val="Light Shading"/>
    <w:basedOn w:val="Standaardtabel"/>
    <w:uiPriority w:val="60"/>
    <w:rsid w:val="00F4148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5">
    <w:name w:val="Light Shading Accent 5"/>
    <w:basedOn w:val="Standaardtabel"/>
    <w:uiPriority w:val="60"/>
    <w:rsid w:val="001B67B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1">
    <w:name w:val="Light Shading Accent 1"/>
    <w:basedOn w:val="Standaardtabel"/>
    <w:uiPriority w:val="60"/>
    <w:rsid w:val="001B67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3">
    <w:name w:val="Light Shading Accent 3"/>
    <w:basedOn w:val="Standaardtabel"/>
    <w:uiPriority w:val="60"/>
    <w:rsid w:val="00AC159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186"/>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9060FD"/>
    <w:rPr>
      <w:smallCaps/>
      <w:sz w:val="24"/>
      <w:lang w:val="nl-BE"/>
    </w:rPr>
  </w:style>
  <w:style w:type="paragraph" w:customStyle="1" w:styleId="A-NaamMinister">
    <w:name w:val="A-NaamMinister"/>
    <w:basedOn w:val="Standaard"/>
    <w:rsid w:val="009060FD"/>
    <w:rPr>
      <w:b/>
      <w:smallCaps/>
      <w:sz w:val="22"/>
      <w:lang w:val="nl-BE"/>
    </w:rPr>
  </w:style>
  <w:style w:type="paragraph" w:customStyle="1" w:styleId="A-Lijn">
    <w:name w:val="A-Lijn"/>
    <w:basedOn w:val="Standaard"/>
    <w:rsid w:val="009060FD"/>
    <w:pPr>
      <w:pBdr>
        <w:top w:val="single" w:sz="4" w:space="1" w:color="auto"/>
      </w:pBdr>
    </w:pPr>
    <w:rPr>
      <w:smallCaps/>
      <w:sz w:val="22"/>
      <w:lang w:val="nl-BE"/>
    </w:rPr>
  </w:style>
  <w:style w:type="paragraph" w:customStyle="1" w:styleId="A-Type">
    <w:name w:val="A-Type"/>
    <w:rsid w:val="009060FD"/>
    <w:rPr>
      <w:b/>
      <w:smallCaps/>
      <w:sz w:val="22"/>
      <w:lang w:eastAsia="nl-NL"/>
    </w:rPr>
  </w:style>
  <w:style w:type="character" w:customStyle="1" w:styleId="AntwoordNaamMinisterChar">
    <w:name w:val="AntwoordNaamMinister Char"/>
    <w:basedOn w:val="Standaardalinea-lettertype"/>
    <w:rsid w:val="009060FD"/>
    <w:rPr>
      <w:b/>
      <w:smallCaps/>
      <w:noProof w:val="0"/>
      <w:sz w:val="24"/>
      <w:szCs w:val="24"/>
      <w:lang w:val="nl-BE" w:eastAsia="nl-NL" w:bidi="ar-SA"/>
    </w:rPr>
  </w:style>
  <w:style w:type="paragraph" w:styleId="Plattetekst">
    <w:name w:val="Body Text"/>
    <w:basedOn w:val="Standaard"/>
    <w:rsid w:val="009060FD"/>
    <w:rPr>
      <w:rFonts w:ascii="Courier New" w:hAnsi="Courier New"/>
      <w:snapToGrid w:val="0"/>
      <w:sz w:val="24"/>
    </w:rPr>
  </w:style>
  <w:style w:type="paragraph" w:styleId="Plattetekstinspringen">
    <w:name w:val="Body Text Indent"/>
    <w:basedOn w:val="Standaard"/>
    <w:rsid w:val="009060FD"/>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styleId="Normaalweb">
    <w:name w:val="Normal (Web)"/>
    <w:basedOn w:val="Standaard"/>
    <w:uiPriority w:val="99"/>
    <w:rsid w:val="00B233BC"/>
    <w:pPr>
      <w:spacing w:before="100" w:beforeAutospacing="1" w:after="100" w:afterAutospacing="1"/>
    </w:pPr>
    <w:rPr>
      <w:sz w:val="24"/>
      <w:szCs w:val="24"/>
    </w:rPr>
  </w:style>
  <w:style w:type="character" w:styleId="Nadruk">
    <w:name w:val="Emphasis"/>
    <w:basedOn w:val="Standaardalinea-lettertype"/>
    <w:qFormat/>
    <w:rsid w:val="00F50240"/>
    <w:rPr>
      <w:i/>
      <w:iCs/>
    </w:rPr>
  </w:style>
  <w:style w:type="paragraph" w:styleId="Lijstalinea">
    <w:name w:val="List Paragraph"/>
    <w:basedOn w:val="Standaard"/>
    <w:uiPriority w:val="34"/>
    <w:qFormat/>
    <w:rsid w:val="00ED2CE5"/>
    <w:pPr>
      <w:ind w:left="720"/>
      <w:contextualSpacing/>
    </w:pPr>
  </w:style>
  <w:style w:type="character" w:styleId="Verwijzingopmerking">
    <w:name w:val="annotation reference"/>
    <w:basedOn w:val="Standaardalinea-lettertype"/>
    <w:rsid w:val="00422B5E"/>
    <w:rPr>
      <w:sz w:val="16"/>
      <w:szCs w:val="16"/>
    </w:rPr>
  </w:style>
  <w:style w:type="paragraph" w:styleId="Tekstopmerking">
    <w:name w:val="annotation text"/>
    <w:basedOn w:val="Standaard"/>
    <w:link w:val="TekstopmerkingChar"/>
    <w:rsid w:val="00422B5E"/>
  </w:style>
  <w:style w:type="character" w:customStyle="1" w:styleId="TekstopmerkingChar">
    <w:name w:val="Tekst opmerking Char"/>
    <w:basedOn w:val="Standaardalinea-lettertype"/>
    <w:link w:val="Tekstopmerking"/>
    <w:rsid w:val="00422B5E"/>
    <w:rPr>
      <w:lang w:val="nl-NL" w:eastAsia="nl-NL"/>
    </w:rPr>
  </w:style>
  <w:style w:type="paragraph" w:styleId="Onderwerpvanopmerking">
    <w:name w:val="annotation subject"/>
    <w:basedOn w:val="Tekstopmerking"/>
    <w:next w:val="Tekstopmerking"/>
    <w:link w:val="OnderwerpvanopmerkingChar"/>
    <w:rsid w:val="00422B5E"/>
    <w:rPr>
      <w:b/>
      <w:bCs/>
    </w:rPr>
  </w:style>
  <w:style w:type="character" w:customStyle="1" w:styleId="OnderwerpvanopmerkingChar">
    <w:name w:val="Onderwerp van opmerking Char"/>
    <w:basedOn w:val="TekstopmerkingChar"/>
    <w:link w:val="Onderwerpvanopmerking"/>
    <w:rsid w:val="00422B5E"/>
    <w:rPr>
      <w:b/>
      <w:bCs/>
      <w:lang w:val="nl-NL" w:eastAsia="nl-NL"/>
    </w:rPr>
  </w:style>
  <w:style w:type="table" w:styleId="Tabellijst3">
    <w:name w:val="Table List 3"/>
    <w:basedOn w:val="Standaardtabel"/>
    <w:rsid w:val="00965E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443B0"/>
    <w:pPr>
      <w:autoSpaceDE w:val="0"/>
      <w:autoSpaceDN w:val="0"/>
      <w:adjustRightInd w:val="0"/>
    </w:pPr>
    <w:rPr>
      <w:rFonts w:eastAsiaTheme="minorHAnsi"/>
      <w:color w:val="000000"/>
      <w:sz w:val="24"/>
      <w:szCs w:val="24"/>
      <w:lang w:eastAsia="en-US"/>
    </w:rPr>
  </w:style>
  <w:style w:type="table" w:styleId="Gemiddeldelijst1">
    <w:name w:val="Medium List 1"/>
    <w:basedOn w:val="Standaardtabel"/>
    <w:uiPriority w:val="65"/>
    <w:rsid w:val="00EB05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envoudigetabel1">
    <w:name w:val="Table Simple 1"/>
    <w:basedOn w:val="Standaardtabel"/>
    <w:rsid w:val="00772DE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chtearcering">
    <w:name w:val="Light Shading"/>
    <w:basedOn w:val="Standaardtabel"/>
    <w:uiPriority w:val="60"/>
    <w:rsid w:val="00F4148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5">
    <w:name w:val="Light Shading Accent 5"/>
    <w:basedOn w:val="Standaardtabel"/>
    <w:uiPriority w:val="60"/>
    <w:rsid w:val="001B67B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1">
    <w:name w:val="Light Shading Accent 1"/>
    <w:basedOn w:val="Standaardtabel"/>
    <w:uiPriority w:val="60"/>
    <w:rsid w:val="001B67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3">
    <w:name w:val="Light Shading Accent 3"/>
    <w:basedOn w:val="Standaardtabel"/>
    <w:uiPriority w:val="60"/>
    <w:rsid w:val="00AC159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6557">
      <w:bodyDiv w:val="1"/>
      <w:marLeft w:val="0"/>
      <w:marRight w:val="0"/>
      <w:marTop w:val="0"/>
      <w:marBottom w:val="0"/>
      <w:divBdr>
        <w:top w:val="none" w:sz="0" w:space="0" w:color="auto"/>
        <w:left w:val="none" w:sz="0" w:space="0" w:color="auto"/>
        <w:bottom w:val="none" w:sz="0" w:space="0" w:color="auto"/>
        <w:right w:val="none" w:sz="0" w:space="0" w:color="auto"/>
      </w:divBdr>
    </w:div>
    <w:div w:id="135344280">
      <w:bodyDiv w:val="1"/>
      <w:marLeft w:val="225"/>
      <w:marRight w:val="0"/>
      <w:marTop w:val="0"/>
      <w:marBottom w:val="450"/>
      <w:divBdr>
        <w:top w:val="none" w:sz="0" w:space="0" w:color="auto"/>
        <w:left w:val="none" w:sz="0" w:space="0" w:color="auto"/>
        <w:bottom w:val="none" w:sz="0" w:space="0" w:color="auto"/>
        <w:right w:val="none" w:sz="0" w:space="0" w:color="auto"/>
      </w:divBdr>
      <w:divsChild>
        <w:div w:id="13526870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848974">
      <w:bodyDiv w:val="1"/>
      <w:marLeft w:val="0"/>
      <w:marRight w:val="0"/>
      <w:marTop w:val="0"/>
      <w:marBottom w:val="0"/>
      <w:divBdr>
        <w:top w:val="none" w:sz="0" w:space="0" w:color="auto"/>
        <w:left w:val="none" w:sz="0" w:space="0" w:color="auto"/>
        <w:bottom w:val="none" w:sz="0" w:space="0" w:color="auto"/>
        <w:right w:val="none" w:sz="0" w:space="0" w:color="auto"/>
      </w:divBdr>
    </w:div>
    <w:div w:id="425271839">
      <w:bodyDiv w:val="1"/>
      <w:marLeft w:val="0"/>
      <w:marRight w:val="0"/>
      <w:marTop w:val="0"/>
      <w:marBottom w:val="0"/>
      <w:divBdr>
        <w:top w:val="none" w:sz="0" w:space="0" w:color="auto"/>
        <w:left w:val="none" w:sz="0" w:space="0" w:color="auto"/>
        <w:bottom w:val="none" w:sz="0" w:space="0" w:color="auto"/>
        <w:right w:val="none" w:sz="0" w:space="0" w:color="auto"/>
      </w:divBdr>
    </w:div>
    <w:div w:id="456340327">
      <w:bodyDiv w:val="1"/>
      <w:marLeft w:val="0"/>
      <w:marRight w:val="0"/>
      <w:marTop w:val="0"/>
      <w:marBottom w:val="0"/>
      <w:divBdr>
        <w:top w:val="none" w:sz="0" w:space="0" w:color="auto"/>
        <w:left w:val="none" w:sz="0" w:space="0" w:color="auto"/>
        <w:bottom w:val="none" w:sz="0" w:space="0" w:color="auto"/>
        <w:right w:val="none" w:sz="0" w:space="0" w:color="auto"/>
      </w:divBdr>
      <w:divsChild>
        <w:div w:id="886993525">
          <w:marLeft w:val="0"/>
          <w:marRight w:val="0"/>
          <w:marTop w:val="0"/>
          <w:marBottom w:val="0"/>
          <w:divBdr>
            <w:top w:val="none" w:sz="0" w:space="0" w:color="auto"/>
            <w:left w:val="none" w:sz="0" w:space="0" w:color="auto"/>
            <w:bottom w:val="none" w:sz="0" w:space="0" w:color="auto"/>
            <w:right w:val="none" w:sz="0" w:space="0" w:color="auto"/>
          </w:divBdr>
          <w:divsChild>
            <w:div w:id="1873493615">
              <w:marLeft w:val="0"/>
              <w:marRight w:val="0"/>
              <w:marTop w:val="0"/>
              <w:marBottom w:val="0"/>
              <w:divBdr>
                <w:top w:val="none" w:sz="0" w:space="0" w:color="auto"/>
                <w:left w:val="none" w:sz="0" w:space="0" w:color="auto"/>
                <w:bottom w:val="none" w:sz="0" w:space="0" w:color="auto"/>
                <w:right w:val="none" w:sz="0" w:space="0" w:color="auto"/>
              </w:divBdr>
              <w:divsChild>
                <w:div w:id="1834225364">
                  <w:marLeft w:val="0"/>
                  <w:marRight w:val="0"/>
                  <w:marTop w:val="0"/>
                  <w:marBottom w:val="0"/>
                  <w:divBdr>
                    <w:top w:val="none" w:sz="0" w:space="0" w:color="auto"/>
                    <w:left w:val="none" w:sz="0" w:space="0" w:color="auto"/>
                    <w:bottom w:val="none" w:sz="0" w:space="0" w:color="auto"/>
                    <w:right w:val="none" w:sz="0" w:space="0" w:color="auto"/>
                  </w:divBdr>
                  <w:divsChild>
                    <w:div w:id="2117020571">
                      <w:marLeft w:val="0"/>
                      <w:marRight w:val="0"/>
                      <w:marTop w:val="0"/>
                      <w:marBottom w:val="0"/>
                      <w:divBdr>
                        <w:top w:val="none" w:sz="0" w:space="0" w:color="auto"/>
                        <w:left w:val="none" w:sz="0" w:space="0" w:color="auto"/>
                        <w:bottom w:val="none" w:sz="0" w:space="0" w:color="auto"/>
                        <w:right w:val="none" w:sz="0" w:space="0" w:color="auto"/>
                      </w:divBdr>
                      <w:divsChild>
                        <w:div w:id="1983347757">
                          <w:marLeft w:val="0"/>
                          <w:marRight w:val="0"/>
                          <w:marTop w:val="0"/>
                          <w:marBottom w:val="0"/>
                          <w:divBdr>
                            <w:top w:val="none" w:sz="0" w:space="0" w:color="auto"/>
                            <w:left w:val="none" w:sz="0" w:space="0" w:color="auto"/>
                            <w:bottom w:val="none" w:sz="0" w:space="0" w:color="auto"/>
                            <w:right w:val="none" w:sz="0" w:space="0" w:color="auto"/>
                          </w:divBdr>
                          <w:divsChild>
                            <w:div w:id="1492018556">
                              <w:marLeft w:val="0"/>
                              <w:marRight w:val="0"/>
                              <w:marTop w:val="0"/>
                              <w:marBottom w:val="0"/>
                              <w:divBdr>
                                <w:top w:val="none" w:sz="0" w:space="0" w:color="auto"/>
                                <w:left w:val="none" w:sz="0" w:space="0" w:color="auto"/>
                                <w:bottom w:val="none" w:sz="0" w:space="0" w:color="auto"/>
                                <w:right w:val="none" w:sz="0" w:space="0" w:color="auto"/>
                              </w:divBdr>
                              <w:divsChild>
                                <w:div w:id="1741368615">
                                  <w:marLeft w:val="0"/>
                                  <w:marRight w:val="0"/>
                                  <w:marTop w:val="0"/>
                                  <w:marBottom w:val="0"/>
                                  <w:divBdr>
                                    <w:top w:val="none" w:sz="0" w:space="0" w:color="auto"/>
                                    <w:left w:val="none" w:sz="0" w:space="0" w:color="auto"/>
                                    <w:bottom w:val="none" w:sz="0" w:space="0" w:color="auto"/>
                                    <w:right w:val="none" w:sz="0" w:space="0" w:color="auto"/>
                                  </w:divBdr>
                                  <w:divsChild>
                                    <w:div w:id="1444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500939">
      <w:bodyDiv w:val="1"/>
      <w:marLeft w:val="0"/>
      <w:marRight w:val="0"/>
      <w:marTop w:val="0"/>
      <w:marBottom w:val="0"/>
      <w:divBdr>
        <w:top w:val="none" w:sz="0" w:space="0" w:color="auto"/>
        <w:left w:val="none" w:sz="0" w:space="0" w:color="auto"/>
        <w:bottom w:val="none" w:sz="0" w:space="0" w:color="auto"/>
        <w:right w:val="none" w:sz="0" w:space="0" w:color="auto"/>
      </w:divBdr>
    </w:div>
    <w:div w:id="645088179">
      <w:bodyDiv w:val="1"/>
      <w:marLeft w:val="0"/>
      <w:marRight w:val="0"/>
      <w:marTop w:val="0"/>
      <w:marBottom w:val="0"/>
      <w:divBdr>
        <w:top w:val="none" w:sz="0" w:space="0" w:color="auto"/>
        <w:left w:val="none" w:sz="0" w:space="0" w:color="auto"/>
        <w:bottom w:val="none" w:sz="0" w:space="0" w:color="auto"/>
        <w:right w:val="none" w:sz="0" w:space="0" w:color="auto"/>
      </w:divBdr>
      <w:divsChild>
        <w:div w:id="554584761">
          <w:marLeft w:val="0"/>
          <w:marRight w:val="0"/>
          <w:marTop w:val="0"/>
          <w:marBottom w:val="0"/>
          <w:divBdr>
            <w:top w:val="none" w:sz="0" w:space="0" w:color="auto"/>
            <w:left w:val="none" w:sz="0" w:space="0" w:color="auto"/>
            <w:bottom w:val="none" w:sz="0" w:space="0" w:color="auto"/>
            <w:right w:val="none" w:sz="0" w:space="0" w:color="auto"/>
          </w:divBdr>
        </w:div>
      </w:divsChild>
    </w:div>
    <w:div w:id="712774695">
      <w:bodyDiv w:val="1"/>
      <w:marLeft w:val="0"/>
      <w:marRight w:val="0"/>
      <w:marTop w:val="0"/>
      <w:marBottom w:val="0"/>
      <w:divBdr>
        <w:top w:val="none" w:sz="0" w:space="0" w:color="auto"/>
        <w:left w:val="none" w:sz="0" w:space="0" w:color="auto"/>
        <w:bottom w:val="none" w:sz="0" w:space="0" w:color="auto"/>
        <w:right w:val="none" w:sz="0" w:space="0" w:color="auto"/>
      </w:divBdr>
      <w:divsChild>
        <w:div w:id="2061858548">
          <w:marLeft w:val="0"/>
          <w:marRight w:val="0"/>
          <w:marTop w:val="0"/>
          <w:marBottom w:val="0"/>
          <w:divBdr>
            <w:top w:val="none" w:sz="0" w:space="0" w:color="auto"/>
            <w:left w:val="none" w:sz="0" w:space="0" w:color="auto"/>
            <w:bottom w:val="none" w:sz="0" w:space="0" w:color="auto"/>
            <w:right w:val="none" w:sz="0" w:space="0" w:color="auto"/>
          </w:divBdr>
        </w:div>
      </w:divsChild>
    </w:div>
    <w:div w:id="750197976">
      <w:bodyDiv w:val="1"/>
      <w:marLeft w:val="0"/>
      <w:marRight w:val="0"/>
      <w:marTop w:val="0"/>
      <w:marBottom w:val="0"/>
      <w:divBdr>
        <w:top w:val="none" w:sz="0" w:space="0" w:color="auto"/>
        <w:left w:val="none" w:sz="0" w:space="0" w:color="auto"/>
        <w:bottom w:val="none" w:sz="0" w:space="0" w:color="auto"/>
        <w:right w:val="none" w:sz="0" w:space="0" w:color="auto"/>
      </w:divBdr>
    </w:div>
    <w:div w:id="764879697">
      <w:bodyDiv w:val="1"/>
      <w:marLeft w:val="0"/>
      <w:marRight w:val="0"/>
      <w:marTop w:val="0"/>
      <w:marBottom w:val="0"/>
      <w:divBdr>
        <w:top w:val="none" w:sz="0" w:space="0" w:color="auto"/>
        <w:left w:val="none" w:sz="0" w:space="0" w:color="auto"/>
        <w:bottom w:val="none" w:sz="0" w:space="0" w:color="auto"/>
        <w:right w:val="none" w:sz="0" w:space="0" w:color="auto"/>
      </w:divBdr>
    </w:div>
    <w:div w:id="995382754">
      <w:bodyDiv w:val="1"/>
      <w:marLeft w:val="0"/>
      <w:marRight w:val="0"/>
      <w:marTop w:val="0"/>
      <w:marBottom w:val="0"/>
      <w:divBdr>
        <w:top w:val="none" w:sz="0" w:space="0" w:color="auto"/>
        <w:left w:val="none" w:sz="0" w:space="0" w:color="auto"/>
        <w:bottom w:val="none" w:sz="0" w:space="0" w:color="auto"/>
        <w:right w:val="none" w:sz="0" w:space="0" w:color="auto"/>
      </w:divBdr>
    </w:div>
    <w:div w:id="1014109165">
      <w:bodyDiv w:val="1"/>
      <w:marLeft w:val="0"/>
      <w:marRight w:val="0"/>
      <w:marTop w:val="0"/>
      <w:marBottom w:val="0"/>
      <w:divBdr>
        <w:top w:val="none" w:sz="0" w:space="0" w:color="auto"/>
        <w:left w:val="none" w:sz="0" w:space="0" w:color="auto"/>
        <w:bottom w:val="none" w:sz="0" w:space="0" w:color="auto"/>
        <w:right w:val="none" w:sz="0" w:space="0" w:color="auto"/>
      </w:divBdr>
      <w:divsChild>
        <w:div w:id="769744200">
          <w:marLeft w:val="0"/>
          <w:marRight w:val="0"/>
          <w:marTop w:val="0"/>
          <w:marBottom w:val="0"/>
          <w:divBdr>
            <w:top w:val="none" w:sz="0" w:space="0" w:color="auto"/>
            <w:left w:val="none" w:sz="0" w:space="0" w:color="auto"/>
            <w:bottom w:val="none" w:sz="0" w:space="0" w:color="auto"/>
            <w:right w:val="none" w:sz="0" w:space="0" w:color="auto"/>
          </w:divBdr>
        </w:div>
      </w:divsChild>
    </w:div>
    <w:div w:id="1116412299">
      <w:bodyDiv w:val="1"/>
      <w:marLeft w:val="0"/>
      <w:marRight w:val="0"/>
      <w:marTop w:val="0"/>
      <w:marBottom w:val="0"/>
      <w:divBdr>
        <w:top w:val="none" w:sz="0" w:space="0" w:color="auto"/>
        <w:left w:val="none" w:sz="0" w:space="0" w:color="auto"/>
        <w:bottom w:val="none" w:sz="0" w:space="0" w:color="auto"/>
        <w:right w:val="none" w:sz="0" w:space="0" w:color="auto"/>
      </w:divBdr>
    </w:div>
    <w:div w:id="1166556822">
      <w:bodyDiv w:val="1"/>
      <w:marLeft w:val="0"/>
      <w:marRight w:val="0"/>
      <w:marTop w:val="0"/>
      <w:marBottom w:val="0"/>
      <w:divBdr>
        <w:top w:val="none" w:sz="0" w:space="0" w:color="auto"/>
        <w:left w:val="none" w:sz="0" w:space="0" w:color="auto"/>
        <w:bottom w:val="none" w:sz="0" w:space="0" w:color="auto"/>
        <w:right w:val="none" w:sz="0" w:space="0" w:color="auto"/>
      </w:divBdr>
    </w:div>
    <w:div w:id="1168400685">
      <w:bodyDiv w:val="1"/>
      <w:marLeft w:val="0"/>
      <w:marRight w:val="0"/>
      <w:marTop w:val="0"/>
      <w:marBottom w:val="0"/>
      <w:divBdr>
        <w:top w:val="none" w:sz="0" w:space="0" w:color="auto"/>
        <w:left w:val="none" w:sz="0" w:space="0" w:color="auto"/>
        <w:bottom w:val="none" w:sz="0" w:space="0" w:color="auto"/>
        <w:right w:val="none" w:sz="0" w:space="0" w:color="auto"/>
      </w:divBdr>
    </w:div>
    <w:div w:id="1320770743">
      <w:bodyDiv w:val="1"/>
      <w:marLeft w:val="0"/>
      <w:marRight w:val="0"/>
      <w:marTop w:val="0"/>
      <w:marBottom w:val="0"/>
      <w:divBdr>
        <w:top w:val="none" w:sz="0" w:space="0" w:color="auto"/>
        <w:left w:val="none" w:sz="0" w:space="0" w:color="auto"/>
        <w:bottom w:val="none" w:sz="0" w:space="0" w:color="auto"/>
        <w:right w:val="none" w:sz="0" w:space="0" w:color="auto"/>
      </w:divBdr>
    </w:div>
    <w:div w:id="1445224691">
      <w:bodyDiv w:val="1"/>
      <w:marLeft w:val="0"/>
      <w:marRight w:val="0"/>
      <w:marTop w:val="0"/>
      <w:marBottom w:val="0"/>
      <w:divBdr>
        <w:top w:val="none" w:sz="0" w:space="0" w:color="auto"/>
        <w:left w:val="none" w:sz="0" w:space="0" w:color="auto"/>
        <w:bottom w:val="none" w:sz="0" w:space="0" w:color="auto"/>
        <w:right w:val="none" w:sz="0" w:space="0" w:color="auto"/>
      </w:divBdr>
    </w:div>
    <w:div w:id="1478062267">
      <w:bodyDiv w:val="1"/>
      <w:marLeft w:val="0"/>
      <w:marRight w:val="0"/>
      <w:marTop w:val="0"/>
      <w:marBottom w:val="0"/>
      <w:divBdr>
        <w:top w:val="none" w:sz="0" w:space="0" w:color="auto"/>
        <w:left w:val="none" w:sz="0" w:space="0" w:color="auto"/>
        <w:bottom w:val="none" w:sz="0" w:space="0" w:color="auto"/>
        <w:right w:val="none" w:sz="0" w:space="0" w:color="auto"/>
      </w:divBdr>
    </w:div>
    <w:div w:id="1635255327">
      <w:bodyDiv w:val="1"/>
      <w:marLeft w:val="0"/>
      <w:marRight w:val="0"/>
      <w:marTop w:val="0"/>
      <w:marBottom w:val="0"/>
      <w:divBdr>
        <w:top w:val="none" w:sz="0" w:space="0" w:color="auto"/>
        <w:left w:val="none" w:sz="0" w:space="0" w:color="auto"/>
        <w:bottom w:val="none" w:sz="0" w:space="0" w:color="auto"/>
        <w:right w:val="none" w:sz="0" w:space="0" w:color="auto"/>
      </w:divBdr>
    </w:div>
    <w:div w:id="1704674751">
      <w:bodyDiv w:val="1"/>
      <w:marLeft w:val="0"/>
      <w:marRight w:val="0"/>
      <w:marTop w:val="0"/>
      <w:marBottom w:val="0"/>
      <w:divBdr>
        <w:top w:val="none" w:sz="0" w:space="0" w:color="auto"/>
        <w:left w:val="none" w:sz="0" w:space="0" w:color="auto"/>
        <w:bottom w:val="none" w:sz="0" w:space="0" w:color="auto"/>
        <w:right w:val="none" w:sz="0" w:space="0" w:color="auto"/>
      </w:divBdr>
    </w:div>
    <w:div w:id="1815293029">
      <w:bodyDiv w:val="1"/>
      <w:marLeft w:val="0"/>
      <w:marRight w:val="0"/>
      <w:marTop w:val="0"/>
      <w:marBottom w:val="0"/>
      <w:divBdr>
        <w:top w:val="none" w:sz="0" w:space="0" w:color="auto"/>
        <w:left w:val="none" w:sz="0" w:space="0" w:color="auto"/>
        <w:bottom w:val="none" w:sz="0" w:space="0" w:color="auto"/>
        <w:right w:val="none" w:sz="0" w:space="0" w:color="auto"/>
      </w:divBdr>
    </w:div>
    <w:div w:id="1836872102">
      <w:bodyDiv w:val="1"/>
      <w:marLeft w:val="0"/>
      <w:marRight w:val="0"/>
      <w:marTop w:val="0"/>
      <w:marBottom w:val="0"/>
      <w:divBdr>
        <w:top w:val="none" w:sz="0" w:space="0" w:color="auto"/>
        <w:left w:val="none" w:sz="0" w:space="0" w:color="auto"/>
        <w:bottom w:val="none" w:sz="0" w:space="0" w:color="auto"/>
        <w:right w:val="none" w:sz="0" w:space="0" w:color="auto"/>
      </w:divBdr>
    </w:div>
    <w:div w:id="1932591773">
      <w:bodyDiv w:val="1"/>
      <w:marLeft w:val="0"/>
      <w:marRight w:val="0"/>
      <w:marTop w:val="0"/>
      <w:marBottom w:val="0"/>
      <w:divBdr>
        <w:top w:val="none" w:sz="0" w:space="0" w:color="auto"/>
        <w:left w:val="none" w:sz="0" w:space="0" w:color="auto"/>
        <w:bottom w:val="none" w:sz="0" w:space="0" w:color="auto"/>
        <w:right w:val="none" w:sz="0" w:space="0" w:color="auto"/>
      </w:divBdr>
    </w:div>
    <w:div w:id="1960522692">
      <w:bodyDiv w:val="1"/>
      <w:marLeft w:val="0"/>
      <w:marRight w:val="0"/>
      <w:marTop w:val="0"/>
      <w:marBottom w:val="0"/>
      <w:divBdr>
        <w:top w:val="none" w:sz="0" w:space="0" w:color="auto"/>
        <w:left w:val="none" w:sz="0" w:space="0" w:color="auto"/>
        <w:bottom w:val="none" w:sz="0" w:space="0" w:color="auto"/>
        <w:right w:val="none" w:sz="0" w:space="0" w:color="auto"/>
      </w:divBdr>
    </w:div>
    <w:div w:id="2008361437">
      <w:bodyDiv w:val="1"/>
      <w:marLeft w:val="0"/>
      <w:marRight w:val="0"/>
      <w:marTop w:val="0"/>
      <w:marBottom w:val="0"/>
      <w:divBdr>
        <w:top w:val="none" w:sz="0" w:space="0" w:color="auto"/>
        <w:left w:val="none" w:sz="0" w:space="0" w:color="auto"/>
        <w:bottom w:val="none" w:sz="0" w:space="0" w:color="auto"/>
        <w:right w:val="none" w:sz="0" w:space="0" w:color="auto"/>
      </w:divBdr>
    </w:div>
    <w:div w:id="2060545484">
      <w:bodyDiv w:val="1"/>
      <w:marLeft w:val="0"/>
      <w:marRight w:val="0"/>
      <w:marTop w:val="0"/>
      <w:marBottom w:val="0"/>
      <w:divBdr>
        <w:top w:val="none" w:sz="0" w:space="0" w:color="auto"/>
        <w:left w:val="none" w:sz="0" w:space="0" w:color="auto"/>
        <w:bottom w:val="none" w:sz="0" w:space="0" w:color="auto"/>
        <w:right w:val="none" w:sz="0" w:space="0" w:color="auto"/>
      </w:divBdr>
    </w:div>
    <w:div w:id="2077437615">
      <w:bodyDiv w:val="1"/>
      <w:marLeft w:val="0"/>
      <w:marRight w:val="0"/>
      <w:marTop w:val="0"/>
      <w:marBottom w:val="0"/>
      <w:divBdr>
        <w:top w:val="none" w:sz="0" w:space="0" w:color="auto"/>
        <w:left w:val="none" w:sz="0" w:space="0" w:color="auto"/>
        <w:bottom w:val="none" w:sz="0" w:space="0" w:color="auto"/>
        <w:right w:val="none" w:sz="0" w:space="0" w:color="auto"/>
      </w:divBdr>
    </w:div>
    <w:div w:id="2084907120">
      <w:bodyDiv w:val="1"/>
      <w:marLeft w:val="0"/>
      <w:marRight w:val="0"/>
      <w:marTop w:val="0"/>
      <w:marBottom w:val="0"/>
      <w:divBdr>
        <w:top w:val="none" w:sz="0" w:space="0" w:color="auto"/>
        <w:left w:val="none" w:sz="0" w:space="0" w:color="auto"/>
        <w:bottom w:val="none" w:sz="0" w:space="0" w:color="auto"/>
        <w:right w:val="none" w:sz="0" w:space="0" w:color="auto"/>
      </w:divBdr>
    </w:div>
    <w:div w:id="21023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A120-39AA-4886-9C4B-728DC075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antwoord Parlementaire Vraag</Template>
  <TotalTime>0</TotalTime>
  <Pages>1</Pages>
  <Words>292</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KRIS PEETERS</vt:lpstr>
    </vt:vector>
  </TitlesOfParts>
  <Company>TOSHIBA</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creator>vhalenwi</dc:creator>
  <cp:lastModifiedBy>wro</cp:lastModifiedBy>
  <cp:revision>4</cp:revision>
  <cp:lastPrinted>2012-03-27T09:38:00Z</cp:lastPrinted>
  <dcterms:created xsi:type="dcterms:W3CDTF">2012-04-03T13:36:00Z</dcterms:created>
  <dcterms:modified xsi:type="dcterms:W3CDTF">2012-04-03T14:46:00Z</dcterms:modified>
</cp:coreProperties>
</file>