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902181" w:rsidRDefault="00902181" w:rsidP="0078691E">
      <w:pPr>
        <w:spacing w:after="0" w:line="240" w:lineRule="auto"/>
        <w:rPr>
          <w:rFonts w:ascii="Times New Roman" w:hAnsi="Times New Roman"/>
          <w:b/>
          <w:smallCaps/>
        </w:rPr>
      </w:pPr>
      <w:r w:rsidRPr="0078691E">
        <w:rPr>
          <w:rFonts w:ascii="Times New Roman" w:hAnsi="Times New Roman"/>
          <w:b/>
          <w:smallCaps/>
        </w:rPr>
        <w:fldChar w:fldCharType="begin">
          <w:ffData>
            <w:name w:val="Text1"/>
            <w:enabled/>
            <w:calcOnExit w:val="0"/>
            <w:textInput>
              <w:default w:val="freya van den bossche"/>
            </w:textInput>
          </w:ffData>
        </w:fldChar>
      </w:r>
      <w:r w:rsidRPr="0078691E">
        <w:rPr>
          <w:rFonts w:ascii="Times New Roman" w:hAnsi="Times New Roman"/>
          <w:b/>
          <w:smallCaps/>
        </w:rPr>
        <w:instrText xml:space="preserve"> FORMTEXT </w:instrText>
      </w:r>
      <w:r w:rsidRPr="0078691E">
        <w:rPr>
          <w:rFonts w:ascii="Times New Roman" w:hAnsi="Times New Roman"/>
          <w:b/>
          <w:smallCaps/>
        </w:rPr>
      </w:r>
      <w:r w:rsidRPr="0078691E">
        <w:rPr>
          <w:rFonts w:ascii="Times New Roman" w:hAnsi="Times New Roman"/>
          <w:b/>
          <w:smallCaps/>
        </w:rPr>
        <w:fldChar w:fldCharType="separate"/>
      </w:r>
      <w:r w:rsidRPr="0078691E">
        <w:rPr>
          <w:rFonts w:ascii="Times New Roman" w:hAnsi="Times New Roman"/>
          <w:b/>
          <w:smallCaps/>
          <w:noProof/>
        </w:rPr>
        <w:t>freya van den bossche</w:t>
      </w:r>
      <w:r w:rsidRPr="0078691E">
        <w:rPr>
          <w:rFonts w:ascii="Times New Roman" w:hAnsi="Times New Roman"/>
          <w:b/>
          <w:smallCaps/>
        </w:rPr>
        <w:fldChar w:fldCharType="end"/>
      </w:r>
      <w:bookmarkEnd w:id="0"/>
    </w:p>
    <w:bookmarkStart w:id="1" w:name="Text2"/>
    <w:p w:rsidR="00902181" w:rsidRDefault="00902181" w:rsidP="0078691E">
      <w:pPr>
        <w:spacing w:after="0" w:line="240" w:lineRule="auto"/>
        <w:rPr>
          <w:rFonts w:ascii="Times New Roman" w:hAnsi="Times New Roman"/>
          <w:smallCaps/>
        </w:rPr>
      </w:pPr>
      <w:r w:rsidRPr="0078691E">
        <w:rPr>
          <w:rFonts w:ascii="Times New Roman" w:hAnsi="Times New Roman"/>
          <w:smallCaps/>
        </w:rPr>
        <w:fldChar w:fldCharType="begin">
          <w:ffData>
            <w:name w:val="Text2"/>
            <w:enabled/>
            <w:calcOnExit w:val="0"/>
            <w:textInput>
              <w:default w:val="vlaams minister van energie, wonen, steden en sociale economie"/>
            </w:textInput>
          </w:ffData>
        </w:fldChar>
      </w:r>
      <w:r w:rsidRPr="0078691E">
        <w:rPr>
          <w:rFonts w:ascii="Times New Roman" w:hAnsi="Times New Roman"/>
          <w:smallCaps/>
        </w:rPr>
        <w:instrText xml:space="preserve"> FORMTEXT </w:instrText>
      </w:r>
      <w:r w:rsidRPr="0078691E">
        <w:rPr>
          <w:rFonts w:ascii="Times New Roman" w:hAnsi="Times New Roman"/>
          <w:smallCaps/>
        </w:rPr>
      </w:r>
      <w:r w:rsidRPr="0078691E">
        <w:rPr>
          <w:rFonts w:ascii="Times New Roman" w:hAnsi="Times New Roman"/>
          <w:smallCaps/>
        </w:rPr>
        <w:fldChar w:fldCharType="separate"/>
      </w:r>
      <w:r w:rsidRPr="0078691E">
        <w:rPr>
          <w:rFonts w:ascii="Times New Roman" w:hAnsi="Times New Roman"/>
          <w:smallCaps/>
          <w:noProof/>
        </w:rPr>
        <w:t>vlaams minister van energie, wonen, steden en sociale economie</w:t>
      </w:r>
      <w:r w:rsidRPr="0078691E">
        <w:rPr>
          <w:rFonts w:ascii="Times New Roman" w:hAnsi="Times New Roman"/>
          <w:smallCaps/>
        </w:rPr>
        <w:fldChar w:fldCharType="end"/>
      </w:r>
      <w:bookmarkEnd w:id="1"/>
    </w:p>
    <w:p w:rsidR="00902181" w:rsidRDefault="00902181" w:rsidP="0078691E">
      <w:pPr>
        <w:pBdr>
          <w:bottom w:val="single" w:sz="8" w:space="1" w:color="auto"/>
        </w:pBdr>
        <w:spacing w:after="0" w:line="240" w:lineRule="auto"/>
        <w:rPr>
          <w:rFonts w:ascii="Times New Roman" w:hAnsi="Times New Roman"/>
          <w:smallCaps/>
        </w:rPr>
      </w:pPr>
    </w:p>
    <w:p w:rsidR="00902181" w:rsidRDefault="00902181" w:rsidP="0078691E">
      <w:pPr>
        <w:spacing w:after="0" w:line="240" w:lineRule="auto"/>
        <w:rPr>
          <w:rFonts w:ascii="Times New Roman" w:hAnsi="Times New Roman"/>
          <w:smallCaps/>
        </w:rPr>
      </w:pPr>
    </w:p>
    <w:bookmarkStart w:id="2" w:name="Text3"/>
    <w:p w:rsidR="00902181" w:rsidRPr="0080625F" w:rsidRDefault="00902181" w:rsidP="0078691E">
      <w:pPr>
        <w:spacing w:after="0" w:line="240" w:lineRule="auto"/>
        <w:rPr>
          <w:rFonts w:ascii="Times New Roman" w:hAnsi="Times New Roman"/>
          <w:b/>
          <w:smallCaps/>
        </w:rPr>
      </w:pPr>
      <w:r w:rsidRPr="0080625F">
        <w:rPr>
          <w:rFonts w:ascii="Times New Roman" w:hAnsi="Times New Roman"/>
          <w:b/>
          <w:smallCaps/>
        </w:rPr>
        <w:fldChar w:fldCharType="begin">
          <w:ffData>
            <w:name w:val="Text3"/>
            <w:enabled/>
            <w:calcOnExit w:val="0"/>
            <w:textInput/>
          </w:ffData>
        </w:fldChar>
      </w:r>
      <w:r w:rsidRPr="0080625F">
        <w:rPr>
          <w:rFonts w:ascii="Times New Roman" w:hAnsi="Times New Roman"/>
          <w:b/>
          <w:smallCaps/>
        </w:rPr>
        <w:instrText xml:space="preserve"> FORMTEXT </w:instrText>
      </w:r>
      <w:r w:rsidRPr="0080625F">
        <w:rPr>
          <w:rFonts w:ascii="Times New Roman" w:hAnsi="Times New Roman"/>
          <w:b/>
          <w:smallCaps/>
        </w:rPr>
      </w:r>
      <w:r w:rsidRPr="0080625F">
        <w:rPr>
          <w:rFonts w:ascii="Times New Roman" w:hAnsi="Times New Roman"/>
          <w:b/>
          <w:smallCaps/>
        </w:rPr>
        <w:fldChar w:fldCharType="separate"/>
      </w:r>
      <w:r>
        <w:rPr>
          <w:rFonts w:ascii="Times New Roman" w:hAnsi="Times New Roman"/>
          <w:b/>
          <w:smallCaps/>
        </w:rPr>
        <w:t>a</w:t>
      </w:r>
      <w:r>
        <w:rPr>
          <w:rFonts w:ascii="Times New Roman" w:hAnsi="Times New Roman"/>
          <w:b/>
          <w:smallCaps/>
          <w:noProof/>
        </w:rPr>
        <w:t>ntwoord</w:t>
      </w:r>
      <w:r w:rsidRPr="0080625F">
        <w:rPr>
          <w:rFonts w:ascii="Times New Roman" w:hAnsi="Times New Roman"/>
          <w:b/>
          <w:smallCaps/>
        </w:rPr>
        <w:fldChar w:fldCharType="end"/>
      </w:r>
      <w:bookmarkEnd w:id="2"/>
    </w:p>
    <w:p w:rsidR="00902181" w:rsidRDefault="00902181" w:rsidP="0078691E">
      <w:pPr>
        <w:spacing w:after="0" w:line="240" w:lineRule="auto"/>
        <w:rPr>
          <w:rFonts w:ascii="Times New Roman" w:hAnsi="Times New Roman"/>
        </w:rPr>
      </w:pPr>
      <w:r w:rsidRPr="0078691E">
        <w:rPr>
          <w:rFonts w:ascii="Times New Roman" w:hAnsi="Times New Roman"/>
        </w:rPr>
        <w:t xml:space="preserve">op vraag nr. </w:t>
      </w:r>
      <w:bookmarkStart w:id="3" w:name="Text4"/>
      <w:r w:rsidRPr="0078691E">
        <w:rPr>
          <w:rFonts w:ascii="Times New Roman" w:hAnsi="Times New Roman"/>
        </w:rPr>
        <w:fldChar w:fldCharType="begin">
          <w:ffData>
            <w:name w:val="Text4"/>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361</w:t>
      </w:r>
      <w:r w:rsidRPr="0078691E">
        <w:rPr>
          <w:rFonts w:ascii="Times New Roman" w:hAnsi="Times New Roman"/>
        </w:rPr>
        <w:fldChar w:fldCharType="end"/>
      </w:r>
      <w:bookmarkEnd w:id="3"/>
      <w:r w:rsidRPr="0078691E">
        <w:rPr>
          <w:rFonts w:ascii="Times New Roman" w:hAnsi="Times New Roman"/>
        </w:rPr>
        <w:t xml:space="preserve"> van </w:t>
      </w:r>
      <w:bookmarkStart w:id="4" w:name="Text5"/>
      <w:r w:rsidRPr="0078691E">
        <w:rPr>
          <w:rFonts w:ascii="Times New Roman" w:hAnsi="Times New Roman"/>
        </w:rPr>
        <w:fldChar w:fldCharType="begin">
          <w:ffData>
            <w:name w:val="Text5"/>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23</w:t>
      </w:r>
      <w:r w:rsidRPr="0078691E">
        <w:rPr>
          <w:rFonts w:ascii="Times New Roman" w:hAnsi="Times New Roman"/>
        </w:rPr>
        <w:fldChar w:fldCharType="end"/>
      </w:r>
      <w:bookmarkEnd w:id="4"/>
      <w:r w:rsidRPr="0078691E">
        <w:rPr>
          <w:rFonts w:ascii="Times New Roman" w:hAnsi="Times New Roman"/>
        </w:rPr>
        <w:t xml:space="preserve"> </w:t>
      </w:r>
      <w:bookmarkStart w:id="5" w:name="Dropdown1"/>
      <w:r>
        <w:rPr>
          <w:rFonts w:ascii="Times New Roman" w:hAnsi="Times New Roman"/>
        </w:rPr>
        <w:fldChar w:fldCharType="begin">
          <w:ffData>
            <w:name w:val="Dropdown1"/>
            <w:enabled/>
            <w:calcOnExit w:val="0"/>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5"/>
      <w:r>
        <w:rPr>
          <w:rFonts w:ascii="Times New Roman" w:hAnsi="Times New Roman"/>
        </w:rPr>
        <w:t xml:space="preserve"> </w:t>
      </w:r>
      <w:bookmarkStart w:id="6" w:name="Dropdown2"/>
      <w:r>
        <w:rPr>
          <w:rFonts w:ascii="Times New Roman" w:hAnsi="Times New Roman"/>
        </w:rPr>
        <w:fldChar w:fldCharType="begin">
          <w:ffData>
            <w:name w:val="Dropdown2"/>
            <w:enabled/>
            <w:calcOnExit w:val="0"/>
            <w:ddList>
              <w:result w:val="3"/>
              <w:listEntry w:val="2009"/>
              <w:listEntry w:val="2010"/>
              <w:listEntry w:val="2011"/>
              <w:listEntry w:val="2012"/>
              <w:listEntry w:val="2013"/>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6"/>
    </w:p>
    <w:p w:rsidR="00902181" w:rsidRDefault="00902181" w:rsidP="0078691E">
      <w:pPr>
        <w:spacing w:after="0" w:line="240" w:lineRule="auto"/>
        <w:rPr>
          <w:rFonts w:ascii="Times New Roman Vet" w:hAnsi="Times New Roman Vet"/>
          <w:b/>
          <w:smallCaps/>
        </w:rPr>
      </w:pPr>
      <w:r>
        <w:rPr>
          <w:rFonts w:ascii="Times New Roman" w:hAnsi="Times New Roman"/>
        </w:rPr>
        <w:t xml:space="preserve">van </w:t>
      </w:r>
      <w:bookmarkStart w:id="7" w:name="Text6"/>
      <w:r w:rsidRPr="0078691E">
        <w:rPr>
          <w:rFonts w:ascii="Times New Roman Vet" w:hAnsi="Times New Roman Vet"/>
          <w:b/>
          <w:smallCaps/>
        </w:rPr>
        <w:fldChar w:fldCharType="begin">
          <w:ffData>
            <w:name w:val="Text6"/>
            <w:enabled/>
            <w:calcOnExit w:val="0"/>
            <w:textInput/>
          </w:ffData>
        </w:fldChar>
      </w:r>
      <w:r w:rsidRPr="0078691E">
        <w:rPr>
          <w:rFonts w:ascii="Times New Roman Vet" w:hAnsi="Times New Roman Vet"/>
          <w:b/>
          <w:smallCaps/>
        </w:rPr>
        <w:instrText xml:space="preserve"> FORMTEXT </w:instrText>
      </w:r>
      <w:r w:rsidRPr="0078691E">
        <w:rPr>
          <w:rFonts w:ascii="Times New Roman Vet" w:hAnsi="Times New Roman Vet"/>
          <w:b/>
          <w:smallCaps/>
        </w:rPr>
      </w:r>
      <w:r w:rsidRPr="0078691E">
        <w:rPr>
          <w:rFonts w:ascii="Times New Roman Vet" w:hAnsi="Times New Roman Vet"/>
          <w:b/>
          <w:smallCaps/>
        </w:rPr>
        <w:fldChar w:fldCharType="separate"/>
      </w:r>
      <w:r>
        <w:rPr>
          <w:rFonts w:ascii="Times New Roman Vet" w:hAnsi="Times New Roman Vet"/>
          <w:b/>
          <w:smallCaps/>
          <w:noProof/>
        </w:rPr>
        <w:t>sas van rouveroij</w:t>
      </w:r>
      <w:r w:rsidRPr="0078691E">
        <w:rPr>
          <w:rFonts w:ascii="Times New Roman Vet" w:hAnsi="Times New Roman Vet"/>
          <w:b/>
          <w:smallCaps/>
        </w:rPr>
        <w:fldChar w:fldCharType="end"/>
      </w:r>
      <w:bookmarkEnd w:id="7"/>
    </w:p>
    <w:p w:rsidR="00902181" w:rsidRPr="0078691E" w:rsidRDefault="00902181" w:rsidP="0078691E">
      <w:pPr>
        <w:pBdr>
          <w:bottom w:val="single" w:sz="8" w:space="1" w:color="auto"/>
        </w:pBdr>
        <w:spacing w:after="0" w:line="240" w:lineRule="auto"/>
        <w:rPr>
          <w:rFonts w:ascii="Times New Roman Vet" w:hAnsi="Times New Roman Vet"/>
          <w:smallCaps/>
        </w:rPr>
      </w:pPr>
    </w:p>
    <w:p w:rsidR="00902181" w:rsidRPr="0078691E" w:rsidRDefault="00902181" w:rsidP="0078691E">
      <w:pPr>
        <w:spacing w:after="0" w:line="240" w:lineRule="auto"/>
        <w:rPr>
          <w:rFonts w:ascii="Times New Roman Vet" w:hAnsi="Times New Roman Vet"/>
          <w:smallCaps/>
        </w:rPr>
      </w:pPr>
    </w:p>
    <w:p w:rsidR="00902181" w:rsidRPr="0078691E" w:rsidRDefault="00902181" w:rsidP="0078691E">
      <w:pPr>
        <w:spacing w:after="0" w:line="240" w:lineRule="auto"/>
        <w:rPr>
          <w:rFonts w:ascii="Times New Roman Vet" w:hAnsi="Times New Roman Vet"/>
          <w:smallCaps/>
        </w:rPr>
      </w:pPr>
    </w:p>
    <w:p w:rsidR="00902181" w:rsidRDefault="00902181" w:rsidP="0078691E">
      <w:pPr>
        <w:spacing w:after="0" w:line="240" w:lineRule="auto"/>
        <w:rPr>
          <w:rFonts w:ascii="Times New Roman" w:hAnsi="Times New Roman"/>
        </w:rPr>
        <w:sectPr w:rsidR="00902181" w:rsidSect="00F45FA5">
          <w:pgSz w:w="11906" w:h="16838"/>
          <w:pgMar w:top="1417" w:right="1417" w:bottom="1417" w:left="1417" w:header="708" w:footer="708" w:gutter="0"/>
          <w:cols w:space="708"/>
          <w:docGrid w:linePitch="360"/>
        </w:sectPr>
      </w:pPr>
    </w:p>
    <w:p w:rsidR="00902181" w:rsidRPr="00AE2478" w:rsidRDefault="00902181" w:rsidP="00561F0C">
      <w:pPr>
        <w:pStyle w:val="StandaardSV"/>
        <w:numPr>
          <w:ilvl w:val="0"/>
          <w:numId w:val="1"/>
        </w:numPr>
        <w:ind w:left="360"/>
        <w:rPr>
          <w:szCs w:val="22"/>
        </w:rPr>
      </w:pPr>
      <w:r w:rsidRPr="00AE2478">
        <w:rPr>
          <w:szCs w:val="22"/>
        </w:rPr>
        <w:lastRenderedPageBreak/>
        <w:t>Volgende koepelorganisaties zijn actief in de sociale economie in Vlaanderen:</w:t>
      </w:r>
    </w:p>
    <w:p w:rsidR="00902181" w:rsidRPr="00AE2478" w:rsidRDefault="00902181" w:rsidP="00561F0C">
      <w:pPr>
        <w:pStyle w:val="StandaardSV"/>
        <w:numPr>
          <w:ilvl w:val="0"/>
          <w:numId w:val="5"/>
        </w:numPr>
        <w:rPr>
          <w:szCs w:val="22"/>
        </w:rPr>
      </w:pPr>
      <w:proofErr w:type="spellStart"/>
      <w:r w:rsidRPr="00AE2478">
        <w:rPr>
          <w:szCs w:val="22"/>
        </w:rPr>
        <w:t>Vosec</w:t>
      </w:r>
      <w:proofErr w:type="spellEnd"/>
      <w:r w:rsidRPr="00AE2478">
        <w:rPr>
          <w:szCs w:val="22"/>
        </w:rPr>
        <w:t xml:space="preserve"> vzw: Vlaams Overlegplatform Sociale Economie;</w:t>
      </w:r>
    </w:p>
    <w:p w:rsidR="00902181" w:rsidRPr="00AE2478" w:rsidRDefault="00902181" w:rsidP="00561F0C">
      <w:pPr>
        <w:pStyle w:val="StandaardSV"/>
        <w:numPr>
          <w:ilvl w:val="0"/>
          <w:numId w:val="5"/>
        </w:numPr>
        <w:rPr>
          <w:szCs w:val="22"/>
        </w:rPr>
      </w:pPr>
      <w:r w:rsidRPr="00AE2478">
        <w:rPr>
          <w:szCs w:val="22"/>
        </w:rPr>
        <w:t xml:space="preserve">VLAB </w:t>
      </w:r>
      <w:proofErr w:type="spellStart"/>
      <w:r w:rsidRPr="00AE2478">
        <w:rPr>
          <w:szCs w:val="22"/>
        </w:rPr>
        <w:t>vzw:Vlaamse</w:t>
      </w:r>
      <w:proofErr w:type="spellEnd"/>
      <w:r w:rsidRPr="00AE2478">
        <w:rPr>
          <w:szCs w:val="22"/>
        </w:rPr>
        <w:t xml:space="preserve"> federatie van Beschutte </w:t>
      </w:r>
      <w:proofErr w:type="spellStart"/>
      <w:r w:rsidRPr="00AE2478">
        <w:rPr>
          <w:szCs w:val="22"/>
        </w:rPr>
        <w:t>Werkplaasten</w:t>
      </w:r>
      <w:proofErr w:type="spellEnd"/>
      <w:r w:rsidRPr="00AE2478">
        <w:rPr>
          <w:szCs w:val="22"/>
        </w:rPr>
        <w:t xml:space="preserve">; </w:t>
      </w:r>
    </w:p>
    <w:p w:rsidR="00902181" w:rsidRPr="00AE2478" w:rsidRDefault="00902181" w:rsidP="00561F0C">
      <w:pPr>
        <w:pStyle w:val="StandaardSV"/>
        <w:numPr>
          <w:ilvl w:val="0"/>
          <w:numId w:val="5"/>
        </w:numPr>
        <w:rPr>
          <w:szCs w:val="22"/>
        </w:rPr>
      </w:pPr>
      <w:r w:rsidRPr="00AE2478">
        <w:rPr>
          <w:szCs w:val="22"/>
        </w:rPr>
        <w:t xml:space="preserve">SST vzw: </w:t>
      </w:r>
      <w:r w:rsidRPr="00AE2478">
        <w:rPr>
          <w:rStyle w:val="st1"/>
          <w:bCs/>
          <w:color w:val="000000"/>
        </w:rPr>
        <w:t>Samenwerkingsverband Sociale Tewerkstelling</w:t>
      </w:r>
      <w:r w:rsidRPr="00AE2478">
        <w:rPr>
          <w:rStyle w:val="st1"/>
          <w:color w:val="222222"/>
        </w:rPr>
        <w:t xml:space="preserve"> is de koepel van de Sociale Werkplaatsen en Arbeidszorginitiatieven; </w:t>
      </w:r>
    </w:p>
    <w:p w:rsidR="00902181" w:rsidRPr="00AE2478" w:rsidRDefault="00902181" w:rsidP="00561F0C">
      <w:pPr>
        <w:pStyle w:val="StandaardSV"/>
        <w:numPr>
          <w:ilvl w:val="0"/>
          <w:numId w:val="5"/>
        </w:numPr>
        <w:rPr>
          <w:szCs w:val="22"/>
        </w:rPr>
      </w:pPr>
      <w:r w:rsidRPr="00AE2478">
        <w:rPr>
          <w:szCs w:val="22"/>
        </w:rPr>
        <w:t>Koepel LDE: Koepel van de Lokale Diensteneconomie;</w:t>
      </w:r>
    </w:p>
    <w:p w:rsidR="00902181" w:rsidRPr="00AE2478" w:rsidRDefault="00902181" w:rsidP="00561F0C">
      <w:pPr>
        <w:pStyle w:val="StandaardSV"/>
        <w:numPr>
          <w:ilvl w:val="0"/>
          <w:numId w:val="5"/>
        </w:numPr>
        <w:rPr>
          <w:szCs w:val="22"/>
        </w:rPr>
      </w:pPr>
      <w:proofErr w:type="spellStart"/>
      <w:r w:rsidRPr="00AE2478">
        <w:rPr>
          <w:szCs w:val="22"/>
        </w:rPr>
        <w:t>Komosie</w:t>
      </w:r>
      <w:proofErr w:type="spellEnd"/>
      <w:r w:rsidRPr="00AE2478">
        <w:rPr>
          <w:szCs w:val="22"/>
        </w:rPr>
        <w:t xml:space="preserve"> vzw: Koepel van de milieuondernemers in de sociale economie.</w:t>
      </w:r>
    </w:p>
    <w:p w:rsidR="00902181" w:rsidRPr="004A0B4B" w:rsidRDefault="00902181" w:rsidP="00561F0C">
      <w:pPr>
        <w:pStyle w:val="StandaardSV"/>
        <w:rPr>
          <w:szCs w:val="22"/>
        </w:rPr>
      </w:pPr>
    </w:p>
    <w:p w:rsidR="00902181" w:rsidRPr="00937879" w:rsidRDefault="00902181" w:rsidP="00561F0C">
      <w:pPr>
        <w:pStyle w:val="StandaardSV"/>
        <w:numPr>
          <w:ilvl w:val="0"/>
          <w:numId w:val="1"/>
        </w:numPr>
        <w:ind w:left="360"/>
        <w:rPr>
          <w:szCs w:val="24"/>
        </w:rPr>
      </w:pPr>
      <w:r w:rsidRPr="00937879">
        <w:rPr>
          <w:szCs w:val="22"/>
        </w:rPr>
        <w:t>In onderstaande tabel vindt u een overzicht van het totaalbedrag van de subsidies die aan die organisaties werden toegekend in 2009, 2010 en 2011.  Onderaan de tabel geven we toelichting bij de activiteiten die hiermee gefinancierd werden</w:t>
      </w:r>
      <w:r>
        <w:rPr>
          <w:szCs w:val="22"/>
        </w:rPr>
        <w:t>.</w:t>
      </w:r>
    </w:p>
    <w:p w:rsidR="00902181" w:rsidRPr="00937879" w:rsidRDefault="00902181" w:rsidP="00561F0C">
      <w:pPr>
        <w:pStyle w:val="StandaardSV"/>
        <w:rPr>
          <w:szCs w:val="24"/>
        </w:rPr>
      </w:pPr>
    </w:p>
    <w:p w:rsidR="00902181" w:rsidRPr="00937879" w:rsidRDefault="00902181" w:rsidP="00561F0C">
      <w:pPr>
        <w:pStyle w:val="StandaardSV"/>
        <w:ind w:left="360"/>
        <w:rPr>
          <w:szCs w:val="24"/>
        </w:rPr>
      </w:pPr>
    </w:p>
    <w:tbl>
      <w:tblPr>
        <w:tblW w:w="5000" w:type="pct"/>
        <w:tblCellMar>
          <w:left w:w="70" w:type="dxa"/>
          <w:right w:w="70" w:type="dxa"/>
        </w:tblCellMar>
        <w:tblLook w:val="00A0" w:firstRow="1" w:lastRow="0" w:firstColumn="1" w:lastColumn="0" w:noHBand="0" w:noVBand="0"/>
      </w:tblPr>
      <w:tblGrid>
        <w:gridCol w:w="2274"/>
        <w:gridCol w:w="1722"/>
        <w:gridCol w:w="1723"/>
        <w:gridCol w:w="1723"/>
        <w:gridCol w:w="1770"/>
      </w:tblGrid>
      <w:tr w:rsidR="00902181" w:rsidRPr="00A44268" w:rsidTr="003309DC">
        <w:trPr>
          <w:trHeight w:val="300"/>
        </w:trPr>
        <w:tc>
          <w:tcPr>
            <w:tcW w:w="1235" w:type="pct"/>
            <w:tcBorders>
              <w:top w:val="single" w:sz="4" w:space="0" w:color="auto"/>
              <w:left w:val="single" w:sz="4" w:space="0" w:color="auto"/>
              <w:bottom w:val="single" w:sz="4" w:space="0" w:color="auto"/>
              <w:right w:val="single" w:sz="4" w:space="0" w:color="auto"/>
            </w:tcBorders>
            <w:shd w:val="clear" w:color="000000" w:fill="EEECE1"/>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35" w:type="pct"/>
            <w:tcBorders>
              <w:top w:val="single" w:sz="4" w:space="0" w:color="auto"/>
              <w:left w:val="nil"/>
              <w:bottom w:val="single" w:sz="4" w:space="0" w:color="auto"/>
              <w:right w:val="single" w:sz="4" w:space="0" w:color="auto"/>
            </w:tcBorders>
            <w:shd w:val="clear" w:color="000000" w:fill="EEECE1"/>
            <w:noWrap/>
            <w:vAlign w:val="bottom"/>
          </w:tcPr>
          <w:p w:rsidR="00902181" w:rsidRPr="00A44268" w:rsidRDefault="00902181" w:rsidP="003309DC">
            <w:pPr>
              <w:jc w:val="right"/>
              <w:rPr>
                <w:rFonts w:ascii="Garamond" w:hAnsi="Garamond" w:cs="Calibri"/>
                <w:color w:val="000000"/>
                <w:lang w:eastAsia="nl-BE"/>
              </w:rPr>
            </w:pPr>
            <w:r w:rsidRPr="00A44268">
              <w:rPr>
                <w:rFonts w:ascii="Garamond" w:hAnsi="Garamond" w:cs="Calibri"/>
                <w:color w:val="000000"/>
                <w:lang w:eastAsia="nl-BE"/>
              </w:rPr>
              <w:t>2009</w:t>
            </w:r>
          </w:p>
        </w:tc>
        <w:tc>
          <w:tcPr>
            <w:tcW w:w="935" w:type="pct"/>
            <w:tcBorders>
              <w:top w:val="single" w:sz="4" w:space="0" w:color="auto"/>
              <w:left w:val="nil"/>
              <w:bottom w:val="single" w:sz="4" w:space="0" w:color="auto"/>
              <w:right w:val="single" w:sz="4" w:space="0" w:color="auto"/>
            </w:tcBorders>
            <w:shd w:val="clear" w:color="000000" w:fill="EEECE1"/>
            <w:noWrap/>
            <w:vAlign w:val="bottom"/>
          </w:tcPr>
          <w:p w:rsidR="00902181" w:rsidRPr="00A44268" w:rsidRDefault="00902181" w:rsidP="003309DC">
            <w:pPr>
              <w:jc w:val="right"/>
              <w:rPr>
                <w:rFonts w:ascii="Garamond" w:hAnsi="Garamond" w:cs="Calibri"/>
                <w:color w:val="000000"/>
                <w:lang w:eastAsia="nl-BE"/>
              </w:rPr>
            </w:pPr>
            <w:r w:rsidRPr="00A44268">
              <w:rPr>
                <w:rFonts w:ascii="Garamond" w:hAnsi="Garamond" w:cs="Calibri"/>
                <w:color w:val="000000"/>
                <w:lang w:eastAsia="nl-BE"/>
              </w:rPr>
              <w:t>2010</w:t>
            </w:r>
          </w:p>
        </w:tc>
        <w:tc>
          <w:tcPr>
            <w:tcW w:w="935" w:type="pct"/>
            <w:tcBorders>
              <w:top w:val="single" w:sz="4" w:space="0" w:color="auto"/>
              <w:left w:val="nil"/>
              <w:bottom w:val="single" w:sz="4" w:space="0" w:color="auto"/>
              <w:right w:val="single" w:sz="4" w:space="0" w:color="auto"/>
            </w:tcBorders>
            <w:shd w:val="clear" w:color="000000" w:fill="EEECE1"/>
            <w:noWrap/>
            <w:vAlign w:val="bottom"/>
          </w:tcPr>
          <w:p w:rsidR="00902181" w:rsidRPr="00A44268" w:rsidRDefault="00902181" w:rsidP="003309DC">
            <w:pPr>
              <w:jc w:val="right"/>
              <w:rPr>
                <w:rFonts w:ascii="Garamond" w:hAnsi="Garamond" w:cs="Calibri"/>
                <w:color w:val="000000"/>
                <w:lang w:eastAsia="nl-BE"/>
              </w:rPr>
            </w:pPr>
            <w:r w:rsidRPr="00A44268">
              <w:rPr>
                <w:rFonts w:ascii="Garamond" w:hAnsi="Garamond" w:cs="Calibri"/>
                <w:color w:val="000000"/>
                <w:lang w:eastAsia="nl-BE"/>
              </w:rPr>
              <w:t>2011</w:t>
            </w:r>
          </w:p>
        </w:tc>
        <w:tc>
          <w:tcPr>
            <w:tcW w:w="961" w:type="pct"/>
            <w:tcBorders>
              <w:top w:val="single" w:sz="4" w:space="0" w:color="auto"/>
              <w:left w:val="nil"/>
              <w:bottom w:val="single" w:sz="4" w:space="0" w:color="auto"/>
              <w:right w:val="single" w:sz="4" w:space="0" w:color="auto"/>
            </w:tcBorders>
            <w:shd w:val="clear" w:color="000000" w:fill="EEECE1"/>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totaal 3 jaren</w:t>
            </w:r>
          </w:p>
        </w:tc>
      </w:tr>
      <w:tr w:rsidR="00902181" w:rsidRPr="00A44268" w:rsidTr="003309DC">
        <w:trPr>
          <w:trHeight w:val="300"/>
        </w:trPr>
        <w:tc>
          <w:tcPr>
            <w:tcW w:w="1235" w:type="pct"/>
            <w:tcBorders>
              <w:top w:val="nil"/>
              <w:left w:val="single" w:sz="4" w:space="0" w:color="auto"/>
              <w:bottom w:val="single" w:sz="4" w:space="0" w:color="auto"/>
              <w:right w:val="single" w:sz="4" w:space="0" w:color="auto"/>
            </w:tcBorders>
            <w:noWrap/>
            <w:vAlign w:val="bottom"/>
          </w:tcPr>
          <w:p w:rsidR="00902181" w:rsidRPr="00A44268" w:rsidRDefault="00902181" w:rsidP="003309DC">
            <w:pPr>
              <w:rPr>
                <w:rFonts w:ascii="Garamond" w:hAnsi="Garamond" w:cs="Calibri"/>
                <w:b/>
                <w:bCs/>
                <w:color w:val="000000"/>
                <w:lang w:eastAsia="nl-BE"/>
              </w:rPr>
            </w:pPr>
            <w:r w:rsidRPr="00A44268">
              <w:rPr>
                <w:rFonts w:ascii="Garamond" w:hAnsi="Garamond" w:cs="Calibri"/>
                <w:b/>
                <w:bCs/>
                <w:color w:val="000000"/>
                <w:lang w:eastAsia="nl-BE"/>
              </w:rPr>
              <w:t>VOSEC</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216.000,00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216.000,00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216.000,00 </w:t>
            </w:r>
          </w:p>
        </w:tc>
        <w:tc>
          <w:tcPr>
            <w:tcW w:w="961"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648.000,00 </w:t>
            </w:r>
          </w:p>
        </w:tc>
      </w:tr>
      <w:tr w:rsidR="00902181" w:rsidRPr="00A44268" w:rsidTr="003309DC">
        <w:trPr>
          <w:trHeight w:val="300"/>
        </w:trPr>
        <w:tc>
          <w:tcPr>
            <w:tcW w:w="1235" w:type="pct"/>
            <w:tcBorders>
              <w:top w:val="nil"/>
              <w:left w:val="single" w:sz="4" w:space="0" w:color="auto"/>
              <w:bottom w:val="single" w:sz="4" w:space="0" w:color="auto"/>
              <w:right w:val="single" w:sz="4" w:space="0" w:color="auto"/>
            </w:tcBorders>
            <w:noWrap/>
            <w:vAlign w:val="bottom"/>
          </w:tcPr>
          <w:p w:rsidR="00902181" w:rsidRPr="00A44268" w:rsidRDefault="00902181" w:rsidP="003309DC">
            <w:pPr>
              <w:rPr>
                <w:rFonts w:ascii="Garamond" w:hAnsi="Garamond" w:cs="Calibri"/>
                <w:b/>
                <w:bCs/>
                <w:color w:val="000000"/>
                <w:lang w:eastAsia="nl-BE"/>
              </w:rPr>
            </w:pPr>
            <w:r w:rsidRPr="00A44268">
              <w:rPr>
                <w:rFonts w:ascii="Garamond" w:hAnsi="Garamond" w:cs="Calibri"/>
                <w:b/>
                <w:bCs/>
                <w:color w:val="000000"/>
                <w:lang w:eastAsia="nl-BE"/>
              </w:rPr>
              <w:t>VLAB</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61"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r>
      <w:tr w:rsidR="00902181" w:rsidRPr="00A44268" w:rsidTr="003309DC">
        <w:trPr>
          <w:trHeight w:val="300"/>
        </w:trPr>
        <w:tc>
          <w:tcPr>
            <w:tcW w:w="1235" w:type="pct"/>
            <w:tcBorders>
              <w:top w:val="nil"/>
              <w:left w:val="single" w:sz="4" w:space="0" w:color="auto"/>
              <w:bottom w:val="single" w:sz="4" w:space="0" w:color="auto"/>
              <w:right w:val="single" w:sz="4" w:space="0" w:color="auto"/>
            </w:tcBorders>
            <w:noWrap/>
            <w:vAlign w:val="bottom"/>
          </w:tcPr>
          <w:p w:rsidR="00902181" w:rsidRPr="00A44268" w:rsidRDefault="00902181" w:rsidP="003309DC">
            <w:pPr>
              <w:rPr>
                <w:rFonts w:ascii="Garamond" w:hAnsi="Garamond" w:cs="Calibri"/>
                <w:b/>
                <w:bCs/>
                <w:color w:val="000000"/>
                <w:lang w:eastAsia="nl-BE"/>
              </w:rPr>
            </w:pPr>
            <w:r w:rsidRPr="00A44268">
              <w:rPr>
                <w:rFonts w:ascii="Garamond" w:hAnsi="Garamond" w:cs="Calibri"/>
                <w:b/>
                <w:bCs/>
                <w:color w:val="000000"/>
                <w:lang w:eastAsia="nl-BE"/>
              </w:rPr>
              <w:t>SST</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61"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r>
      <w:tr w:rsidR="00902181" w:rsidRPr="00A44268" w:rsidTr="003309DC">
        <w:trPr>
          <w:trHeight w:val="300"/>
        </w:trPr>
        <w:tc>
          <w:tcPr>
            <w:tcW w:w="1235" w:type="pct"/>
            <w:tcBorders>
              <w:top w:val="nil"/>
              <w:left w:val="single" w:sz="4" w:space="0" w:color="auto"/>
              <w:bottom w:val="single" w:sz="4" w:space="0" w:color="auto"/>
              <w:right w:val="single" w:sz="4" w:space="0" w:color="auto"/>
            </w:tcBorders>
            <w:noWrap/>
          </w:tcPr>
          <w:p w:rsidR="00902181" w:rsidRPr="00A44268" w:rsidRDefault="00902181" w:rsidP="003309DC">
            <w:pPr>
              <w:rPr>
                <w:rFonts w:ascii="Garamond" w:hAnsi="Garamond" w:cs="Calibri"/>
                <w:b/>
                <w:bCs/>
                <w:color w:val="000000"/>
                <w:lang w:eastAsia="nl-BE"/>
              </w:rPr>
            </w:pPr>
            <w:r w:rsidRPr="00A44268">
              <w:rPr>
                <w:rFonts w:ascii="Garamond" w:hAnsi="Garamond" w:cs="Calibri"/>
                <w:b/>
                <w:bCs/>
                <w:color w:val="000000"/>
                <w:lang w:eastAsia="nl-BE"/>
              </w:rPr>
              <w:t>koepel LDE</w:t>
            </w:r>
          </w:p>
        </w:tc>
        <w:tc>
          <w:tcPr>
            <w:tcW w:w="1869" w:type="pct"/>
            <w:gridSpan w:val="2"/>
            <w:tcBorders>
              <w:top w:val="nil"/>
              <w:left w:val="nil"/>
              <w:bottom w:val="single" w:sz="4" w:space="0" w:color="auto"/>
              <w:right w:val="single" w:sz="4" w:space="0" w:color="auto"/>
            </w:tcBorders>
            <w:noWrap/>
            <w:vAlign w:val="bottom"/>
          </w:tcPr>
          <w:p w:rsidR="00902181" w:rsidRPr="00A44268" w:rsidRDefault="00902181" w:rsidP="003309DC">
            <w:pPr>
              <w:jc w:val="center"/>
              <w:rPr>
                <w:rFonts w:ascii="Garamond" w:hAnsi="Garamond" w:cs="Calibri"/>
                <w:color w:val="000000"/>
                <w:lang w:eastAsia="nl-BE"/>
              </w:rPr>
            </w:pPr>
            <w:r w:rsidRPr="00A44268">
              <w:rPr>
                <w:rFonts w:ascii="Garamond" w:hAnsi="Garamond" w:cs="Calibri"/>
                <w:color w:val="000000"/>
                <w:lang w:eastAsia="nl-BE"/>
              </w:rPr>
              <w:t>€         142.000,00</w:t>
            </w:r>
          </w:p>
        </w:tc>
        <w:tc>
          <w:tcPr>
            <w:tcW w:w="935" w:type="pct"/>
            <w:tcBorders>
              <w:top w:val="nil"/>
              <w:left w:val="nil"/>
              <w:bottom w:val="single" w:sz="4" w:space="0" w:color="auto"/>
              <w:right w:val="single" w:sz="4" w:space="0" w:color="auto"/>
            </w:tcBorders>
            <w:noWrap/>
            <w:vAlign w:val="center"/>
          </w:tcPr>
          <w:p w:rsidR="00902181" w:rsidRPr="00A44268" w:rsidRDefault="00902181" w:rsidP="003309DC">
            <w:pPr>
              <w:jc w:val="center"/>
              <w:rPr>
                <w:rFonts w:ascii="Garamond" w:hAnsi="Garamond" w:cs="Calibri"/>
                <w:color w:val="000000"/>
                <w:lang w:eastAsia="nl-BE"/>
              </w:rPr>
            </w:pPr>
            <w:r w:rsidRPr="00A44268">
              <w:rPr>
                <w:rFonts w:ascii="Garamond" w:hAnsi="Garamond" w:cs="Calibri"/>
                <w:color w:val="000000"/>
                <w:lang w:eastAsia="nl-BE"/>
              </w:rPr>
              <w:t>€           89.866,00</w:t>
            </w:r>
          </w:p>
        </w:tc>
        <w:tc>
          <w:tcPr>
            <w:tcW w:w="961" w:type="pct"/>
            <w:tcBorders>
              <w:top w:val="nil"/>
              <w:left w:val="nil"/>
              <w:bottom w:val="single" w:sz="4" w:space="0" w:color="auto"/>
              <w:right w:val="single" w:sz="4" w:space="0" w:color="auto"/>
            </w:tcBorders>
            <w:noWrap/>
            <w:vAlign w:val="center"/>
          </w:tcPr>
          <w:p w:rsidR="00902181" w:rsidRPr="00A44268" w:rsidRDefault="00902181" w:rsidP="003309DC">
            <w:pPr>
              <w:jc w:val="center"/>
              <w:rPr>
                <w:rFonts w:ascii="Garamond" w:hAnsi="Garamond" w:cs="Calibri"/>
                <w:color w:val="000000"/>
                <w:lang w:eastAsia="nl-BE"/>
              </w:rPr>
            </w:pPr>
            <w:r w:rsidRPr="00A44268">
              <w:rPr>
                <w:rFonts w:ascii="Garamond" w:hAnsi="Garamond" w:cs="Calibri"/>
                <w:color w:val="000000"/>
                <w:lang w:eastAsia="nl-BE"/>
              </w:rPr>
              <w:t>€          231.866,00</w:t>
            </w:r>
          </w:p>
        </w:tc>
      </w:tr>
      <w:tr w:rsidR="00902181" w:rsidRPr="00A44268" w:rsidTr="003309DC">
        <w:trPr>
          <w:trHeight w:val="300"/>
        </w:trPr>
        <w:tc>
          <w:tcPr>
            <w:tcW w:w="1235" w:type="pct"/>
            <w:tcBorders>
              <w:top w:val="nil"/>
              <w:left w:val="single" w:sz="4" w:space="0" w:color="auto"/>
              <w:bottom w:val="single" w:sz="4" w:space="0" w:color="auto"/>
              <w:right w:val="single" w:sz="4" w:space="0" w:color="auto"/>
            </w:tcBorders>
            <w:noWrap/>
            <w:vAlign w:val="bottom"/>
          </w:tcPr>
          <w:p w:rsidR="00902181" w:rsidRPr="00A44268" w:rsidRDefault="00902181" w:rsidP="003309DC">
            <w:pPr>
              <w:rPr>
                <w:rFonts w:ascii="Garamond" w:hAnsi="Garamond" w:cs="Calibri"/>
                <w:b/>
                <w:bCs/>
                <w:color w:val="000000"/>
                <w:lang w:eastAsia="nl-BE"/>
              </w:rPr>
            </w:pPr>
            <w:proofErr w:type="spellStart"/>
            <w:r w:rsidRPr="00A44268">
              <w:rPr>
                <w:rFonts w:ascii="Garamond" w:hAnsi="Garamond" w:cs="Calibri"/>
                <w:b/>
                <w:bCs/>
                <w:color w:val="000000"/>
                <w:lang w:eastAsia="nl-BE"/>
              </w:rPr>
              <w:t>komosie</w:t>
            </w:r>
            <w:proofErr w:type="spellEnd"/>
            <w:r w:rsidRPr="00A44268">
              <w:rPr>
                <w:rFonts w:ascii="Garamond" w:hAnsi="Garamond" w:cs="Calibri"/>
                <w:b/>
                <w:bCs/>
                <w:color w:val="000000"/>
                <w:lang w:eastAsia="nl-BE"/>
              </w:rPr>
              <w:t xml:space="preserve"> direct</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87.150,00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91.958,00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61"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179.108,00 </w:t>
            </w:r>
          </w:p>
        </w:tc>
      </w:tr>
      <w:tr w:rsidR="00902181" w:rsidRPr="00A44268" w:rsidTr="003309DC">
        <w:trPr>
          <w:trHeight w:val="300"/>
        </w:trPr>
        <w:tc>
          <w:tcPr>
            <w:tcW w:w="1235" w:type="pct"/>
            <w:tcBorders>
              <w:top w:val="nil"/>
              <w:left w:val="single" w:sz="4" w:space="0" w:color="auto"/>
              <w:bottom w:val="single" w:sz="4" w:space="0" w:color="auto"/>
              <w:right w:val="single" w:sz="4" w:space="0" w:color="auto"/>
            </w:tcBorders>
            <w:noWrap/>
            <w:vAlign w:val="bottom"/>
          </w:tcPr>
          <w:p w:rsidR="00902181" w:rsidRPr="00A44268" w:rsidRDefault="00902181" w:rsidP="003309DC">
            <w:pPr>
              <w:rPr>
                <w:rFonts w:ascii="Garamond" w:hAnsi="Garamond" w:cs="Calibri"/>
                <w:b/>
                <w:bCs/>
                <w:color w:val="000000"/>
                <w:lang w:eastAsia="nl-BE"/>
              </w:rPr>
            </w:pPr>
            <w:proofErr w:type="spellStart"/>
            <w:r w:rsidRPr="00A44268">
              <w:rPr>
                <w:rFonts w:ascii="Garamond" w:hAnsi="Garamond" w:cs="Calibri"/>
                <w:b/>
                <w:bCs/>
                <w:color w:val="000000"/>
                <w:lang w:eastAsia="nl-BE"/>
              </w:rPr>
              <w:t>komosie</w:t>
            </w:r>
            <w:proofErr w:type="spellEnd"/>
            <w:r w:rsidRPr="00A44268">
              <w:rPr>
                <w:rFonts w:ascii="Garamond" w:hAnsi="Garamond" w:cs="Calibri"/>
                <w:b/>
                <w:bCs/>
                <w:color w:val="000000"/>
                <w:lang w:eastAsia="nl-BE"/>
              </w:rPr>
              <w:t xml:space="preserve"> indirect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128.374,69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24.306,74 </w:t>
            </w:r>
          </w:p>
        </w:tc>
        <w:tc>
          <w:tcPr>
            <w:tcW w:w="961"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152.681,43 </w:t>
            </w:r>
          </w:p>
        </w:tc>
      </w:tr>
      <w:tr w:rsidR="00902181" w:rsidRPr="00A44268" w:rsidTr="003309DC">
        <w:trPr>
          <w:trHeight w:val="300"/>
        </w:trPr>
        <w:tc>
          <w:tcPr>
            <w:tcW w:w="1235" w:type="pct"/>
            <w:tcBorders>
              <w:top w:val="nil"/>
              <w:left w:val="single" w:sz="4" w:space="0" w:color="auto"/>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totaal</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445.150,00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436.332,69 </w:t>
            </w:r>
          </w:p>
        </w:tc>
        <w:tc>
          <w:tcPr>
            <w:tcW w:w="935"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330.172,74 </w:t>
            </w:r>
          </w:p>
        </w:tc>
        <w:tc>
          <w:tcPr>
            <w:tcW w:w="961" w:type="pct"/>
            <w:tcBorders>
              <w:top w:val="nil"/>
              <w:left w:val="nil"/>
              <w:bottom w:val="single" w:sz="4" w:space="0" w:color="auto"/>
              <w:right w:val="single" w:sz="4" w:space="0" w:color="auto"/>
            </w:tcBorders>
            <w:noWrap/>
            <w:vAlign w:val="bottom"/>
          </w:tcPr>
          <w:p w:rsidR="00902181" w:rsidRPr="00A44268" w:rsidRDefault="00902181" w:rsidP="003309DC">
            <w:pPr>
              <w:rPr>
                <w:rFonts w:ascii="Garamond" w:hAnsi="Garamond" w:cs="Calibri"/>
                <w:color w:val="000000"/>
                <w:lang w:eastAsia="nl-BE"/>
              </w:rPr>
            </w:pPr>
            <w:r w:rsidRPr="00A44268">
              <w:rPr>
                <w:rFonts w:ascii="Garamond" w:hAnsi="Garamond" w:cs="Calibri"/>
                <w:color w:val="000000"/>
                <w:lang w:eastAsia="nl-BE"/>
              </w:rPr>
              <w:t xml:space="preserve"> €       1.211.655,43 </w:t>
            </w:r>
          </w:p>
        </w:tc>
      </w:tr>
    </w:tbl>
    <w:p w:rsidR="00902181" w:rsidRPr="00A60C14" w:rsidRDefault="00902181" w:rsidP="00A60C14">
      <w:pPr>
        <w:jc w:val="both"/>
        <w:rPr>
          <w:rFonts w:ascii="Times New Roman" w:hAnsi="Times New Roman"/>
          <w:szCs w:val="24"/>
        </w:rPr>
      </w:pPr>
    </w:p>
    <w:p w:rsidR="00902181" w:rsidRPr="00A60C14" w:rsidRDefault="00902181" w:rsidP="006A3126">
      <w:pPr>
        <w:ind w:left="426"/>
        <w:jc w:val="both"/>
        <w:rPr>
          <w:rStyle w:val="Zwaar"/>
          <w:rFonts w:ascii="Times New Roman" w:hAnsi="Times New Roman"/>
          <w:b w:val="0"/>
        </w:rPr>
      </w:pPr>
      <w:r w:rsidRPr="00A60C14">
        <w:rPr>
          <w:rFonts w:ascii="Times New Roman" w:hAnsi="Times New Roman"/>
        </w:rPr>
        <w:t>Het Vlaams Overlegplatform voor de sociale economie (</w:t>
      </w:r>
      <w:proofErr w:type="spellStart"/>
      <w:r w:rsidRPr="00A60C14">
        <w:rPr>
          <w:rFonts w:ascii="Times New Roman" w:hAnsi="Times New Roman"/>
        </w:rPr>
        <w:t>Vosec</w:t>
      </w:r>
      <w:proofErr w:type="spellEnd"/>
      <w:r w:rsidRPr="00A60C14">
        <w:rPr>
          <w:rFonts w:ascii="Times New Roman" w:hAnsi="Times New Roman"/>
        </w:rPr>
        <w:t>) k</w:t>
      </w:r>
      <w:r w:rsidRPr="00A60C14">
        <w:rPr>
          <w:rStyle w:val="Zwaar"/>
          <w:rFonts w:ascii="Times New Roman" w:hAnsi="Times New Roman"/>
          <w:b w:val="0"/>
        </w:rPr>
        <w:t xml:space="preserve">reeg jaarlijks 216.000 euro voor basiswerking en telkens specifieke projecten, die jaarlijks konden wijzigen. Deze financiering kadert in het Besluit van de Vlaamse Regering houdende een impuls- en ondersteuningsprogramma van de </w:t>
      </w:r>
      <w:proofErr w:type="spellStart"/>
      <w:r w:rsidRPr="00A60C14">
        <w:rPr>
          <w:rStyle w:val="Zwaar"/>
          <w:rFonts w:ascii="Times New Roman" w:hAnsi="Times New Roman"/>
          <w:b w:val="0"/>
        </w:rPr>
        <w:t>meerwaardeneconomie</w:t>
      </w:r>
      <w:proofErr w:type="spellEnd"/>
      <w:r w:rsidRPr="00A60C14">
        <w:rPr>
          <w:rStyle w:val="Zwaar"/>
          <w:rFonts w:ascii="Times New Roman" w:hAnsi="Times New Roman"/>
          <w:b w:val="0"/>
        </w:rPr>
        <w:t xml:space="preserve"> (2000).</w:t>
      </w:r>
    </w:p>
    <w:p w:rsidR="00902181" w:rsidRPr="00A60C14" w:rsidRDefault="00902181" w:rsidP="006A3126">
      <w:pPr>
        <w:ind w:left="426"/>
        <w:jc w:val="both"/>
        <w:rPr>
          <w:rFonts w:ascii="Times New Roman" w:hAnsi="Times New Roman"/>
        </w:rPr>
      </w:pPr>
      <w:r w:rsidRPr="00A60C14">
        <w:rPr>
          <w:rStyle w:val="Zwaar"/>
          <w:rFonts w:ascii="Times New Roman" w:hAnsi="Times New Roman"/>
          <w:b w:val="0"/>
        </w:rPr>
        <w:t>In 2009 was dat ‘Ecologisch verantwoord groen</w:t>
      </w:r>
      <w:r w:rsidRPr="00A60C14">
        <w:rPr>
          <w:rFonts w:ascii="Times New Roman" w:hAnsi="Times New Roman"/>
        </w:rPr>
        <w:t>beheer’; ‘Maatschappelijke accountability voor de SE sector’ en ‘begeleiding/</w:t>
      </w:r>
      <w:proofErr w:type="spellStart"/>
      <w:r w:rsidRPr="00A60C14">
        <w:rPr>
          <w:rFonts w:ascii="Times New Roman" w:hAnsi="Times New Roman"/>
        </w:rPr>
        <w:t>coachingstrajecten</w:t>
      </w:r>
      <w:proofErr w:type="spellEnd"/>
      <w:r w:rsidRPr="00A60C14">
        <w:rPr>
          <w:rFonts w:ascii="Times New Roman" w:hAnsi="Times New Roman"/>
        </w:rPr>
        <w:t xml:space="preserve"> in SE in functie van een nieuw doelgroepenbeleid’.</w:t>
      </w:r>
    </w:p>
    <w:p w:rsidR="00902181" w:rsidRPr="00A60C14" w:rsidRDefault="00902181" w:rsidP="006A3126">
      <w:pPr>
        <w:ind w:left="426"/>
        <w:jc w:val="both"/>
        <w:rPr>
          <w:rFonts w:ascii="Times New Roman" w:hAnsi="Times New Roman"/>
        </w:rPr>
      </w:pPr>
      <w:r w:rsidRPr="00A60C14">
        <w:rPr>
          <w:rFonts w:ascii="Times New Roman" w:hAnsi="Times New Roman"/>
        </w:rPr>
        <w:t xml:space="preserve">In 2010 was dat ‘Ecologisch groenbeheer in de sociale economie 2010’ (vervolgtraject van 2009);  ‘ Beeldvorming, zichtbaarheid van de SE versterken naar meerdere stakeholders (intern en extern)’ en </w:t>
      </w:r>
      <w:proofErr w:type="spellStart"/>
      <w:r w:rsidRPr="00A60C14">
        <w:rPr>
          <w:rFonts w:ascii="Times New Roman" w:hAnsi="Times New Roman"/>
        </w:rPr>
        <w:t>ct</w:t>
      </w:r>
      <w:proofErr w:type="spellEnd"/>
      <w:r w:rsidRPr="00A60C14">
        <w:rPr>
          <w:rFonts w:ascii="Times New Roman" w:hAnsi="Times New Roman"/>
        </w:rPr>
        <w:t xml:space="preserve"> ‘Kwaliteits-DNA van de sector SE in relatie tot project maatschappelijke verantwoording en rekenschap’.</w:t>
      </w:r>
    </w:p>
    <w:p w:rsidR="00902181" w:rsidRDefault="00902181" w:rsidP="006A3126">
      <w:pPr>
        <w:ind w:left="708"/>
        <w:jc w:val="both"/>
        <w:rPr>
          <w:rFonts w:ascii="Times New Roman" w:hAnsi="Times New Roman"/>
        </w:rPr>
      </w:pPr>
      <w:r w:rsidRPr="00A60C14">
        <w:rPr>
          <w:rFonts w:ascii="Times New Roman" w:hAnsi="Times New Roman"/>
        </w:rPr>
        <w:lastRenderedPageBreak/>
        <w:t>In 2011 werden 4 projecten gefinancierd: ‘Duurzaam beleid voor milieu en natuur met sociale economie’; ‘Maatschappelijke Verantwoording en Rekenschap’; ‘Imagoversterking sociale economie’ en ‘EU dossier: toegankelijkheid Europese programma’s’.</w:t>
      </w:r>
    </w:p>
    <w:p w:rsidR="00902181" w:rsidRPr="00A60C14" w:rsidRDefault="006A3126" w:rsidP="006A3126">
      <w:pPr>
        <w:pStyle w:val="StandaardSV"/>
        <w:ind w:left="708"/>
        <w:rPr>
          <w:szCs w:val="22"/>
        </w:rPr>
      </w:pPr>
      <w:r>
        <w:rPr>
          <w:szCs w:val="22"/>
        </w:rPr>
        <w:t>D</w:t>
      </w:r>
      <w:r w:rsidR="00902181" w:rsidRPr="00A60C14">
        <w:rPr>
          <w:szCs w:val="22"/>
        </w:rPr>
        <w:t>e Koepels VLAB (beschutte werkplaatsen) en SST (sociale werkplaatsen) kregen geen subsidies in de periode 2009-2011.</w:t>
      </w:r>
    </w:p>
    <w:p w:rsidR="00902181" w:rsidRPr="00A60C14" w:rsidRDefault="00902181" w:rsidP="006A3126">
      <w:pPr>
        <w:pStyle w:val="StandaardSV"/>
        <w:ind w:left="708"/>
        <w:rPr>
          <w:szCs w:val="22"/>
        </w:rPr>
      </w:pPr>
      <w:r w:rsidRPr="00A60C14">
        <w:rPr>
          <w:szCs w:val="22"/>
        </w:rPr>
        <w:t xml:space="preserve"> </w:t>
      </w:r>
    </w:p>
    <w:p w:rsidR="00902181" w:rsidRPr="00A60C14" w:rsidRDefault="00902181" w:rsidP="006A3126">
      <w:pPr>
        <w:pStyle w:val="StandaardSV"/>
        <w:ind w:left="708"/>
        <w:rPr>
          <w:szCs w:val="22"/>
        </w:rPr>
      </w:pPr>
      <w:r w:rsidRPr="00A60C14">
        <w:rPr>
          <w:szCs w:val="22"/>
        </w:rPr>
        <w:t xml:space="preserve">De Koepel Lokale diensteneconomie (Koepel LDE) kreeg voor de periode 2009-2010 (22m) 142.000 euro voor haar beleidsondersteunende en -voorbereidende opdracht en het opmaken van een model en afsprakenkader inzake loopbaanontwikkeling van </w:t>
      </w:r>
      <w:proofErr w:type="spellStart"/>
      <w:r w:rsidRPr="00A60C14">
        <w:rPr>
          <w:szCs w:val="22"/>
        </w:rPr>
        <w:t>doelgroepwerknemers</w:t>
      </w:r>
      <w:proofErr w:type="spellEnd"/>
      <w:r w:rsidRPr="00A60C14">
        <w:rPr>
          <w:szCs w:val="22"/>
        </w:rPr>
        <w:t xml:space="preserve"> in de lokale diensteneconomie. </w:t>
      </w:r>
    </w:p>
    <w:p w:rsidR="00902181" w:rsidRPr="00A60C14" w:rsidRDefault="00902181" w:rsidP="006A3126">
      <w:pPr>
        <w:pStyle w:val="StandaardSV"/>
        <w:ind w:left="708"/>
        <w:rPr>
          <w:szCs w:val="22"/>
        </w:rPr>
      </w:pPr>
      <w:r w:rsidRPr="00A60C14">
        <w:rPr>
          <w:szCs w:val="22"/>
        </w:rPr>
        <w:t>In 2011 kreeg zij 89.866 euro voor de projecten  ‘Loopbaanontwikkeling en –begeleiding als motor voor in- en doorstroom of doorgroei van kansengroepen en activerend arbeidsmarktbeleid’ en ‘Capaciteitsversterking inzake lokale regie en lokale diensteneconomie als instrument voor lokaal sociaal beleid’.</w:t>
      </w:r>
    </w:p>
    <w:p w:rsidR="00902181" w:rsidRPr="00A60C14" w:rsidRDefault="00902181" w:rsidP="006A3126">
      <w:pPr>
        <w:pStyle w:val="StandaardSV"/>
        <w:ind w:left="708"/>
        <w:rPr>
          <w:szCs w:val="22"/>
        </w:rPr>
      </w:pPr>
    </w:p>
    <w:p w:rsidR="00902181" w:rsidRPr="00A60C14" w:rsidRDefault="00902181" w:rsidP="006A3126">
      <w:pPr>
        <w:pStyle w:val="StandaardSV"/>
        <w:ind w:left="708"/>
        <w:rPr>
          <w:szCs w:val="22"/>
        </w:rPr>
      </w:pPr>
      <w:r w:rsidRPr="00A60C14">
        <w:rPr>
          <w:szCs w:val="22"/>
        </w:rPr>
        <w:t>De Koepel van Milieuondernemers in de Sociale Economie (</w:t>
      </w:r>
      <w:proofErr w:type="spellStart"/>
      <w:r w:rsidRPr="00A60C14">
        <w:rPr>
          <w:szCs w:val="22"/>
        </w:rPr>
        <w:t>Komosie</w:t>
      </w:r>
      <w:proofErr w:type="spellEnd"/>
      <w:r w:rsidRPr="00A60C14">
        <w:rPr>
          <w:szCs w:val="22"/>
        </w:rPr>
        <w:t xml:space="preserve"> vzw) kreeg in </w:t>
      </w:r>
      <w:r w:rsidRPr="00A60C14">
        <w:rPr>
          <w:szCs w:val="22"/>
          <w:lang w:val="nl-BE"/>
        </w:rPr>
        <w:t xml:space="preserve">2009 </w:t>
      </w:r>
      <w:r w:rsidRPr="00A60C14">
        <w:rPr>
          <w:szCs w:val="22"/>
        </w:rPr>
        <w:t>87.150 euro voor de uitbouw van een volwaardige en duurzame energieniche binnen de sociale economie. Het project focuste op drie werkterreinen:</w:t>
      </w:r>
    </w:p>
    <w:p w:rsidR="00902181" w:rsidRPr="00A60C14" w:rsidRDefault="00902181" w:rsidP="00A60C14">
      <w:pPr>
        <w:pStyle w:val="StandaardSV"/>
        <w:numPr>
          <w:ilvl w:val="0"/>
          <w:numId w:val="2"/>
        </w:numPr>
        <w:rPr>
          <w:szCs w:val="22"/>
        </w:rPr>
      </w:pPr>
      <w:r w:rsidRPr="00A60C14">
        <w:rPr>
          <w:szCs w:val="22"/>
        </w:rPr>
        <w:t>Professionalisering van de sector en de ontwikkeling van een kwaliteitssysteem;</w:t>
      </w:r>
    </w:p>
    <w:p w:rsidR="00902181" w:rsidRPr="00A60C14" w:rsidRDefault="00902181" w:rsidP="00A60C14">
      <w:pPr>
        <w:pStyle w:val="StandaardSV"/>
        <w:numPr>
          <w:ilvl w:val="0"/>
          <w:numId w:val="2"/>
        </w:numPr>
        <w:rPr>
          <w:szCs w:val="22"/>
        </w:rPr>
      </w:pPr>
      <w:r w:rsidRPr="00A60C14">
        <w:rPr>
          <w:szCs w:val="22"/>
        </w:rPr>
        <w:t>Onderzoek en ontwikkeling van nieuwe mogelijkheden voor kansengroepen binnen de energieniche:</w:t>
      </w:r>
    </w:p>
    <w:p w:rsidR="00902181" w:rsidRPr="00A60C14" w:rsidRDefault="00902181" w:rsidP="00A60C14">
      <w:pPr>
        <w:pStyle w:val="StandaardSV"/>
        <w:numPr>
          <w:ilvl w:val="0"/>
          <w:numId w:val="2"/>
        </w:numPr>
        <w:rPr>
          <w:szCs w:val="22"/>
        </w:rPr>
      </w:pPr>
      <w:r w:rsidRPr="00A60C14">
        <w:rPr>
          <w:szCs w:val="22"/>
        </w:rPr>
        <w:t>Ondersteuning en vertegenwoordiging van de sector op de belangrijkste werkterreinen (beleidsopvolging, communicatie, sectorvorming, modeldocumenten,…).</w:t>
      </w:r>
    </w:p>
    <w:p w:rsidR="00902181" w:rsidRPr="00A60C14" w:rsidRDefault="00902181" w:rsidP="006A3126">
      <w:pPr>
        <w:pStyle w:val="StandaardSV"/>
        <w:ind w:left="709" w:hanging="1"/>
        <w:rPr>
          <w:szCs w:val="22"/>
        </w:rPr>
      </w:pPr>
      <w:r w:rsidRPr="00A60C14">
        <w:rPr>
          <w:szCs w:val="22"/>
        </w:rPr>
        <w:t xml:space="preserve">In 2010 kreeg </w:t>
      </w:r>
      <w:proofErr w:type="spellStart"/>
      <w:r w:rsidRPr="00A60C14">
        <w:rPr>
          <w:szCs w:val="22"/>
        </w:rPr>
        <w:t>Komosie</w:t>
      </w:r>
      <w:proofErr w:type="spellEnd"/>
      <w:r w:rsidRPr="00A60C14">
        <w:rPr>
          <w:szCs w:val="22"/>
        </w:rPr>
        <w:t xml:space="preserve"> 91.958 euro voor de verdere uitbouw van het project met een focus op:</w:t>
      </w:r>
    </w:p>
    <w:p w:rsidR="00902181" w:rsidRPr="00A60C14" w:rsidRDefault="00902181" w:rsidP="006A3126">
      <w:pPr>
        <w:pStyle w:val="StandaardSV"/>
        <w:numPr>
          <w:ilvl w:val="0"/>
          <w:numId w:val="3"/>
        </w:numPr>
        <w:ind w:left="1068"/>
        <w:rPr>
          <w:szCs w:val="22"/>
        </w:rPr>
      </w:pPr>
      <w:r w:rsidRPr="00A60C14">
        <w:rPr>
          <w:szCs w:val="22"/>
        </w:rPr>
        <w:t>Het versterken van partnerschappen;</w:t>
      </w:r>
    </w:p>
    <w:p w:rsidR="00902181" w:rsidRPr="00A60C14" w:rsidRDefault="00902181" w:rsidP="006A3126">
      <w:pPr>
        <w:pStyle w:val="StandaardSV"/>
        <w:numPr>
          <w:ilvl w:val="0"/>
          <w:numId w:val="4"/>
        </w:numPr>
        <w:ind w:left="1428"/>
        <w:rPr>
          <w:szCs w:val="22"/>
        </w:rPr>
      </w:pPr>
      <w:r w:rsidRPr="00A60C14">
        <w:rPr>
          <w:szCs w:val="22"/>
        </w:rPr>
        <w:t>met het oog op het verwerven van extra opdrachten;</w:t>
      </w:r>
    </w:p>
    <w:p w:rsidR="00902181" w:rsidRPr="00A60C14" w:rsidRDefault="00902181" w:rsidP="006A3126">
      <w:pPr>
        <w:pStyle w:val="StandaardSV"/>
        <w:numPr>
          <w:ilvl w:val="0"/>
          <w:numId w:val="4"/>
        </w:numPr>
        <w:ind w:left="1428"/>
        <w:rPr>
          <w:szCs w:val="22"/>
        </w:rPr>
      </w:pPr>
      <w:r w:rsidRPr="00A60C14">
        <w:rPr>
          <w:szCs w:val="22"/>
        </w:rPr>
        <w:t>het uitbreiden en continueren van de samenwerking met de sociale huisvestingsmaatschappijen;</w:t>
      </w:r>
    </w:p>
    <w:p w:rsidR="00902181" w:rsidRPr="00A60C14" w:rsidRDefault="00902181" w:rsidP="006A3126">
      <w:pPr>
        <w:pStyle w:val="StandaardSV"/>
        <w:numPr>
          <w:ilvl w:val="0"/>
          <w:numId w:val="3"/>
        </w:numPr>
        <w:ind w:left="1068"/>
        <w:rPr>
          <w:szCs w:val="22"/>
        </w:rPr>
      </w:pPr>
      <w:r w:rsidRPr="00A60C14">
        <w:rPr>
          <w:szCs w:val="22"/>
        </w:rPr>
        <w:t>Kwaliteitsontwikkeling:</w:t>
      </w:r>
    </w:p>
    <w:p w:rsidR="00902181" w:rsidRPr="00A60C14" w:rsidRDefault="00902181" w:rsidP="006A3126">
      <w:pPr>
        <w:pStyle w:val="StandaardSV"/>
        <w:numPr>
          <w:ilvl w:val="0"/>
          <w:numId w:val="4"/>
        </w:numPr>
        <w:ind w:left="1428"/>
        <w:rPr>
          <w:szCs w:val="22"/>
        </w:rPr>
      </w:pPr>
      <w:r w:rsidRPr="00A60C14">
        <w:rPr>
          <w:szCs w:val="22"/>
        </w:rPr>
        <w:t xml:space="preserve">implementatie en </w:t>
      </w:r>
      <w:proofErr w:type="spellStart"/>
      <w:r w:rsidRPr="00A60C14">
        <w:rPr>
          <w:szCs w:val="22"/>
        </w:rPr>
        <w:t>finetuning</w:t>
      </w:r>
      <w:proofErr w:type="spellEnd"/>
      <w:r w:rsidRPr="00A60C14">
        <w:rPr>
          <w:szCs w:val="22"/>
        </w:rPr>
        <w:t xml:space="preserve"> van het registratiesysteem;</w:t>
      </w:r>
    </w:p>
    <w:p w:rsidR="00902181" w:rsidRPr="00A60C14" w:rsidRDefault="00902181" w:rsidP="006A3126">
      <w:pPr>
        <w:numPr>
          <w:ilvl w:val="0"/>
          <w:numId w:val="4"/>
        </w:numPr>
        <w:spacing w:after="0" w:line="240" w:lineRule="auto"/>
        <w:ind w:left="1428"/>
        <w:jc w:val="both"/>
        <w:rPr>
          <w:rFonts w:ascii="Times New Roman" w:hAnsi="Times New Roman"/>
        </w:rPr>
      </w:pPr>
      <w:r w:rsidRPr="00A60C14">
        <w:rPr>
          <w:rFonts w:ascii="Times New Roman" w:hAnsi="Times New Roman"/>
        </w:rPr>
        <w:t>opleiden van en informatie verstrekken op maat van de sector;</w:t>
      </w:r>
    </w:p>
    <w:p w:rsidR="00902181" w:rsidRPr="00A60C14" w:rsidRDefault="00902181" w:rsidP="006A3126">
      <w:pPr>
        <w:numPr>
          <w:ilvl w:val="0"/>
          <w:numId w:val="4"/>
        </w:numPr>
        <w:spacing w:after="0" w:line="240" w:lineRule="auto"/>
        <w:ind w:left="1428"/>
        <w:jc w:val="both"/>
        <w:rPr>
          <w:rFonts w:ascii="Times New Roman" w:hAnsi="Times New Roman"/>
        </w:rPr>
      </w:pPr>
      <w:r w:rsidRPr="00A60C14">
        <w:rPr>
          <w:rFonts w:ascii="Times New Roman" w:hAnsi="Times New Roman"/>
        </w:rPr>
        <w:t>dagdagelijkse ondersteuning;</w:t>
      </w:r>
    </w:p>
    <w:p w:rsidR="00902181" w:rsidRPr="00A60C14" w:rsidRDefault="00902181" w:rsidP="006A3126">
      <w:pPr>
        <w:numPr>
          <w:ilvl w:val="0"/>
          <w:numId w:val="4"/>
        </w:numPr>
        <w:spacing w:after="0" w:line="240" w:lineRule="auto"/>
        <w:ind w:left="1428"/>
        <w:jc w:val="both"/>
        <w:rPr>
          <w:rFonts w:ascii="Times New Roman" w:hAnsi="Times New Roman"/>
        </w:rPr>
      </w:pPr>
      <w:r w:rsidRPr="00A60C14">
        <w:rPr>
          <w:rFonts w:ascii="Times New Roman" w:hAnsi="Times New Roman"/>
        </w:rPr>
        <w:t>ontwikkeling van beroeps- en competentieprofielen;</w:t>
      </w:r>
    </w:p>
    <w:p w:rsidR="00902181" w:rsidRPr="00A60C14" w:rsidRDefault="00902181" w:rsidP="006A3126">
      <w:pPr>
        <w:numPr>
          <w:ilvl w:val="0"/>
          <w:numId w:val="4"/>
        </w:numPr>
        <w:spacing w:after="0" w:line="240" w:lineRule="auto"/>
        <w:ind w:left="1428"/>
        <w:jc w:val="both"/>
        <w:rPr>
          <w:rFonts w:ascii="Times New Roman" w:hAnsi="Times New Roman"/>
        </w:rPr>
      </w:pPr>
      <w:r w:rsidRPr="00A60C14">
        <w:rPr>
          <w:rFonts w:ascii="Times New Roman" w:hAnsi="Times New Roman"/>
        </w:rPr>
        <w:t>verdere uitwerking van kwaliteitskaders voor dakisolatie en energiescans;</w:t>
      </w:r>
    </w:p>
    <w:p w:rsidR="00902181" w:rsidRPr="00A60C14" w:rsidRDefault="00902181" w:rsidP="006A3126">
      <w:pPr>
        <w:numPr>
          <w:ilvl w:val="0"/>
          <w:numId w:val="3"/>
        </w:numPr>
        <w:spacing w:after="0" w:line="240" w:lineRule="auto"/>
        <w:ind w:left="1068"/>
        <w:jc w:val="both"/>
        <w:rPr>
          <w:rFonts w:ascii="Times New Roman" w:hAnsi="Times New Roman"/>
        </w:rPr>
      </w:pPr>
      <w:r w:rsidRPr="00A60C14">
        <w:rPr>
          <w:rFonts w:ascii="Times New Roman" w:hAnsi="Times New Roman"/>
        </w:rPr>
        <w:t>Sectorontwikkeling:</w:t>
      </w:r>
    </w:p>
    <w:p w:rsidR="00902181" w:rsidRPr="00A60C14" w:rsidRDefault="00902181" w:rsidP="006A3126">
      <w:pPr>
        <w:numPr>
          <w:ilvl w:val="0"/>
          <w:numId w:val="4"/>
        </w:numPr>
        <w:spacing w:after="0" w:line="240" w:lineRule="auto"/>
        <w:ind w:left="1428"/>
        <w:jc w:val="both"/>
        <w:rPr>
          <w:rFonts w:ascii="Times New Roman" w:hAnsi="Times New Roman"/>
        </w:rPr>
      </w:pPr>
      <w:r w:rsidRPr="00A60C14">
        <w:rPr>
          <w:rFonts w:ascii="Times New Roman" w:hAnsi="Times New Roman"/>
        </w:rPr>
        <w:t>organisatie van lerende netwerken;</w:t>
      </w:r>
    </w:p>
    <w:p w:rsidR="00902181" w:rsidRPr="00A60C14" w:rsidRDefault="00902181" w:rsidP="006A3126">
      <w:pPr>
        <w:numPr>
          <w:ilvl w:val="0"/>
          <w:numId w:val="4"/>
        </w:numPr>
        <w:spacing w:after="0" w:line="240" w:lineRule="auto"/>
        <w:ind w:left="1428"/>
        <w:jc w:val="both"/>
        <w:rPr>
          <w:rFonts w:ascii="Times New Roman" w:hAnsi="Times New Roman"/>
        </w:rPr>
      </w:pPr>
      <w:r w:rsidRPr="00A60C14">
        <w:rPr>
          <w:rFonts w:ascii="Times New Roman" w:hAnsi="Times New Roman"/>
        </w:rPr>
        <w:t>realisatie van een breed draagvlak.</w:t>
      </w:r>
    </w:p>
    <w:p w:rsidR="00902181" w:rsidRPr="00937879" w:rsidRDefault="00902181" w:rsidP="00561F0C">
      <w:pPr>
        <w:pStyle w:val="StandaardSV"/>
        <w:rPr>
          <w:szCs w:val="22"/>
        </w:rPr>
      </w:pPr>
    </w:p>
    <w:p w:rsidR="00902181" w:rsidRDefault="00902181" w:rsidP="00561F0C">
      <w:pPr>
        <w:pStyle w:val="StandaardSV"/>
        <w:numPr>
          <w:ilvl w:val="0"/>
          <w:numId w:val="6"/>
        </w:numPr>
        <w:ind w:left="426"/>
        <w:rPr>
          <w:szCs w:val="22"/>
        </w:rPr>
      </w:pPr>
      <w:r>
        <w:rPr>
          <w:szCs w:val="22"/>
        </w:rPr>
        <w:t>Met de s</w:t>
      </w:r>
      <w:r w:rsidRPr="00937879">
        <w:rPr>
          <w:szCs w:val="22"/>
        </w:rPr>
        <w:t xml:space="preserve">tructurele subsidies binnen de sociale economie </w:t>
      </w:r>
      <w:r>
        <w:rPr>
          <w:szCs w:val="22"/>
        </w:rPr>
        <w:t xml:space="preserve">wordt </w:t>
      </w:r>
      <w:r w:rsidRPr="00937879">
        <w:rPr>
          <w:szCs w:val="22"/>
        </w:rPr>
        <w:t xml:space="preserve">de tewerkstelling en begeleiding van </w:t>
      </w:r>
      <w:proofErr w:type="spellStart"/>
      <w:r w:rsidRPr="00937879">
        <w:rPr>
          <w:szCs w:val="22"/>
        </w:rPr>
        <w:t>doelgroepwerknemers</w:t>
      </w:r>
      <w:proofErr w:type="spellEnd"/>
      <w:r w:rsidRPr="00937879">
        <w:rPr>
          <w:szCs w:val="22"/>
        </w:rPr>
        <w:t xml:space="preserve"> </w:t>
      </w:r>
      <w:r>
        <w:rPr>
          <w:szCs w:val="22"/>
        </w:rPr>
        <w:t>gefinancierd.  D</w:t>
      </w:r>
      <w:r w:rsidRPr="00937879">
        <w:rPr>
          <w:szCs w:val="22"/>
        </w:rPr>
        <w:t xml:space="preserve">eze </w:t>
      </w:r>
      <w:r>
        <w:rPr>
          <w:szCs w:val="22"/>
        </w:rPr>
        <w:t xml:space="preserve">ondersteuning gaat dus altijd rechtstreeks naar de </w:t>
      </w:r>
      <w:r w:rsidRPr="00937879">
        <w:rPr>
          <w:szCs w:val="22"/>
        </w:rPr>
        <w:t>soc</w:t>
      </w:r>
      <w:r>
        <w:rPr>
          <w:szCs w:val="22"/>
        </w:rPr>
        <w:t xml:space="preserve">iale economie initiatieven zelf en kan dus niet doorvloeien naar de koepels. </w:t>
      </w:r>
    </w:p>
    <w:p w:rsidR="00902181" w:rsidRDefault="00902181" w:rsidP="00561F0C">
      <w:pPr>
        <w:pStyle w:val="StandaardSV"/>
        <w:ind w:left="426"/>
        <w:rPr>
          <w:szCs w:val="22"/>
        </w:rPr>
      </w:pPr>
    </w:p>
    <w:p w:rsidR="00902181" w:rsidRPr="00937879" w:rsidRDefault="00902181" w:rsidP="00561F0C">
      <w:pPr>
        <w:pStyle w:val="StandaardSV"/>
        <w:ind w:left="426"/>
        <w:rPr>
          <w:szCs w:val="22"/>
        </w:rPr>
      </w:pPr>
      <w:r>
        <w:rPr>
          <w:szCs w:val="22"/>
        </w:rPr>
        <w:t xml:space="preserve">Enkel binnen het luik van facultatieve subsidies is het mogelijk dat, voor zover de koepels geen promotor zijn, een deel van een toegekende subsidie aan één of meerdere individuele ondernemingen zou doorvloeien </w:t>
      </w:r>
      <w:r w:rsidRPr="00937879">
        <w:rPr>
          <w:szCs w:val="22"/>
        </w:rPr>
        <w:t xml:space="preserve">naar een koepelorganisatie die als partner/onderaannemer in het project optreedt. </w:t>
      </w:r>
    </w:p>
    <w:p w:rsidR="00902181" w:rsidRDefault="00902181" w:rsidP="00561F0C">
      <w:pPr>
        <w:pStyle w:val="StandaardSV"/>
        <w:ind w:left="426"/>
        <w:rPr>
          <w:szCs w:val="22"/>
        </w:rPr>
      </w:pPr>
      <w:r>
        <w:rPr>
          <w:szCs w:val="22"/>
        </w:rPr>
        <w:t>We stellen vast dat</w:t>
      </w:r>
      <w:r w:rsidRPr="00937879">
        <w:rPr>
          <w:szCs w:val="22"/>
        </w:rPr>
        <w:t xml:space="preserve"> bij de innovatieprojecten </w:t>
      </w:r>
      <w:proofErr w:type="spellStart"/>
      <w:r w:rsidRPr="00937879">
        <w:rPr>
          <w:szCs w:val="22"/>
        </w:rPr>
        <w:t>Komosie</w:t>
      </w:r>
      <w:proofErr w:type="spellEnd"/>
      <w:r w:rsidRPr="00937879">
        <w:rPr>
          <w:szCs w:val="22"/>
        </w:rPr>
        <w:t xml:space="preserve"> vaak </w:t>
      </w:r>
      <w:r>
        <w:rPr>
          <w:szCs w:val="22"/>
        </w:rPr>
        <w:t xml:space="preserve">expliciet </w:t>
      </w:r>
      <w:r w:rsidRPr="00937879">
        <w:rPr>
          <w:szCs w:val="22"/>
        </w:rPr>
        <w:t xml:space="preserve">als partner </w:t>
      </w:r>
      <w:r>
        <w:rPr>
          <w:szCs w:val="22"/>
        </w:rPr>
        <w:t xml:space="preserve">wordt </w:t>
      </w:r>
      <w:r w:rsidRPr="00937879">
        <w:rPr>
          <w:szCs w:val="22"/>
        </w:rPr>
        <w:t xml:space="preserve">opgenomen. </w:t>
      </w:r>
      <w:r>
        <w:rPr>
          <w:szCs w:val="22"/>
        </w:rPr>
        <w:t>Over</w:t>
      </w:r>
      <w:r w:rsidRPr="00937879">
        <w:rPr>
          <w:szCs w:val="22"/>
        </w:rPr>
        <w:t xml:space="preserve"> </w:t>
      </w:r>
      <w:r>
        <w:rPr>
          <w:szCs w:val="22"/>
        </w:rPr>
        <w:t>de</w:t>
      </w:r>
      <w:r w:rsidRPr="00937879">
        <w:rPr>
          <w:szCs w:val="22"/>
        </w:rPr>
        <w:t xml:space="preserve"> andere koepels </w:t>
      </w:r>
      <w:r>
        <w:rPr>
          <w:szCs w:val="22"/>
        </w:rPr>
        <w:t>hebben wij op dit punt geen informatie</w:t>
      </w:r>
      <w:r w:rsidRPr="00937879">
        <w:rPr>
          <w:szCs w:val="22"/>
        </w:rPr>
        <w:t>. Hieronder vindt u een overzicht van de betrokken projecten, zowel voor de innovatieoproep 2010 als 2011.</w:t>
      </w:r>
    </w:p>
    <w:p w:rsidR="00902181" w:rsidRDefault="00902181" w:rsidP="00561F0C">
      <w:pPr>
        <w:pStyle w:val="StandaardSV"/>
        <w:ind w:left="426"/>
        <w:rPr>
          <w:i/>
          <w:szCs w:val="22"/>
        </w:rPr>
      </w:pPr>
      <w:r>
        <w:rPr>
          <w:szCs w:val="22"/>
        </w:rPr>
        <w:t xml:space="preserve">Voor een goed begrip geven we u mee dat de bedragen in de tabel voor 2010 effectieve uitgaven zijn en voor 2011 de vastgelegde bedragen ten gunste van </w:t>
      </w:r>
      <w:proofErr w:type="spellStart"/>
      <w:r>
        <w:rPr>
          <w:szCs w:val="22"/>
        </w:rPr>
        <w:t>Komosie</w:t>
      </w:r>
      <w:proofErr w:type="spellEnd"/>
      <w:r>
        <w:rPr>
          <w:szCs w:val="22"/>
        </w:rPr>
        <w:t xml:space="preserve"> zoals voorzien in de begroting.</w:t>
      </w:r>
      <w:bookmarkStart w:id="8" w:name="_GoBack"/>
      <w:bookmarkEnd w:id="8"/>
    </w:p>
    <w:p w:rsidR="00902181" w:rsidRPr="00937879" w:rsidRDefault="00902181" w:rsidP="00561F0C">
      <w:pPr>
        <w:pStyle w:val="StandaardSV"/>
        <w:ind w:left="426"/>
        <w:rPr>
          <w:i/>
          <w:szCs w:val="22"/>
        </w:rPr>
      </w:pPr>
    </w:p>
    <w:tbl>
      <w:tblPr>
        <w:tblW w:w="5000" w:type="pct"/>
        <w:tblCellMar>
          <w:left w:w="70" w:type="dxa"/>
          <w:right w:w="70" w:type="dxa"/>
        </w:tblCellMar>
        <w:tblLook w:val="00A0" w:firstRow="1" w:lastRow="0" w:firstColumn="1" w:lastColumn="0" w:noHBand="0" w:noVBand="0"/>
      </w:tblPr>
      <w:tblGrid>
        <w:gridCol w:w="813"/>
        <w:gridCol w:w="3399"/>
        <w:gridCol w:w="3193"/>
        <w:gridCol w:w="1807"/>
      </w:tblGrid>
      <w:tr w:rsidR="00902181" w:rsidRPr="00A44268" w:rsidTr="003309DC">
        <w:trPr>
          <w:trHeight w:val="300"/>
        </w:trPr>
        <w:tc>
          <w:tcPr>
            <w:tcW w:w="5000" w:type="pct"/>
            <w:gridSpan w:val="4"/>
            <w:tcBorders>
              <w:top w:val="single" w:sz="4" w:space="0" w:color="auto"/>
              <w:left w:val="single" w:sz="4" w:space="0" w:color="auto"/>
              <w:bottom w:val="single" w:sz="4" w:space="0" w:color="auto"/>
              <w:right w:val="single" w:sz="4" w:space="0" w:color="000000"/>
            </w:tcBorders>
            <w:noWrap/>
            <w:vAlign w:val="bottom"/>
          </w:tcPr>
          <w:p w:rsidR="00902181" w:rsidRPr="00A44268" w:rsidRDefault="00902181" w:rsidP="003309DC">
            <w:pPr>
              <w:jc w:val="center"/>
              <w:rPr>
                <w:color w:val="000000"/>
                <w:lang w:eastAsia="nl-BE"/>
              </w:rPr>
            </w:pPr>
            <w:r w:rsidRPr="00A44268">
              <w:rPr>
                <w:color w:val="000000"/>
                <w:lang w:eastAsia="nl-BE"/>
              </w:rPr>
              <w:lastRenderedPageBreak/>
              <w:t>INNOVATIEOPROEP 2010</w:t>
            </w:r>
          </w:p>
        </w:tc>
      </w:tr>
      <w:tr w:rsidR="00902181" w:rsidRPr="00A44268" w:rsidTr="003309DC">
        <w:trPr>
          <w:trHeight w:val="300"/>
        </w:trPr>
        <w:tc>
          <w:tcPr>
            <w:tcW w:w="441" w:type="pct"/>
            <w:tcBorders>
              <w:top w:val="nil"/>
              <w:left w:val="single" w:sz="4" w:space="0" w:color="auto"/>
              <w:bottom w:val="nil"/>
              <w:right w:val="nil"/>
            </w:tcBorders>
            <w:noWrap/>
            <w:vAlign w:val="bottom"/>
          </w:tcPr>
          <w:p w:rsidR="00902181" w:rsidRPr="00A44268" w:rsidRDefault="00902181" w:rsidP="003309DC">
            <w:pPr>
              <w:rPr>
                <w:b/>
                <w:color w:val="000000"/>
                <w:lang w:eastAsia="nl-BE"/>
              </w:rPr>
            </w:pPr>
            <w:r w:rsidRPr="00A44268">
              <w:rPr>
                <w:b/>
                <w:color w:val="000000"/>
                <w:lang w:eastAsia="nl-BE"/>
              </w:rPr>
              <w:t xml:space="preserve">IP020 </w:t>
            </w:r>
          </w:p>
        </w:tc>
        <w:tc>
          <w:tcPr>
            <w:tcW w:w="1845" w:type="pct"/>
            <w:tcBorders>
              <w:top w:val="nil"/>
              <w:left w:val="nil"/>
              <w:bottom w:val="nil"/>
              <w:right w:val="single" w:sz="4" w:space="0" w:color="auto"/>
            </w:tcBorders>
            <w:noWrap/>
            <w:vAlign w:val="bottom"/>
          </w:tcPr>
          <w:p w:rsidR="00902181" w:rsidRPr="00A44268" w:rsidRDefault="00902181" w:rsidP="003309DC">
            <w:pPr>
              <w:rPr>
                <w:b/>
                <w:color w:val="000000"/>
                <w:lang w:eastAsia="nl-BE"/>
              </w:rPr>
            </w:pPr>
            <w:r w:rsidRPr="00A44268">
              <w:rPr>
                <w:b/>
                <w:color w:val="000000"/>
                <w:lang w:eastAsia="nl-BE"/>
              </w:rPr>
              <w:t xml:space="preserve">Kringwinkel </w:t>
            </w:r>
            <w:proofErr w:type="spellStart"/>
            <w:r w:rsidRPr="00A44268">
              <w:rPr>
                <w:b/>
                <w:color w:val="000000"/>
                <w:lang w:eastAsia="nl-BE"/>
              </w:rPr>
              <w:t>Hageland</w:t>
            </w:r>
            <w:proofErr w:type="spellEnd"/>
          </w:p>
        </w:tc>
        <w:tc>
          <w:tcPr>
            <w:tcW w:w="1733" w:type="pct"/>
            <w:tcBorders>
              <w:top w:val="nil"/>
              <w:left w:val="nil"/>
              <w:bottom w:val="nil"/>
              <w:right w:val="nil"/>
            </w:tcBorders>
            <w:noWrap/>
            <w:vAlign w:val="bottom"/>
          </w:tcPr>
          <w:p w:rsidR="00902181" w:rsidRPr="00A44268" w:rsidRDefault="00902181" w:rsidP="003309DC">
            <w:pPr>
              <w:rPr>
                <w:color w:val="000000"/>
                <w:lang w:eastAsia="nl-BE"/>
              </w:rPr>
            </w:pPr>
            <w:r w:rsidRPr="00A44268">
              <w:rPr>
                <w:color w:val="000000"/>
                <w:lang w:eastAsia="nl-BE"/>
              </w:rPr>
              <w:t>Totaal subsidiebedrag:</w:t>
            </w:r>
          </w:p>
        </w:tc>
        <w:tc>
          <w:tcPr>
            <w:tcW w:w="981" w:type="pct"/>
            <w:tcBorders>
              <w:top w:val="nil"/>
              <w:left w:val="nil"/>
              <w:bottom w:val="nil"/>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€ 39.756,81</w:t>
            </w:r>
          </w:p>
        </w:tc>
      </w:tr>
      <w:tr w:rsidR="00902181" w:rsidRPr="00A44268" w:rsidTr="003309DC">
        <w:trPr>
          <w:trHeight w:val="1586"/>
        </w:trPr>
        <w:tc>
          <w:tcPr>
            <w:tcW w:w="5000" w:type="pct"/>
            <w:gridSpan w:val="4"/>
            <w:tcBorders>
              <w:top w:val="single" w:sz="4" w:space="0" w:color="auto"/>
              <w:left w:val="single" w:sz="4" w:space="0" w:color="auto"/>
              <w:bottom w:val="single" w:sz="4" w:space="0" w:color="auto"/>
              <w:right w:val="single" w:sz="4" w:space="0" w:color="000000"/>
            </w:tcBorders>
          </w:tcPr>
          <w:p w:rsidR="00902181" w:rsidRPr="00A44268" w:rsidRDefault="00902181" w:rsidP="003309DC">
            <w:pPr>
              <w:rPr>
                <w:color w:val="000000"/>
                <w:lang w:eastAsia="nl-BE"/>
              </w:rPr>
            </w:pPr>
            <w:r w:rsidRPr="00A44268">
              <w:rPr>
                <w:i/>
                <w:color w:val="000000"/>
                <w:lang w:eastAsia="nl-BE"/>
              </w:rPr>
              <w:t>Korte samenvatting project:</w:t>
            </w:r>
            <w:r w:rsidRPr="00A44268">
              <w:rPr>
                <w:color w:val="000000"/>
                <w:lang w:eastAsia="nl-BE"/>
              </w:rPr>
              <w:t xml:space="preserve"> Het project zal de samenwerkingsverbanden tussen Energiesnoeiers en reguliere bouwbedrijven stimuleren voor de niche dakisolatie en de mogelijkheden onderzoeken voor bijkomende sociale tewerkstelling in afgeleide isolatieactiviteiten (muur- en kelderisolatie). </w:t>
            </w:r>
          </w:p>
          <w:p w:rsidR="00902181" w:rsidRPr="00A44268" w:rsidRDefault="00902181" w:rsidP="003309DC">
            <w:pPr>
              <w:rPr>
                <w:color w:val="000000"/>
                <w:lang w:eastAsia="nl-BE"/>
              </w:rPr>
            </w:pPr>
            <w:r w:rsidRPr="00A44268">
              <w:rPr>
                <w:i/>
                <w:color w:val="000000"/>
                <w:lang w:eastAsia="nl-BE"/>
              </w:rPr>
              <w:t xml:space="preserve">Inbreng </w:t>
            </w:r>
            <w:proofErr w:type="spellStart"/>
            <w:r w:rsidRPr="00A44268">
              <w:rPr>
                <w:i/>
                <w:color w:val="000000"/>
                <w:lang w:eastAsia="nl-BE"/>
              </w:rPr>
              <w:t>Komosie</w:t>
            </w:r>
            <w:proofErr w:type="spellEnd"/>
            <w:r w:rsidRPr="00A44268">
              <w:rPr>
                <w:color w:val="000000"/>
                <w:lang w:eastAsia="nl-BE"/>
              </w:rPr>
              <w:t xml:space="preserve">: Projectmedewerker die vanaf 17 januari 2011 tot en met 31 oktober 2011 voltijds instond voor de uitwerking van de verschillende fasen en de uitvoering van de acties, namen samen met Kringwinkel </w:t>
            </w:r>
            <w:proofErr w:type="spellStart"/>
            <w:r w:rsidRPr="00A44268">
              <w:rPr>
                <w:color w:val="000000"/>
                <w:lang w:eastAsia="nl-BE"/>
              </w:rPr>
              <w:t>Hageland</w:t>
            </w:r>
            <w:proofErr w:type="spellEnd"/>
            <w:r w:rsidRPr="00A44268">
              <w:rPr>
                <w:color w:val="000000"/>
                <w:lang w:eastAsia="nl-BE"/>
              </w:rPr>
              <w:t xml:space="preserve"> ook het projectbeheer op.</w:t>
            </w:r>
          </w:p>
        </w:tc>
      </w:tr>
      <w:tr w:rsidR="00902181" w:rsidRPr="00A44268" w:rsidTr="003309DC">
        <w:trPr>
          <w:trHeight w:val="300"/>
        </w:trPr>
        <w:tc>
          <w:tcPr>
            <w:tcW w:w="441" w:type="pct"/>
            <w:tcBorders>
              <w:top w:val="nil"/>
              <w:left w:val="single" w:sz="4" w:space="0" w:color="auto"/>
              <w:bottom w:val="nil"/>
              <w:right w:val="nil"/>
            </w:tcBorders>
            <w:noWrap/>
            <w:vAlign w:val="bottom"/>
          </w:tcPr>
          <w:p w:rsidR="00902181" w:rsidRPr="00A44268" w:rsidRDefault="00902181" w:rsidP="003309DC">
            <w:pPr>
              <w:rPr>
                <w:b/>
                <w:color w:val="000000"/>
                <w:lang w:eastAsia="nl-BE"/>
              </w:rPr>
            </w:pPr>
            <w:r w:rsidRPr="00A44268">
              <w:rPr>
                <w:b/>
                <w:color w:val="000000"/>
                <w:lang w:eastAsia="nl-BE"/>
              </w:rPr>
              <w:t>IP046</w:t>
            </w:r>
          </w:p>
        </w:tc>
        <w:tc>
          <w:tcPr>
            <w:tcW w:w="1845" w:type="pct"/>
            <w:tcBorders>
              <w:top w:val="nil"/>
              <w:left w:val="nil"/>
              <w:bottom w:val="nil"/>
              <w:right w:val="nil"/>
            </w:tcBorders>
            <w:noWrap/>
            <w:vAlign w:val="bottom"/>
          </w:tcPr>
          <w:p w:rsidR="00902181" w:rsidRPr="00A44268" w:rsidRDefault="00902181" w:rsidP="003309DC">
            <w:pPr>
              <w:rPr>
                <w:b/>
                <w:color w:val="000000"/>
                <w:lang w:eastAsia="nl-BE"/>
              </w:rPr>
            </w:pPr>
            <w:r w:rsidRPr="00A44268">
              <w:rPr>
                <w:b/>
                <w:color w:val="000000"/>
                <w:lang w:eastAsia="nl-BE"/>
              </w:rPr>
              <w:t>Kringwinkel Antwerpen</w:t>
            </w:r>
          </w:p>
        </w:tc>
        <w:tc>
          <w:tcPr>
            <w:tcW w:w="1733" w:type="pct"/>
            <w:tcBorders>
              <w:top w:val="nil"/>
              <w:left w:val="single" w:sz="4" w:space="0" w:color="auto"/>
              <w:bottom w:val="nil"/>
              <w:right w:val="nil"/>
            </w:tcBorders>
            <w:noWrap/>
            <w:vAlign w:val="bottom"/>
          </w:tcPr>
          <w:p w:rsidR="00902181" w:rsidRPr="00A44268" w:rsidRDefault="00902181" w:rsidP="003309DC">
            <w:pPr>
              <w:rPr>
                <w:color w:val="000000"/>
                <w:lang w:eastAsia="nl-BE"/>
              </w:rPr>
            </w:pPr>
            <w:r w:rsidRPr="00A44268">
              <w:rPr>
                <w:color w:val="000000"/>
                <w:lang w:eastAsia="nl-BE"/>
              </w:rPr>
              <w:t>Totaal subsidiebedrag:</w:t>
            </w:r>
          </w:p>
        </w:tc>
        <w:tc>
          <w:tcPr>
            <w:tcW w:w="981" w:type="pct"/>
            <w:tcBorders>
              <w:top w:val="nil"/>
              <w:left w:val="nil"/>
              <w:bottom w:val="nil"/>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€ 44.706,53</w:t>
            </w:r>
          </w:p>
        </w:tc>
      </w:tr>
      <w:tr w:rsidR="00902181" w:rsidRPr="00A44268" w:rsidTr="003309DC">
        <w:trPr>
          <w:trHeight w:val="2095"/>
        </w:trPr>
        <w:tc>
          <w:tcPr>
            <w:tcW w:w="5000" w:type="pct"/>
            <w:gridSpan w:val="4"/>
            <w:tcBorders>
              <w:top w:val="single" w:sz="4" w:space="0" w:color="auto"/>
              <w:left w:val="single" w:sz="4" w:space="0" w:color="auto"/>
              <w:bottom w:val="single" w:sz="4" w:space="0" w:color="auto"/>
              <w:right w:val="single" w:sz="4" w:space="0" w:color="000000"/>
            </w:tcBorders>
          </w:tcPr>
          <w:p w:rsidR="00902181" w:rsidRPr="00A44268" w:rsidRDefault="00902181" w:rsidP="003309DC">
            <w:pPr>
              <w:rPr>
                <w:color w:val="000000"/>
                <w:lang w:eastAsia="nl-BE"/>
              </w:rPr>
            </w:pPr>
            <w:r w:rsidRPr="00A44268">
              <w:rPr>
                <w:i/>
                <w:color w:val="000000"/>
                <w:lang w:eastAsia="nl-BE"/>
              </w:rPr>
              <w:t>Korte samenvatting project</w:t>
            </w:r>
            <w:r w:rsidRPr="00A44268">
              <w:rPr>
                <w:color w:val="000000"/>
                <w:lang w:eastAsia="nl-BE"/>
              </w:rPr>
              <w:t xml:space="preserve">: Het project </w:t>
            </w:r>
            <w:proofErr w:type="spellStart"/>
            <w:r w:rsidRPr="00A44268">
              <w:rPr>
                <w:color w:val="000000"/>
                <w:lang w:eastAsia="nl-BE"/>
              </w:rPr>
              <w:t>Innomatik</w:t>
            </w:r>
            <w:proofErr w:type="spellEnd"/>
            <w:r w:rsidRPr="00A44268">
              <w:rPr>
                <w:color w:val="000000"/>
                <w:lang w:eastAsia="nl-BE"/>
              </w:rPr>
              <w:t xml:space="preserve"> wil de aanpak van afval in de kringloopsector sturen in de richting van materialenhergebruik en ontwikkeling van nieuwe producten. De stappen die het project neemt, van ideeëncaptatie tot de uitwerking van 2 pilootprojecten, zullen de basis vormen voor de inbedding van een innovatiecultuur  en –structuur.                                            </w:t>
            </w:r>
          </w:p>
          <w:p w:rsidR="00902181" w:rsidRPr="00A44268" w:rsidRDefault="00902181" w:rsidP="003309DC">
            <w:pPr>
              <w:rPr>
                <w:color w:val="000000"/>
                <w:lang w:eastAsia="nl-BE"/>
              </w:rPr>
            </w:pPr>
            <w:r w:rsidRPr="00A44268">
              <w:rPr>
                <w:i/>
                <w:color w:val="000000"/>
                <w:lang w:eastAsia="nl-BE"/>
              </w:rPr>
              <w:t xml:space="preserve">Inbreng </w:t>
            </w:r>
            <w:proofErr w:type="spellStart"/>
            <w:r w:rsidRPr="00A44268">
              <w:rPr>
                <w:i/>
                <w:color w:val="000000"/>
                <w:lang w:eastAsia="nl-BE"/>
              </w:rPr>
              <w:t>Komosie</w:t>
            </w:r>
            <w:proofErr w:type="spellEnd"/>
            <w:r w:rsidRPr="00A44268">
              <w:rPr>
                <w:i/>
                <w:color w:val="000000"/>
                <w:lang w:eastAsia="nl-BE"/>
              </w:rPr>
              <w:t>:</w:t>
            </w:r>
            <w:r w:rsidRPr="00A44268">
              <w:rPr>
                <w:color w:val="000000"/>
                <w:lang w:eastAsia="nl-BE"/>
              </w:rPr>
              <w:t xml:space="preserve"> Enerzijds het ondersteunen van het project bij het werken over de organisatiegrenzen heen, alsook de linken leggen met bestaande projecten en acties in de Kringwinkelsector. </w:t>
            </w:r>
            <w:r w:rsidRPr="00A44268">
              <w:rPr>
                <w:color w:val="000000"/>
                <w:lang w:eastAsia="nl-BE"/>
              </w:rPr>
              <w:br/>
              <w:t xml:space="preserve">Anderzijds stond KOMOSIE ook in voor de algemene opvolging van het project, zoals het voorbereiden van bijeenkomsten van de partners en het opvolgen en evalueren van de activiteiten. </w:t>
            </w:r>
          </w:p>
        </w:tc>
      </w:tr>
      <w:tr w:rsidR="00902181" w:rsidRPr="00A44268" w:rsidTr="003309DC">
        <w:trPr>
          <w:trHeight w:val="300"/>
        </w:trPr>
        <w:tc>
          <w:tcPr>
            <w:tcW w:w="441" w:type="pct"/>
            <w:tcBorders>
              <w:top w:val="nil"/>
              <w:left w:val="single" w:sz="4" w:space="0" w:color="auto"/>
              <w:bottom w:val="nil"/>
              <w:right w:val="nil"/>
            </w:tcBorders>
            <w:noWrap/>
            <w:vAlign w:val="bottom"/>
          </w:tcPr>
          <w:p w:rsidR="00902181" w:rsidRPr="00A44268" w:rsidRDefault="00902181" w:rsidP="003309DC">
            <w:pPr>
              <w:rPr>
                <w:b/>
                <w:color w:val="000000"/>
                <w:lang w:eastAsia="nl-BE"/>
              </w:rPr>
            </w:pPr>
            <w:r w:rsidRPr="00A44268">
              <w:rPr>
                <w:b/>
                <w:color w:val="000000"/>
                <w:lang w:eastAsia="nl-BE"/>
              </w:rPr>
              <w:t xml:space="preserve">IP047 </w:t>
            </w:r>
          </w:p>
        </w:tc>
        <w:tc>
          <w:tcPr>
            <w:tcW w:w="1845" w:type="pct"/>
            <w:tcBorders>
              <w:top w:val="nil"/>
              <w:left w:val="nil"/>
              <w:bottom w:val="nil"/>
              <w:right w:val="single" w:sz="4" w:space="0" w:color="auto"/>
            </w:tcBorders>
            <w:noWrap/>
            <w:vAlign w:val="bottom"/>
          </w:tcPr>
          <w:p w:rsidR="00902181" w:rsidRPr="00A44268" w:rsidRDefault="00902181" w:rsidP="003309DC">
            <w:pPr>
              <w:rPr>
                <w:b/>
                <w:color w:val="000000"/>
                <w:lang w:eastAsia="nl-BE"/>
              </w:rPr>
            </w:pPr>
            <w:proofErr w:type="spellStart"/>
            <w:r w:rsidRPr="00A44268">
              <w:rPr>
                <w:b/>
                <w:color w:val="000000"/>
                <w:lang w:eastAsia="nl-BE"/>
              </w:rPr>
              <w:t>Ateljee</w:t>
            </w:r>
            <w:proofErr w:type="spellEnd"/>
          </w:p>
        </w:tc>
        <w:tc>
          <w:tcPr>
            <w:tcW w:w="1733" w:type="pct"/>
            <w:tcBorders>
              <w:top w:val="nil"/>
              <w:left w:val="nil"/>
              <w:bottom w:val="single" w:sz="4" w:space="0" w:color="auto"/>
              <w:right w:val="nil"/>
            </w:tcBorders>
            <w:noWrap/>
            <w:vAlign w:val="bottom"/>
          </w:tcPr>
          <w:p w:rsidR="00902181" w:rsidRPr="00A44268" w:rsidRDefault="00902181" w:rsidP="003309DC">
            <w:pPr>
              <w:rPr>
                <w:color w:val="000000"/>
                <w:lang w:eastAsia="nl-BE"/>
              </w:rPr>
            </w:pPr>
            <w:r w:rsidRPr="00A44268">
              <w:rPr>
                <w:color w:val="000000"/>
                <w:lang w:eastAsia="nl-BE"/>
              </w:rPr>
              <w:t>Totaal subsidiebedrag:</w:t>
            </w:r>
          </w:p>
        </w:tc>
        <w:tc>
          <w:tcPr>
            <w:tcW w:w="981" w:type="pct"/>
            <w:tcBorders>
              <w:top w:val="nil"/>
              <w:left w:val="nil"/>
              <w:bottom w:val="single" w:sz="4" w:space="0" w:color="auto"/>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€ 1.288,25</w:t>
            </w:r>
          </w:p>
        </w:tc>
      </w:tr>
      <w:tr w:rsidR="00902181" w:rsidRPr="00A44268" w:rsidTr="003309DC">
        <w:trPr>
          <w:trHeight w:val="1094"/>
        </w:trPr>
        <w:tc>
          <w:tcPr>
            <w:tcW w:w="5000" w:type="pct"/>
            <w:gridSpan w:val="4"/>
            <w:tcBorders>
              <w:top w:val="single" w:sz="4" w:space="0" w:color="auto"/>
              <w:left w:val="single" w:sz="4" w:space="0" w:color="auto"/>
              <w:bottom w:val="single" w:sz="4" w:space="0" w:color="auto"/>
              <w:right w:val="single" w:sz="4" w:space="0" w:color="000000"/>
            </w:tcBorders>
          </w:tcPr>
          <w:p w:rsidR="00902181" w:rsidRPr="00A44268" w:rsidRDefault="00902181" w:rsidP="003309DC">
            <w:pPr>
              <w:rPr>
                <w:color w:val="000000"/>
                <w:lang w:eastAsia="nl-BE"/>
              </w:rPr>
            </w:pPr>
            <w:r w:rsidRPr="00A44268">
              <w:rPr>
                <w:i/>
                <w:color w:val="000000"/>
                <w:lang w:eastAsia="nl-BE"/>
              </w:rPr>
              <w:t>Korte samenvatting project</w:t>
            </w:r>
            <w:r w:rsidRPr="00A44268">
              <w:rPr>
                <w:color w:val="000000"/>
                <w:lang w:eastAsia="nl-BE"/>
              </w:rPr>
              <w:t xml:space="preserve">: Niet-verkoopbare kringloopgoederen en residugrondstoffen uit reguliere productiebedrijven een milieuvriendelijke bestemming geven. Door ontwikkelen van een </w:t>
            </w:r>
            <w:proofErr w:type="spellStart"/>
            <w:r w:rsidRPr="00A44268">
              <w:rPr>
                <w:color w:val="000000"/>
                <w:lang w:eastAsia="nl-BE"/>
              </w:rPr>
              <w:t>eco</w:t>
            </w:r>
            <w:proofErr w:type="spellEnd"/>
            <w:r w:rsidRPr="00A44268">
              <w:rPr>
                <w:color w:val="000000"/>
                <w:lang w:eastAsia="nl-BE"/>
              </w:rPr>
              <w:t xml:space="preserve">-design productlijn en door ondersteuning in derde wereldlanden van sociale economieprojecten.           </w:t>
            </w:r>
          </w:p>
          <w:p w:rsidR="00902181" w:rsidRPr="00A44268" w:rsidRDefault="00902181" w:rsidP="003309DC">
            <w:pPr>
              <w:rPr>
                <w:color w:val="000000"/>
                <w:lang w:eastAsia="nl-BE"/>
              </w:rPr>
            </w:pPr>
            <w:r w:rsidRPr="00A44268">
              <w:rPr>
                <w:i/>
                <w:color w:val="000000"/>
                <w:lang w:eastAsia="nl-BE"/>
              </w:rPr>
              <w:t xml:space="preserve">Inbreng </w:t>
            </w:r>
            <w:proofErr w:type="spellStart"/>
            <w:r w:rsidRPr="00A44268">
              <w:rPr>
                <w:i/>
                <w:color w:val="000000"/>
                <w:lang w:eastAsia="nl-BE"/>
              </w:rPr>
              <w:t>Komosie</w:t>
            </w:r>
            <w:proofErr w:type="spellEnd"/>
            <w:r w:rsidRPr="00A44268">
              <w:rPr>
                <w:color w:val="000000"/>
                <w:lang w:eastAsia="nl-BE"/>
              </w:rPr>
              <w:t xml:space="preserve">: </w:t>
            </w:r>
            <w:proofErr w:type="spellStart"/>
            <w:r w:rsidRPr="00A44268">
              <w:rPr>
                <w:color w:val="000000"/>
                <w:lang w:eastAsia="nl-BE"/>
              </w:rPr>
              <w:t>know-how</w:t>
            </w:r>
            <w:proofErr w:type="spellEnd"/>
            <w:r w:rsidRPr="00A44268">
              <w:rPr>
                <w:color w:val="000000"/>
                <w:lang w:eastAsia="nl-BE"/>
              </w:rPr>
              <w:t xml:space="preserve"> opstart tweedehandswinkel buitenland.</w:t>
            </w:r>
          </w:p>
        </w:tc>
      </w:tr>
      <w:tr w:rsidR="00902181" w:rsidRPr="00A44268" w:rsidTr="003309DC">
        <w:trPr>
          <w:trHeight w:val="300"/>
        </w:trPr>
        <w:tc>
          <w:tcPr>
            <w:tcW w:w="441" w:type="pct"/>
            <w:tcBorders>
              <w:top w:val="nil"/>
              <w:left w:val="single" w:sz="4" w:space="0" w:color="auto"/>
              <w:bottom w:val="nil"/>
              <w:right w:val="nil"/>
            </w:tcBorders>
            <w:noWrap/>
            <w:vAlign w:val="bottom"/>
          </w:tcPr>
          <w:p w:rsidR="00902181" w:rsidRPr="00A44268" w:rsidRDefault="00902181" w:rsidP="003309DC">
            <w:pPr>
              <w:rPr>
                <w:b/>
                <w:color w:val="000000"/>
                <w:lang w:eastAsia="nl-BE"/>
              </w:rPr>
            </w:pPr>
            <w:r w:rsidRPr="00A44268">
              <w:rPr>
                <w:b/>
                <w:color w:val="000000"/>
                <w:lang w:eastAsia="nl-BE"/>
              </w:rPr>
              <w:t>IP057</w:t>
            </w:r>
          </w:p>
        </w:tc>
        <w:tc>
          <w:tcPr>
            <w:tcW w:w="1845" w:type="pct"/>
            <w:tcBorders>
              <w:top w:val="nil"/>
              <w:left w:val="nil"/>
              <w:bottom w:val="nil"/>
              <w:right w:val="nil"/>
            </w:tcBorders>
            <w:noWrap/>
            <w:vAlign w:val="bottom"/>
          </w:tcPr>
          <w:p w:rsidR="00902181" w:rsidRPr="00A44268" w:rsidRDefault="00902181" w:rsidP="003309DC">
            <w:pPr>
              <w:rPr>
                <w:b/>
                <w:color w:val="000000"/>
                <w:lang w:eastAsia="nl-BE"/>
              </w:rPr>
            </w:pPr>
            <w:r w:rsidRPr="00A44268">
              <w:rPr>
                <w:b/>
                <w:color w:val="000000"/>
                <w:lang w:eastAsia="nl-BE"/>
              </w:rPr>
              <w:t>Kringwinkel ZW-Vlaanderen</w:t>
            </w:r>
          </w:p>
        </w:tc>
        <w:tc>
          <w:tcPr>
            <w:tcW w:w="1733" w:type="pct"/>
            <w:tcBorders>
              <w:top w:val="nil"/>
              <w:left w:val="single" w:sz="4" w:space="0" w:color="auto"/>
              <w:bottom w:val="nil"/>
              <w:right w:val="nil"/>
            </w:tcBorders>
            <w:noWrap/>
            <w:vAlign w:val="bottom"/>
          </w:tcPr>
          <w:p w:rsidR="00902181" w:rsidRPr="00A44268" w:rsidRDefault="00902181" w:rsidP="003309DC">
            <w:pPr>
              <w:rPr>
                <w:color w:val="000000"/>
                <w:lang w:eastAsia="nl-BE"/>
              </w:rPr>
            </w:pPr>
            <w:r w:rsidRPr="00A44268">
              <w:rPr>
                <w:color w:val="000000"/>
                <w:lang w:eastAsia="nl-BE"/>
              </w:rPr>
              <w:t>Totaal subsidiebedrag:</w:t>
            </w:r>
          </w:p>
        </w:tc>
        <w:tc>
          <w:tcPr>
            <w:tcW w:w="981" w:type="pct"/>
            <w:tcBorders>
              <w:top w:val="nil"/>
              <w:left w:val="nil"/>
              <w:bottom w:val="nil"/>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€ 42.623,11</w:t>
            </w:r>
          </w:p>
        </w:tc>
      </w:tr>
      <w:tr w:rsidR="00902181" w:rsidRPr="00A44268" w:rsidTr="003309DC">
        <w:trPr>
          <w:trHeight w:val="2537"/>
        </w:trPr>
        <w:tc>
          <w:tcPr>
            <w:tcW w:w="5000" w:type="pct"/>
            <w:gridSpan w:val="4"/>
            <w:tcBorders>
              <w:top w:val="single" w:sz="4" w:space="0" w:color="auto"/>
              <w:left w:val="single" w:sz="4" w:space="0" w:color="auto"/>
              <w:bottom w:val="single" w:sz="4" w:space="0" w:color="auto"/>
              <w:right w:val="single" w:sz="4" w:space="0" w:color="000000"/>
            </w:tcBorders>
          </w:tcPr>
          <w:p w:rsidR="00902181" w:rsidRPr="00A44268" w:rsidRDefault="00902181" w:rsidP="003309DC">
            <w:pPr>
              <w:rPr>
                <w:color w:val="000000"/>
                <w:lang w:eastAsia="nl-BE"/>
              </w:rPr>
            </w:pPr>
            <w:r w:rsidRPr="00A44268">
              <w:rPr>
                <w:i/>
                <w:color w:val="000000"/>
                <w:lang w:eastAsia="nl-BE"/>
              </w:rPr>
              <w:t>Korte samenvatting project</w:t>
            </w:r>
            <w:r w:rsidRPr="00A44268">
              <w:rPr>
                <w:color w:val="000000"/>
                <w:lang w:eastAsia="nl-BE"/>
              </w:rPr>
              <w:t xml:space="preserve">: Met het project 'Energie en Hergebruik' streeft de kringloopsector naar een milieuvriendelijk aanbod van betaalbare en energiezuinige 2e hands toestellen. De koper kan zeker zijn van een energiebewuste aankoop door het invoeren van een label met het opgemeten energieverbruik in €/jaar. Daarnaast maken we medewerkers en klanten van de Kringwinkel warm voor rationeel energiegebruik.                                                             </w:t>
            </w:r>
          </w:p>
          <w:p w:rsidR="00902181" w:rsidRPr="00A44268" w:rsidRDefault="00902181" w:rsidP="003309DC">
            <w:pPr>
              <w:rPr>
                <w:color w:val="000000"/>
                <w:lang w:eastAsia="nl-BE"/>
              </w:rPr>
            </w:pPr>
            <w:r w:rsidRPr="00A44268">
              <w:rPr>
                <w:i/>
                <w:color w:val="000000"/>
                <w:lang w:eastAsia="nl-BE"/>
              </w:rPr>
              <w:t xml:space="preserve">Inbreng </w:t>
            </w:r>
            <w:proofErr w:type="spellStart"/>
            <w:r w:rsidRPr="00A44268">
              <w:rPr>
                <w:i/>
                <w:color w:val="000000"/>
                <w:lang w:eastAsia="nl-BE"/>
              </w:rPr>
              <w:t>Komosie</w:t>
            </w:r>
            <w:proofErr w:type="spellEnd"/>
            <w:r w:rsidRPr="00A44268">
              <w:rPr>
                <w:color w:val="000000"/>
                <w:lang w:eastAsia="nl-BE"/>
              </w:rPr>
              <w:t xml:space="preserve">: KOMOSIE heeft een projectmedewerker in dienst genomen die het hele project in goede banen leidt. Binnen KOMOSIE werken zowel de algemeen directeur alsook de medewerkers van Revisie mee aan het project. KOMOSIE is ook de ledenkoepel van de Energiesnoeiers. Ook zij zijn actief betrokken in het verloop van het project en hun expertise biedt zeker een meerwaarde voor het project. </w:t>
            </w:r>
          </w:p>
        </w:tc>
      </w:tr>
      <w:tr w:rsidR="00902181" w:rsidRPr="00A44268" w:rsidTr="003309DC">
        <w:trPr>
          <w:trHeight w:val="300"/>
        </w:trPr>
        <w:tc>
          <w:tcPr>
            <w:tcW w:w="441" w:type="pct"/>
            <w:tcBorders>
              <w:top w:val="nil"/>
              <w:left w:val="nil"/>
              <w:bottom w:val="nil"/>
              <w:right w:val="nil"/>
            </w:tcBorders>
            <w:noWrap/>
            <w:vAlign w:val="bottom"/>
          </w:tcPr>
          <w:p w:rsidR="00902181" w:rsidRPr="00A44268" w:rsidRDefault="00902181" w:rsidP="003309DC">
            <w:pPr>
              <w:rPr>
                <w:color w:val="000000"/>
                <w:lang w:eastAsia="nl-BE"/>
              </w:rPr>
            </w:pPr>
          </w:p>
        </w:tc>
        <w:tc>
          <w:tcPr>
            <w:tcW w:w="1845" w:type="pct"/>
            <w:tcBorders>
              <w:top w:val="nil"/>
              <w:left w:val="nil"/>
              <w:bottom w:val="nil"/>
              <w:right w:val="nil"/>
            </w:tcBorders>
            <w:noWrap/>
            <w:vAlign w:val="bottom"/>
          </w:tcPr>
          <w:p w:rsidR="00902181" w:rsidRPr="00A44268" w:rsidRDefault="00902181" w:rsidP="003309DC">
            <w:pPr>
              <w:rPr>
                <w:color w:val="000000"/>
                <w:lang w:eastAsia="nl-BE"/>
              </w:rPr>
            </w:pPr>
          </w:p>
        </w:tc>
        <w:tc>
          <w:tcPr>
            <w:tcW w:w="1733" w:type="pct"/>
            <w:tcBorders>
              <w:top w:val="nil"/>
              <w:left w:val="nil"/>
              <w:bottom w:val="single" w:sz="4" w:space="0" w:color="auto"/>
              <w:right w:val="nil"/>
            </w:tcBorders>
            <w:noWrap/>
            <w:vAlign w:val="bottom"/>
          </w:tcPr>
          <w:p w:rsidR="00902181" w:rsidRPr="00A44268" w:rsidRDefault="00902181" w:rsidP="003309DC">
            <w:pPr>
              <w:rPr>
                <w:color w:val="000000"/>
                <w:lang w:eastAsia="nl-BE"/>
              </w:rPr>
            </w:pPr>
          </w:p>
        </w:tc>
        <w:tc>
          <w:tcPr>
            <w:tcW w:w="981" w:type="pct"/>
            <w:tcBorders>
              <w:top w:val="nil"/>
              <w:left w:val="nil"/>
              <w:bottom w:val="single" w:sz="4" w:space="0" w:color="auto"/>
              <w:right w:val="nil"/>
            </w:tcBorders>
            <w:noWrap/>
            <w:vAlign w:val="bottom"/>
          </w:tcPr>
          <w:p w:rsidR="00902181" w:rsidRPr="00A44268" w:rsidRDefault="00902181" w:rsidP="003309DC">
            <w:pPr>
              <w:rPr>
                <w:color w:val="000000"/>
                <w:lang w:eastAsia="nl-BE"/>
              </w:rPr>
            </w:pPr>
          </w:p>
        </w:tc>
      </w:tr>
      <w:tr w:rsidR="00902181" w:rsidRPr="00A44268" w:rsidTr="003309DC">
        <w:trPr>
          <w:trHeight w:val="300"/>
        </w:trPr>
        <w:tc>
          <w:tcPr>
            <w:tcW w:w="441" w:type="pct"/>
            <w:tcBorders>
              <w:top w:val="nil"/>
              <w:left w:val="nil"/>
              <w:bottom w:val="nil"/>
              <w:right w:val="nil"/>
            </w:tcBorders>
            <w:noWrap/>
            <w:vAlign w:val="bottom"/>
          </w:tcPr>
          <w:p w:rsidR="00902181" w:rsidRPr="00A44268" w:rsidRDefault="00902181" w:rsidP="003309DC">
            <w:pPr>
              <w:rPr>
                <w:color w:val="000000"/>
                <w:lang w:eastAsia="nl-BE"/>
              </w:rPr>
            </w:pPr>
          </w:p>
        </w:tc>
        <w:tc>
          <w:tcPr>
            <w:tcW w:w="1845" w:type="pct"/>
            <w:tcBorders>
              <w:top w:val="nil"/>
              <w:left w:val="nil"/>
              <w:bottom w:val="nil"/>
              <w:right w:val="single" w:sz="4" w:space="0" w:color="auto"/>
            </w:tcBorders>
            <w:noWrap/>
            <w:vAlign w:val="bottom"/>
          </w:tcPr>
          <w:p w:rsidR="00902181" w:rsidRPr="00A44268" w:rsidRDefault="00902181" w:rsidP="003309DC">
            <w:pPr>
              <w:rPr>
                <w:color w:val="000000"/>
                <w:lang w:eastAsia="nl-BE"/>
              </w:rPr>
            </w:pPr>
          </w:p>
        </w:tc>
        <w:tc>
          <w:tcPr>
            <w:tcW w:w="1733" w:type="pct"/>
            <w:tcBorders>
              <w:top w:val="single" w:sz="4" w:space="0" w:color="auto"/>
              <w:left w:val="single" w:sz="4" w:space="0" w:color="auto"/>
              <w:bottom w:val="single" w:sz="4" w:space="0" w:color="auto"/>
              <w:right w:val="nil"/>
            </w:tcBorders>
            <w:noWrap/>
            <w:vAlign w:val="bottom"/>
          </w:tcPr>
          <w:p w:rsidR="00902181" w:rsidRPr="00A44268" w:rsidRDefault="00902181" w:rsidP="003309DC">
            <w:pPr>
              <w:rPr>
                <w:color w:val="000000"/>
                <w:lang w:eastAsia="nl-BE"/>
              </w:rPr>
            </w:pPr>
            <w:r w:rsidRPr="00A44268">
              <w:rPr>
                <w:color w:val="000000"/>
                <w:lang w:eastAsia="nl-BE"/>
              </w:rPr>
              <w:t>Totaal 2010</w:t>
            </w:r>
          </w:p>
        </w:tc>
        <w:tc>
          <w:tcPr>
            <w:tcW w:w="981" w:type="pct"/>
            <w:tcBorders>
              <w:top w:val="single" w:sz="4" w:space="0" w:color="auto"/>
              <w:left w:val="nil"/>
              <w:bottom w:val="single" w:sz="4" w:space="0" w:color="auto"/>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€ 128.374,69</w:t>
            </w:r>
          </w:p>
        </w:tc>
      </w:tr>
    </w:tbl>
    <w:p w:rsidR="00902181" w:rsidRPr="00937879" w:rsidRDefault="00902181" w:rsidP="00561F0C">
      <w:pPr>
        <w:pStyle w:val="StandaardSV"/>
        <w:rPr>
          <w:szCs w:val="22"/>
        </w:rPr>
      </w:pPr>
      <w:r>
        <w:rPr>
          <w:szCs w:val="22"/>
        </w:rPr>
        <w:br w:type="page"/>
      </w:r>
    </w:p>
    <w:tbl>
      <w:tblPr>
        <w:tblW w:w="5000" w:type="pct"/>
        <w:tblCellMar>
          <w:left w:w="70" w:type="dxa"/>
          <w:right w:w="70" w:type="dxa"/>
        </w:tblCellMar>
        <w:tblLook w:val="00A0" w:firstRow="1" w:lastRow="0" w:firstColumn="1" w:lastColumn="0" w:noHBand="0" w:noVBand="0"/>
      </w:tblPr>
      <w:tblGrid>
        <w:gridCol w:w="907"/>
        <w:gridCol w:w="239"/>
        <w:gridCol w:w="2847"/>
        <w:gridCol w:w="249"/>
        <w:gridCol w:w="3162"/>
        <w:gridCol w:w="247"/>
        <w:gridCol w:w="1561"/>
      </w:tblGrid>
      <w:tr w:rsidR="00902181" w:rsidRPr="00A44268" w:rsidTr="003309DC">
        <w:trPr>
          <w:trHeight w:val="300"/>
        </w:trPr>
        <w:tc>
          <w:tcPr>
            <w:tcW w:w="5000" w:type="pct"/>
            <w:gridSpan w:val="7"/>
            <w:tcBorders>
              <w:top w:val="single" w:sz="4" w:space="0" w:color="auto"/>
              <w:left w:val="single" w:sz="4" w:space="0" w:color="auto"/>
              <w:bottom w:val="single" w:sz="4" w:space="0" w:color="auto"/>
              <w:right w:val="single" w:sz="4" w:space="0" w:color="000000"/>
            </w:tcBorders>
            <w:noWrap/>
            <w:vAlign w:val="bottom"/>
          </w:tcPr>
          <w:p w:rsidR="00902181" w:rsidRPr="00A44268" w:rsidRDefault="00902181" w:rsidP="003309DC">
            <w:pPr>
              <w:jc w:val="center"/>
              <w:rPr>
                <w:color w:val="000000"/>
                <w:lang w:eastAsia="nl-BE"/>
              </w:rPr>
            </w:pPr>
            <w:r w:rsidRPr="00A44268">
              <w:rPr>
                <w:color w:val="000000"/>
                <w:lang w:eastAsia="nl-BE"/>
              </w:rPr>
              <w:t>INNOVATIEOPROEP 2011</w:t>
            </w:r>
          </w:p>
        </w:tc>
      </w:tr>
      <w:tr w:rsidR="00902181" w:rsidRPr="00A44268" w:rsidTr="003309DC">
        <w:trPr>
          <w:trHeight w:val="300"/>
        </w:trPr>
        <w:tc>
          <w:tcPr>
            <w:tcW w:w="493" w:type="pct"/>
            <w:tcBorders>
              <w:top w:val="nil"/>
              <w:left w:val="single" w:sz="4" w:space="0" w:color="auto"/>
              <w:bottom w:val="single" w:sz="4" w:space="0" w:color="auto"/>
              <w:right w:val="nil"/>
            </w:tcBorders>
            <w:noWrap/>
            <w:vAlign w:val="bottom"/>
          </w:tcPr>
          <w:p w:rsidR="00902181" w:rsidRPr="00A44268" w:rsidRDefault="00902181" w:rsidP="003309DC">
            <w:pPr>
              <w:rPr>
                <w:b/>
                <w:color w:val="000000"/>
                <w:lang w:eastAsia="nl-BE"/>
              </w:rPr>
            </w:pPr>
            <w:r w:rsidRPr="00A44268">
              <w:rPr>
                <w:b/>
                <w:color w:val="000000"/>
                <w:lang w:eastAsia="nl-BE"/>
              </w:rPr>
              <w:t>IP 132</w:t>
            </w:r>
          </w:p>
        </w:tc>
        <w:tc>
          <w:tcPr>
            <w:tcW w:w="1810" w:type="pct"/>
            <w:gridSpan w:val="3"/>
            <w:tcBorders>
              <w:top w:val="nil"/>
              <w:left w:val="nil"/>
              <w:bottom w:val="single" w:sz="4" w:space="0" w:color="auto"/>
              <w:right w:val="nil"/>
            </w:tcBorders>
            <w:noWrap/>
            <w:vAlign w:val="bottom"/>
          </w:tcPr>
          <w:p w:rsidR="00902181" w:rsidRPr="00A44268" w:rsidRDefault="00902181" w:rsidP="003309DC">
            <w:pPr>
              <w:rPr>
                <w:b/>
                <w:color w:val="000000"/>
                <w:lang w:eastAsia="nl-BE"/>
              </w:rPr>
            </w:pPr>
            <w:r w:rsidRPr="00A44268">
              <w:rPr>
                <w:b/>
                <w:color w:val="000000"/>
                <w:lang w:eastAsia="nl-BE"/>
              </w:rPr>
              <w:t xml:space="preserve">Den </w:t>
            </w:r>
            <w:proofErr w:type="spellStart"/>
            <w:r w:rsidRPr="00A44268">
              <w:rPr>
                <w:b/>
                <w:color w:val="000000"/>
                <w:lang w:eastAsia="nl-BE"/>
              </w:rPr>
              <w:t>Azalee</w:t>
            </w:r>
            <w:proofErr w:type="spellEnd"/>
            <w:r w:rsidRPr="00A44268">
              <w:rPr>
                <w:b/>
                <w:color w:val="000000"/>
                <w:lang w:eastAsia="nl-BE"/>
              </w:rPr>
              <w:t xml:space="preserve"> vzw</w:t>
            </w:r>
          </w:p>
        </w:tc>
        <w:tc>
          <w:tcPr>
            <w:tcW w:w="1716" w:type="pct"/>
            <w:tcBorders>
              <w:top w:val="nil"/>
              <w:left w:val="single" w:sz="4" w:space="0" w:color="auto"/>
              <w:bottom w:val="single" w:sz="4" w:space="0" w:color="auto"/>
              <w:right w:val="nil"/>
            </w:tcBorders>
            <w:noWrap/>
            <w:vAlign w:val="bottom"/>
          </w:tcPr>
          <w:p w:rsidR="00902181" w:rsidRPr="00A44268" w:rsidRDefault="00902181" w:rsidP="003309DC">
            <w:pPr>
              <w:rPr>
                <w:color w:val="000000"/>
                <w:lang w:eastAsia="nl-BE"/>
              </w:rPr>
            </w:pPr>
            <w:r w:rsidRPr="00A44268">
              <w:rPr>
                <w:color w:val="000000"/>
                <w:lang w:eastAsia="nl-BE"/>
              </w:rPr>
              <w:t>Totaal subsidiebedrag:</w:t>
            </w:r>
          </w:p>
        </w:tc>
        <w:tc>
          <w:tcPr>
            <w:tcW w:w="981" w:type="pct"/>
            <w:gridSpan w:val="2"/>
            <w:tcBorders>
              <w:top w:val="nil"/>
              <w:left w:val="nil"/>
              <w:bottom w:val="single" w:sz="4" w:space="0" w:color="auto"/>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xml:space="preserve"> € 16.209,67 </w:t>
            </w:r>
          </w:p>
        </w:tc>
      </w:tr>
      <w:tr w:rsidR="00902181" w:rsidRPr="00A44268" w:rsidTr="003309DC">
        <w:trPr>
          <w:trHeight w:val="1618"/>
        </w:trPr>
        <w:tc>
          <w:tcPr>
            <w:tcW w:w="5000" w:type="pct"/>
            <w:gridSpan w:val="7"/>
            <w:tcBorders>
              <w:top w:val="nil"/>
              <w:left w:val="single" w:sz="4" w:space="0" w:color="auto"/>
              <w:bottom w:val="single" w:sz="4" w:space="0" w:color="auto"/>
              <w:right w:val="single" w:sz="4" w:space="0" w:color="000000"/>
            </w:tcBorders>
          </w:tcPr>
          <w:p w:rsidR="00902181" w:rsidRPr="00A44268" w:rsidRDefault="00902181" w:rsidP="003309DC">
            <w:pPr>
              <w:rPr>
                <w:color w:val="000000"/>
                <w:lang w:eastAsia="nl-BE"/>
              </w:rPr>
            </w:pPr>
            <w:r w:rsidRPr="00A44268">
              <w:rPr>
                <w:i/>
                <w:color w:val="000000"/>
                <w:lang w:eastAsia="nl-BE"/>
              </w:rPr>
              <w:t>Korte samenvatting project</w:t>
            </w:r>
            <w:r w:rsidRPr="00A44268">
              <w:rPr>
                <w:color w:val="000000"/>
                <w:lang w:eastAsia="nl-BE"/>
              </w:rPr>
              <w:t xml:space="preserve">: Recuperatie onderdelenmagazijn met elektronische web winkel: recuperatie van merkonderdelen uit toestellen, fietsen en bouwmaterialen, stockeren en catalogeren op elektronische databank, raadpleegbaar vanuit de ateliers voor eigen gebruik en vanuit de winkels of thuis door de klant, in samenwerking met KOMOSIE, OCMW Sint-Niklaas en SIMS recycling (recyclage grondstoffen).                                                                                                     </w:t>
            </w:r>
          </w:p>
          <w:p w:rsidR="00902181" w:rsidRPr="00A44268" w:rsidRDefault="00902181" w:rsidP="003309DC">
            <w:pPr>
              <w:rPr>
                <w:color w:val="000000"/>
                <w:lang w:eastAsia="nl-BE"/>
              </w:rPr>
            </w:pPr>
            <w:r w:rsidRPr="00A44268">
              <w:rPr>
                <w:i/>
                <w:color w:val="000000"/>
                <w:lang w:eastAsia="nl-BE"/>
              </w:rPr>
              <w:t xml:space="preserve">Inbreng </w:t>
            </w:r>
            <w:proofErr w:type="spellStart"/>
            <w:r w:rsidRPr="00A44268">
              <w:rPr>
                <w:i/>
                <w:color w:val="000000"/>
                <w:lang w:eastAsia="nl-BE"/>
              </w:rPr>
              <w:t>Komosie</w:t>
            </w:r>
            <w:proofErr w:type="spellEnd"/>
            <w:r w:rsidRPr="00A44268">
              <w:rPr>
                <w:color w:val="000000"/>
                <w:lang w:eastAsia="nl-BE"/>
              </w:rPr>
              <w:t xml:space="preserve">: neemt mee het projectbeheer op.       </w:t>
            </w:r>
          </w:p>
        </w:tc>
      </w:tr>
      <w:tr w:rsidR="00902181" w:rsidRPr="00A44268" w:rsidTr="003309DC">
        <w:trPr>
          <w:trHeight w:val="300"/>
        </w:trPr>
        <w:tc>
          <w:tcPr>
            <w:tcW w:w="493" w:type="pct"/>
            <w:tcBorders>
              <w:top w:val="nil"/>
              <w:left w:val="single" w:sz="4" w:space="0" w:color="auto"/>
              <w:bottom w:val="single" w:sz="4" w:space="0" w:color="auto"/>
              <w:right w:val="nil"/>
            </w:tcBorders>
            <w:noWrap/>
            <w:vAlign w:val="bottom"/>
          </w:tcPr>
          <w:p w:rsidR="00902181" w:rsidRPr="00A44268" w:rsidRDefault="00902181" w:rsidP="003309DC">
            <w:pPr>
              <w:rPr>
                <w:b/>
                <w:color w:val="000000"/>
                <w:lang w:eastAsia="nl-BE"/>
              </w:rPr>
            </w:pPr>
            <w:r w:rsidRPr="00A44268">
              <w:rPr>
                <w:b/>
                <w:color w:val="000000"/>
                <w:lang w:eastAsia="nl-BE"/>
              </w:rPr>
              <w:t>IP 167</w:t>
            </w:r>
          </w:p>
        </w:tc>
        <w:tc>
          <w:tcPr>
            <w:tcW w:w="1810" w:type="pct"/>
            <w:gridSpan w:val="3"/>
            <w:tcBorders>
              <w:top w:val="nil"/>
              <w:left w:val="nil"/>
              <w:bottom w:val="single" w:sz="4" w:space="0" w:color="auto"/>
              <w:right w:val="nil"/>
            </w:tcBorders>
            <w:noWrap/>
            <w:vAlign w:val="bottom"/>
          </w:tcPr>
          <w:p w:rsidR="00902181" w:rsidRPr="00A44268" w:rsidRDefault="00902181" w:rsidP="003309DC">
            <w:pPr>
              <w:rPr>
                <w:b/>
                <w:color w:val="000000"/>
                <w:lang w:eastAsia="nl-BE"/>
              </w:rPr>
            </w:pPr>
            <w:r w:rsidRPr="00A44268">
              <w:rPr>
                <w:b/>
                <w:color w:val="000000"/>
                <w:lang w:eastAsia="nl-BE"/>
              </w:rPr>
              <w:t>Leren Ondernemen vzw</w:t>
            </w:r>
          </w:p>
        </w:tc>
        <w:tc>
          <w:tcPr>
            <w:tcW w:w="1716" w:type="pct"/>
            <w:tcBorders>
              <w:top w:val="nil"/>
              <w:left w:val="single" w:sz="4" w:space="0" w:color="auto"/>
              <w:bottom w:val="single" w:sz="4" w:space="0" w:color="auto"/>
              <w:right w:val="nil"/>
            </w:tcBorders>
            <w:noWrap/>
            <w:vAlign w:val="bottom"/>
          </w:tcPr>
          <w:p w:rsidR="00902181" w:rsidRPr="00A44268" w:rsidRDefault="00902181" w:rsidP="003309DC">
            <w:pPr>
              <w:rPr>
                <w:color w:val="000000"/>
                <w:lang w:eastAsia="nl-BE"/>
              </w:rPr>
            </w:pPr>
            <w:r w:rsidRPr="00A44268">
              <w:rPr>
                <w:color w:val="000000"/>
                <w:lang w:eastAsia="nl-BE"/>
              </w:rPr>
              <w:t>Totaal subsidiebedrag:</w:t>
            </w:r>
          </w:p>
        </w:tc>
        <w:tc>
          <w:tcPr>
            <w:tcW w:w="981" w:type="pct"/>
            <w:gridSpan w:val="2"/>
            <w:tcBorders>
              <w:top w:val="nil"/>
              <w:left w:val="nil"/>
              <w:bottom w:val="single" w:sz="4" w:space="0" w:color="auto"/>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xml:space="preserve"> €    8.097,08 </w:t>
            </w:r>
          </w:p>
        </w:tc>
      </w:tr>
      <w:tr w:rsidR="00902181" w:rsidRPr="00A44268" w:rsidTr="003309DC">
        <w:trPr>
          <w:trHeight w:val="2113"/>
        </w:trPr>
        <w:tc>
          <w:tcPr>
            <w:tcW w:w="5000" w:type="pct"/>
            <w:gridSpan w:val="7"/>
            <w:tcBorders>
              <w:top w:val="nil"/>
              <w:left w:val="single" w:sz="4" w:space="0" w:color="auto"/>
              <w:bottom w:val="single" w:sz="4" w:space="0" w:color="auto"/>
              <w:right w:val="single" w:sz="4" w:space="0" w:color="000000"/>
            </w:tcBorders>
          </w:tcPr>
          <w:p w:rsidR="00902181" w:rsidRPr="00A44268" w:rsidRDefault="00902181" w:rsidP="003309DC">
            <w:pPr>
              <w:rPr>
                <w:color w:val="000000"/>
                <w:lang w:eastAsia="nl-BE"/>
              </w:rPr>
            </w:pPr>
            <w:r w:rsidRPr="00A44268">
              <w:rPr>
                <w:i/>
                <w:color w:val="000000"/>
                <w:lang w:eastAsia="nl-BE"/>
              </w:rPr>
              <w:t>Korte samenvatting project</w:t>
            </w:r>
            <w:r w:rsidRPr="00A44268">
              <w:rPr>
                <w:color w:val="000000"/>
                <w:lang w:eastAsia="nl-BE"/>
              </w:rPr>
              <w:t xml:space="preserve">: Vanuit de energiesnoeiers naar een meerwaarde in de integrale begeleiding rond wonen, water en energie voor maatschappelijk kwetsbare groepen. Via actie en onderzoek willen drie partners de tewerkstellingskansen verkennen voor </w:t>
            </w:r>
            <w:proofErr w:type="spellStart"/>
            <w:r w:rsidRPr="00A44268">
              <w:rPr>
                <w:color w:val="000000"/>
                <w:lang w:eastAsia="nl-BE"/>
              </w:rPr>
              <w:t>doelgroepwerknemers</w:t>
            </w:r>
            <w:proofErr w:type="spellEnd"/>
            <w:r w:rsidRPr="00A44268">
              <w:rPr>
                <w:color w:val="000000"/>
                <w:lang w:eastAsia="nl-BE"/>
              </w:rPr>
              <w:t xml:space="preserve"> in een integrale begeleiding voor maatschappelijk kwetsbare groepen om energie-, water en woonarmoede tegen te gaan. Door de </w:t>
            </w:r>
            <w:proofErr w:type="spellStart"/>
            <w:r w:rsidRPr="00A44268">
              <w:rPr>
                <w:color w:val="000000"/>
                <w:lang w:eastAsia="nl-BE"/>
              </w:rPr>
              <w:t>doelgroepwerknemers</w:t>
            </w:r>
            <w:proofErr w:type="spellEnd"/>
            <w:r w:rsidRPr="00A44268">
              <w:rPr>
                <w:color w:val="000000"/>
                <w:lang w:eastAsia="nl-BE"/>
              </w:rPr>
              <w:t xml:space="preserve"> een nieuwe plaats te geven in de organisatie en anders te omkaderen wordt de ervaringsdeskundigheid van de medewerkers maximaal gevaloriseerd naar de klanten en innoveren we ook de dienstverlening.                                                                   </w:t>
            </w:r>
          </w:p>
          <w:p w:rsidR="00902181" w:rsidRPr="00A44268" w:rsidRDefault="00902181" w:rsidP="003309DC">
            <w:pPr>
              <w:rPr>
                <w:color w:val="000000"/>
                <w:lang w:eastAsia="nl-BE"/>
              </w:rPr>
            </w:pPr>
            <w:r w:rsidRPr="00A44268">
              <w:rPr>
                <w:i/>
                <w:color w:val="000000"/>
                <w:lang w:eastAsia="nl-BE"/>
              </w:rPr>
              <w:t xml:space="preserve">Inbreng </w:t>
            </w:r>
            <w:proofErr w:type="spellStart"/>
            <w:r w:rsidRPr="00A44268">
              <w:rPr>
                <w:i/>
                <w:color w:val="000000"/>
                <w:lang w:eastAsia="nl-BE"/>
              </w:rPr>
              <w:t>Komosie</w:t>
            </w:r>
            <w:proofErr w:type="spellEnd"/>
            <w:r w:rsidRPr="00A44268">
              <w:rPr>
                <w:color w:val="000000"/>
                <w:lang w:eastAsia="nl-BE"/>
              </w:rPr>
              <w:t>: Concrete taakverdeling zal nog vastgelegd worden.</w:t>
            </w:r>
          </w:p>
        </w:tc>
      </w:tr>
      <w:tr w:rsidR="00902181" w:rsidRPr="00A44268" w:rsidTr="003309DC">
        <w:trPr>
          <w:trHeight w:val="300"/>
        </w:trPr>
        <w:tc>
          <w:tcPr>
            <w:tcW w:w="623" w:type="pct"/>
            <w:gridSpan w:val="2"/>
            <w:tcBorders>
              <w:top w:val="nil"/>
              <w:left w:val="nil"/>
              <w:bottom w:val="nil"/>
              <w:right w:val="nil"/>
            </w:tcBorders>
            <w:noWrap/>
            <w:vAlign w:val="bottom"/>
          </w:tcPr>
          <w:p w:rsidR="00902181" w:rsidRPr="00A44268" w:rsidRDefault="00902181" w:rsidP="003309DC">
            <w:pPr>
              <w:rPr>
                <w:color w:val="000000"/>
                <w:lang w:eastAsia="nl-BE"/>
              </w:rPr>
            </w:pPr>
          </w:p>
        </w:tc>
        <w:tc>
          <w:tcPr>
            <w:tcW w:w="1545" w:type="pct"/>
            <w:tcBorders>
              <w:top w:val="nil"/>
              <w:left w:val="nil"/>
              <w:bottom w:val="nil"/>
              <w:right w:val="nil"/>
            </w:tcBorders>
            <w:noWrap/>
            <w:vAlign w:val="bottom"/>
          </w:tcPr>
          <w:p w:rsidR="00902181" w:rsidRPr="00A44268" w:rsidRDefault="00902181" w:rsidP="003309DC">
            <w:pPr>
              <w:rPr>
                <w:color w:val="000000"/>
                <w:lang w:eastAsia="nl-BE"/>
              </w:rPr>
            </w:pPr>
          </w:p>
        </w:tc>
        <w:tc>
          <w:tcPr>
            <w:tcW w:w="1985" w:type="pct"/>
            <w:gridSpan w:val="3"/>
            <w:tcBorders>
              <w:top w:val="nil"/>
              <w:left w:val="nil"/>
              <w:bottom w:val="single" w:sz="4" w:space="0" w:color="auto"/>
              <w:right w:val="nil"/>
            </w:tcBorders>
            <w:noWrap/>
            <w:vAlign w:val="bottom"/>
          </w:tcPr>
          <w:p w:rsidR="00902181" w:rsidRPr="00A44268" w:rsidRDefault="00902181" w:rsidP="003309DC">
            <w:pPr>
              <w:rPr>
                <w:color w:val="000000"/>
                <w:lang w:eastAsia="nl-BE"/>
              </w:rPr>
            </w:pPr>
          </w:p>
        </w:tc>
        <w:tc>
          <w:tcPr>
            <w:tcW w:w="846" w:type="pct"/>
            <w:tcBorders>
              <w:top w:val="nil"/>
              <w:left w:val="nil"/>
              <w:bottom w:val="single" w:sz="4" w:space="0" w:color="auto"/>
              <w:right w:val="nil"/>
            </w:tcBorders>
            <w:noWrap/>
            <w:vAlign w:val="bottom"/>
          </w:tcPr>
          <w:p w:rsidR="00902181" w:rsidRPr="00A44268" w:rsidRDefault="00902181" w:rsidP="003309DC">
            <w:pPr>
              <w:rPr>
                <w:color w:val="000000"/>
                <w:lang w:eastAsia="nl-BE"/>
              </w:rPr>
            </w:pPr>
          </w:p>
        </w:tc>
      </w:tr>
      <w:tr w:rsidR="00902181" w:rsidRPr="00A44268" w:rsidTr="003309DC">
        <w:trPr>
          <w:trHeight w:val="300"/>
        </w:trPr>
        <w:tc>
          <w:tcPr>
            <w:tcW w:w="623" w:type="pct"/>
            <w:gridSpan w:val="2"/>
            <w:tcBorders>
              <w:top w:val="nil"/>
              <w:left w:val="nil"/>
              <w:bottom w:val="nil"/>
              <w:right w:val="nil"/>
            </w:tcBorders>
            <w:noWrap/>
            <w:vAlign w:val="bottom"/>
          </w:tcPr>
          <w:p w:rsidR="00902181" w:rsidRPr="00A44268" w:rsidRDefault="00902181" w:rsidP="003309DC">
            <w:pPr>
              <w:rPr>
                <w:color w:val="000000"/>
                <w:lang w:eastAsia="nl-BE"/>
              </w:rPr>
            </w:pPr>
          </w:p>
        </w:tc>
        <w:tc>
          <w:tcPr>
            <w:tcW w:w="1545" w:type="pct"/>
            <w:tcBorders>
              <w:top w:val="nil"/>
              <w:left w:val="nil"/>
              <w:bottom w:val="nil"/>
              <w:right w:val="single" w:sz="4" w:space="0" w:color="auto"/>
            </w:tcBorders>
            <w:noWrap/>
            <w:vAlign w:val="bottom"/>
          </w:tcPr>
          <w:p w:rsidR="00902181" w:rsidRPr="00A44268" w:rsidRDefault="00902181" w:rsidP="003309DC">
            <w:pPr>
              <w:rPr>
                <w:color w:val="000000"/>
                <w:lang w:eastAsia="nl-BE"/>
              </w:rPr>
            </w:pPr>
          </w:p>
        </w:tc>
        <w:tc>
          <w:tcPr>
            <w:tcW w:w="1985" w:type="pct"/>
            <w:gridSpan w:val="3"/>
            <w:tcBorders>
              <w:top w:val="single" w:sz="4" w:space="0" w:color="auto"/>
              <w:left w:val="single" w:sz="4" w:space="0" w:color="auto"/>
              <w:bottom w:val="single" w:sz="4" w:space="0" w:color="auto"/>
              <w:right w:val="nil"/>
            </w:tcBorders>
            <w:noWrap/>
            <w:vAlign w:val="bottom"/>
          </w:tcPr>
          <w:p w:rsidR="00902181" w:rsidRPr="00A44268" w:rsidRDefault="00902181" w:rsidP="003309DC">
            <w:pPr>
              <w:rPr>
                <w:color w:val="000000"/>
                <w:lang w:eastAsia="nl-BE"/>
              </w:rPr>
            </w:pPr>
            <w:r w:rsidRPr="00A44268">
              <w:rPr>
                <w:color w:val="000000"/>
                <w:lang w:eastAsia="nl-BE"/>
              </w:rPr>
              <w:t>Totaal 2011</w:t>
            </w:r>
          </w:p>
        </w:tc>
        <w:tc>
          <w:tcPr>
            <w:tcW w:w="846" w:type="pct"/>
            <w:tcBorders>
              <w:top w:val="single" w:sz="4" w:space="0" w:color="auto"/>
              <w:left w:val="nil"/>
              <w:bottom w:val="single" w:sz="4" w:space="0" w:color="auto"/>
              <w:right w:val="single" w:sz="4" w:space="0" w:color="auto"/>
            </w:tcBorders>
            <w:noWrap/>
            <w:vAlign w:val="bottom"/>
          </w:tcPr>
          <w:p w:rsidR="00902181" w:rsidRPr="00A44268" w:rsidRDefault="00902181" w:rsidP="003309DC">
            <w:pPr>
              <w:jc w:val="right"/>
              <w:rPr>
                <w:color w:val="000000"/>
                <w:lang w:eastAsia="nl-BE"/>
              </w:rPr>
            </w:pPr>
            <w:r w:rsidRPr="00A44268">
              <w:rPr>
                <w:color w:val="000000"/>
                <w:lang w:eastAsia="nl-BE"/>
              </w:rPr>
              <w:t xml:space="preserve"> € 24.306,74 </w:t>
            </w:r>
          </w:p>
        </w:tc>
      </w:tr>
    </w:tbl>
    <w:p w:rsidR="00902181" w:rsidRPr="00937879" w:rsidRDefault="00902181" w:rsidP="00561F0C">
      <w:pPr>
        <w:pStyle w:val="StandaardSV"/>
        <w:rPr>
          <w:szCs w:val="22"/>
        </w:rPr>
      </w:pPr>
    </w:p>
    <w:p w:rsidR="00902181" w:rsidRPr="0078691E" w:rsidRDefault="00902181" w:rsidP="0078691E">
      <w:pPr>
        <w:spacing w:after="0" w:line="240" w:lineRule="auto"/>
        <w:rPr>
          <w:rFonts w:ascii="Times New Roman" w:hAnsi="Times New Roman"/>
        </w:rPr>
      </w:pPr>
    </w:p>
    <w:sectPr w:rsidR="00902181" w:rsidRPr="0078691E" w:rsidSect="00561F0C">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03F"/>
    <w:multiLevelType w:val="hybridMultilevel"/>
    <w:tmpl w:val="3BB618BE"/>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4652A85"/>
    <w:multiLevelType w:val="hybridMultilevel"/>
    <w:tmpl w:val="D284CC9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268C156C"/>
    <w:multiLevelType w:val="hybridMultilevel"/>
    <w:tmpl w:val="FC969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6F642C"/>
    <w:multiLevelType w:val="hybridMultilevel"/>
    <w:tmpl w:val="BF14FA7A"/>
    <w:lvl w:ilvl="0" w:tplc="063CA8F8">
      <w:start w:val="1"/>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7B9D16C6"/>
    <w:multiLevelType w:val="hybridMultilevel"/>
    <w:tmpl w:val="D26ACA62"/>
    <w:lvl w:ilvl="0" w:tplc="0813000F">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5">
    <w:nsid w:val="7FCA3560"/>
    <w:multiLevelType w:val="hybridMultilevel"/>
    <w:tmpl w:val="ABCC28C8"/>
    <w:lvl w:ilvl="0" w:tplc="003E973A">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F0C"/>
    <w:rsid w:val="000374B8"/>
    <w:rsid w:val="00037BB1"/>
    <w:rsid w:val="00052A7B"/>
    <w:rsid w:val="000A3852"/>
    <w:rsid w:val="00153B84"/>
    <w:rsid w:val="001F6F75"/>
    <w:rsid w:val="00232DAF"/>
    <w:rsid w:val="002742BE"/>
    <w:rsid w:val="002A6E8B"/>
    <w:rsid w:val="002C2C44"/>
    <w:rsid w:val="003309DC"/>
    <w:rsid w:val="00354380"/>
    <w:rsid w:val="003A3F95"/>
    <w:rsid w:val="003A4C44"/>
    <w:rsid w:val="004A0B4B"/>
    <w:rsid w:val="00561406"/>
    <w:rsid w:val="00561F0C"/>
    <w:rsid w:val="005D314C"/>
    <w:rsid w:val="005D579D"/>
    <w:rsid w:val="006831D5"/>
    <w:rsid w:val="006A3126"/>
    <w:rsid w:val="006B5ECC"/>
    <w:rsid w:val="00712090"/>
    <w:rsid w:val="00723B48"/>
    <w:rsid w:val="0078691E"/>
    <w:rsid w:val="007A62AD"/>
    <w:rsid w:val="0080625F"/>
    <w:rsid w:val="00854694"/>
    <w:rsid w:val="00857A55"/>
    <w:rsid w:val="008E252D"/>
    <w:rsid w:val="00902181"/>
    <w:rsid w:val="00937879"/>
    <w:rsid w:val="0097385C"/>
    <w:rsid w:val="00991BC2"/>
    <w:rsid w:val="00A15B4C"/>
    <w:rsid w:val="00A44268"/>
    <w:rsid w:val="00A60C14"/>
    <w:rsid w:val="00AA5A40"/>
    <w:rsid w:val="00AD7FC8"/>
    <w:rsid w:val="00AE2478"/>
    <w:rsid w:val="00B45D97"/>
    <w:rsid w:val="00BD1900"/>
    <w:rsid w:val="00CE0C00"/>
    <w:rsid w:val="00D90533"/>
    <w:rsid w:val="00DD0664"/>
    <w:rsid w:val="00E3306E"/>
    <w:rsid w:val="00E34BBD"/>
    <w:rsid w:val="00E82B18"/>
    <w:rsid w:val="00EA7AD0"/>
    <w:rsid w:val="00F45FA5"/>
    <w:rsid w:val="00FD6B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FA5"/>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691E"/>
    <w:rPr>
      <w:rFonts w:cs="Times New Roman"/>
      <w:color w:val="808080"/>
    </w:rPr>
  </w:style>
  <w:style w:type="paragraph" w:styleId="Ballontekst">
    <w:name w:val="Balloon Text"/>
    <w:basedOn w:val="Standaard"/>
    <w:link w:val="BallontekstChar"/>
    <w:uiPriority w:val="99"/>
    <w:semiHidden/>
    <w:rsid w:val="007869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8691E"/>
    <w:rPr>
      <w:rFonts w:ascii="Tahoma" w:hAnsi="Tahoma" w:cs="Tahoma"/>
      <w:sz w:val="16"/>
      <w:szCs w:val="16"/>
    </w:rPr>
  </w:style>
  <w:style w:type="paragraph" w:customStyle="1" w:styleId="StandaardSV">
    <w:name w:val="Standaard SV"/>
    <w:basedOn w:val="Standaard"/>
    <w:uiPriority w:val="99"/>
    <w:rsid w:val="00561F0C"/>
    <w:pPr>
      <w:spacing w:after="0" w:line="240" w:lineRule="auto"/>
      <w:jc w:val="both"/>
    </w:pPr>
    <w:rPr>
      <w:rFonts w:ascii="Times New Roman" w:eastAsia="Times New Roman" w:hAnsi="Times New Roman"/>
      <w:szCs w:val="20"/>
      <w:lang w:val="nl-NL" w:eastAsia="nl-NL"/>
    </w:rPr>
  </w:style>
  <w:style w:type="character" w:styleId="Zwaar">
    <w:name w:val="Strong"/>
    <w:basedOn w:val="Standaardalinea-lettertype"/>
    <w:uiPriority w:val="99"/>
    <w:qFormat/>
    <w:rsid w:val="00561F0C"/>
    <w:rPr>
      <w:rFonts w:cs="Times New Roman"/>
      <w:b/>
      <w:bCs/>
    </w:rPr>
  </w:style>
  <w:style w:type="character" w:customStyle="1" w:styleId="st1">
    <w:name w:val="st1"/>
    <w:basedOn w:val="Standaardalinea-lettertype"/>
    <w:uiPriority w:val="99"/>
    <w:rsid w:val="00561F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8732-A864-435D-B8FF-8D290F26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sv</Template>
  <TotalTime>11</TotalTime>
  <Pages>5</Pages>
  <Words>1509</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FREYA VAN DEN BOSSCHE</vt:lpstr>
    </vt:vector>
  </TitlesOfParts>
  <Company>Vlaamse Overheid</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Felix Braeckman</dc:creator>
  <cp:keywords/>
  <dc:description/>
  <cp:lastModifiedBy>Vlaams Parlement</cp:lastModifiedBy>
  <cp:revision>4</cp:revision>
  <cp:lastPrinted>2012-03-23T16:07:00Z</cp:lastPrinted>
  <dcterms:created xsi:type="dcterms:W3CDTF">2012-03-23T16:04:00Z</dcterms:created>
  <dcterms:modified xsi:type="dcterms:W3CDTF">2012-04-17T08:59:00Z</dcterms:modified>
</cp:coreProperties>
</file>