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45" w:rsidRPr="00A8473D" w:rsidRDefault="003D0945" w:rsidP="005D2037">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3D0945" w:rsidRPr="00A8473D" w:rsidRDefault="003D0945"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3D0945" w:rsidRDefault="003D0945" w:rsidP="005D2037">
      <w:pPr>
        <w:pStyle w:val="A-NaamMinister"/>
        <w:rPr>
          <w:b w:val="0"/>
          <w:noProof/>
        </w:rPr>
      </w:pPr>
      <w:r>
        <w:rPr>
          <w:b w:val="0"/>
          <w:noProof/>
        </w:rPr>
        <w:t>__________________________________________________________________________________</w:t>
      </w:r>
    </w:p>
    <w:p w:rsidR="003D0945" w:rsidRDefault="003D0945" w:rsidP="00FB6A8B">
      <w:pPr>
        <w:pStyle w:val="A-NaamMinister"/>
        <w:rPr>
          <w:b w:val="0"/>
          <w:noProof/>
        </w:rPr>
      </w:pPr>
    </w:p>
    <w:p w:rsidR="003D0945" w:rsidRPr="00305D92" w:rsidRDefault="003D0945" w:rsidP="005D2037">
      <w:pPr>
        <w:pStyle w:val="A-Type"/>
        <w:rPr>
          <w:szCs w:val="20"/>
          <w:lang w:val="nl-NL"/>
        </w:rPr>
      </w:pPr>
      <w:r>
        <w:rPr>
          <w:szCs w:val="20"/>
          <w:lang w:val="nl-NL"/>
        </w:rPr>
        <w:t>a</w:t>
      </w:r>
      <w:r w:rsidRPr="00305D92">
        <w:rPr>
          <w:szCs w:val="20"/>
          <w:lang w:val="nl-NL"/>
        </w:rPr>
        <w:t xml:space="preserve">ntwoord </w:t>
      </w:r>
    </w:p>
    <w:p w:rsidR="003D0945" w:rsidRPr="00305D92" w:rsidRDefault="003D0945" w:rsidP="00305D92">
      <w:pPr>
        <w:pStyle w:val="A-Type"/>
        <w:rPr>
          <w:b w:val="0"/>
          <w:smallCaps w:val="0"/>
          <w:szCs w:val="24"/>
        </w:rPr>
      </w:pPr>
      <w:r w:rsidRPr="005D2037">
        <w:rPr>
          <w:b w:val="0"/>
          <w:smallCaps w:val="0"/>
          <w:szCs w:val="24"/>
        </w:rPr>
        <w:t xml:space="preserve">op vraag nr. </w:t>
      </w:r>
      <w:r w:rsidRPr="00E149DB">
        <w:rPr>
          <w:b w:val="0"/>
        </w:rPr>
        <w:t>214</w:t>
      </w:r>
      <w:r>
        <w:rPr>
          <w:b w:val="0"/>
        </w:rPr>
        <w:t xml:space="preserve"> </w:t>
      </w:r>
      <w:r w:rsidRPr="00305D92">
        <w:rPr>
          <w:b w:val="0"/>
          <w:smallCaps w:val="0"/>
          <w:szCs w:val="24"/>
        </w:rPr>
        <w:t>van 10 februari 2012</w:t>
      </w:r>
    </w:p>
    <w:p w:rsidR="003D0945" w:rsidRDefault="003D0945" w:rsidP="00E149DB">
      <w:pPr>
        <w:jc w:val="both"/>
        <w:rPr>
          <w:b/>
          <w:sz w:val="22"/>
        </w:rPr>
      </w:pPr>
      <w:r>
        <w:t xml:space="preserve">van </w:t>
      </w:r>
      <w:r>
        <w:rPr>
          <w:b/>
          <w:smallCaps/>
          <w:sz w:val="22"/>
        </w:rPr>
        <w:t>paul delva</w:t>
      </w:r>
    </w:p>
    <w:p w:rsidR="003D0945" w:rsidRPr="006860D5" w:rsidRDefault="003D0945" w:rsidP="00FB6A8B">
      <w:pPr>
        <w:pStyle w:val="A-Gewonetekst"/>
      </w:pPr>
      <w:r>
        <w:t>__________________________________________________________________________________</w:t>
      </w:r>
    </w:p>
    <w:p w:rsidR="003D0945" w:rsidRDefault="003D0945" w:rsidP="00FB6A8B">
      <w:pPr>
        <w:pStyle w:val="A-Type"/>
        <w:rPr>
          <w:lang w:val="nl-NL"/>
        </w:rPr>
      </w:pPr>
    </w:p>
    <w:p w:rsidR="003D0945" w:rsidRDefault="003D0945" w:rsidP="00322010">
      <w:pPr>
        <w:pStyle w:val="StandaardSV"/>
        <w:rPr>
          <w:b/>
          <w:smallCaps/>
          <w:szCs w:val="22"/>
        </w:rPr>
      </w:pPr>
    </w:p>
    <w:p w:rsidR="003D0945" w:rsidRDefault="003D0945" w:rsidP="00E149DB">
      <w:pPr>
        <w:pStyle w:val="StandaardSV"/>
        <w:ind w:left="426" w:hanging="426"/>
      </w:pPr>
      <w:r>
        <w:t>1-2. De vormingen van het 4</w:t>
      </w:r>
      <w:r w:rsidRPr="00E149DB">
        <w:t>de</w:t>
      </w:r>
      <w:r>
        <w:t xml:space="preserve"> pijlersteunpunt, worden steeds georganiseerd op vraag van de provincie in kwestie, die de noden en mogelijkheden van de lokale organisaties kent. </w:t>
      </w:r>
    </w:p>
    <w:p w:rsidR="003D0945" w:rsidRDefault="003D0945" w:rsidP="00E149DB">
      <w:pPr>
        <w:pStyle w:val="StandaardSV"/>
        <w:ind w:left="426"/>
      </w:pPr>
    </w:p>
    <w:p w:rsidR="003D0945" w:rsidRDefault="003D0945" w:rsidP="00E149DB">
      <w:pPr>
        <w:pStyle w:val="StandaardSV"/>
        <w:ind w:left="426"/>
      </w:pPr>
      <w:r>
        <w:t>11.11.11., de koepelorganisatie die verantwoordelijk is voor de uitbouw en werking van het 4</w:t>
      </w:r>
      <w:r w:rsidRPr="00E149DB">
        <w:t>e</w:t>
      </w:r>
      <w:r>
        <w:t xml:space="preserve"> pijlersteunpunt, communiceert op regelmatige basis met de provincies over alle mogelijke vormen van samenwerking tussen de provincies en het 4e pijlersteunpunt. </w:t>
      </w:r>
    </w:p>
    <w:p w:rsidR="003D0945" w:rsidRDefault="003D0945" w:rsidP="00E149DB">
      <w:pPr>
        <w:pStyle w:val="StandaardSV"/>
        <w:ind w:left="426"/>
      </w:pPr>
    </w:p>
    <w:p w:rsidR="003D0945" w:rsidRDefault="003D0945" w:rsidP="00E149DB">
      <w:pPr>
        <w:pStyle w:val="StandaardSV"/>
        <w:ind w:left="426"/>
      </w:pPr>
      <w:r>
        <w:t>D</w:t>
      </w:r>
      <w:r w:rsidRPr="007F7C38">
        <w:t>e administratie zal 11.11.11</w:t>
      </w:r>
      <w:r>
        <w:t>.</w:t>
      </w:r>
      <w:r w:rsidRPr="007F7C38">
        <w:t xml:space="preserve"> informeren over de </w:t>
      </w:r>
      <w:r>
        <w:t xml:space="preserve">specifieke </w:t>
      </w:r>
      <w:r w:rsidRPr="007F7C38">
        <w:t xml:space="preserve">rol van </w:t>
      </w:r>
      <w:r>
        <w:t xml:space="preserve">de </w:t>
      </w:r>
      <w:r w:rsidRPr="007F7C38">
        <w:t>V</w:t>
      </w:r>
      <w:r>
        <w:t>laamse Gemeenschaps</w:t>
      </w:r>
      <w:r>
        <w:softHyphen/>
        <w:t>commissie i</w:t>
      </w:r>
      <w:r w:rsidRPr="007F7C38">
        <w:t xml:space="preserve">n het Hoofdstedelijk Gewest Brussel en </w:t>
      </w:r>
      <w:r>
        <w:t xml:space="preserve">opdracht geven </w:t>
      </w:r>
      <w:r w:rsidRPr="007F7C38">
        <w:t xml:space="preserve">om </w:t>
      </w:r>
      <w:r>
        <w:t xml:space="preserve">met het VGC over </w:t>
      </w:r>
      <w:r w:rsidRPr="007F7C38">
        <w:t>het vormingsaanbod van het 4de pijlersteunpunt te communiceren</w:t>
      </w:r>
      <w:r>
        <w:t>.</w:t>
      </w:r>
    </w:p>
    <w:p w:rsidR="003D0945" w:rsidRDefault="003D0945" w:rsidP="00DF3DD8">
      <w:pPr>
        <w:pStyle w:val="StandaardSV"/>
        <w:ind w:left="426"/>
      </w:pPr>
    </w:p>
    <w:p w:rsidR="003D0945" w:rsidRDefault="003D0945" w:rsidP="00DF3DD8">
      <w:pPr>
        <w:pStyle w:val="StandaardSV"/>
        <w:ind w:left="426"/>
      </w:pPr>
    </w:p>
    <w:p w:rsidR="003D0945" w:rsidRDefault="003D0945" w:rsidP="00305D92">
      <w:pPr>
        <w:pStyle w:val="StandaardSV"/>
        <w:tabs>
          <w:tab w:val="left" w:pos="426"/>
        </w:tabs>
        <w:ind w:left="426" w:hanging="426"/>
      </w:pPr>
      <w:r>
        <w:t>3.</w:t>
      </w:r>
      <w:r>
        <w:tab/>
        <w:t>In verband met de taken (gemeenschapsbevoegdheden) waar de provincies voor instaan en die niet worden uitgeoefend (door de VGC) in het Brusselse Hoofdstedelijke Gewest moet vooreerst worden opgemerkt dat het niet mogelijk is om een integrale institutionele parallel te trekken tussen de beide bestuursniveaus.</w:t>
      </w:r>
    </w:p>
    <w:p w:rsidR="003D0945" w:rsidRDefault="003D0945" w:rsidP="00305D92">
      <w:pPr>
        <w:pStyle w:val="StandaardSV"/>
        <w:tabs>
          <w:tab w:val="left" w:pos="426"/>
        </w:tabs>
        <w:ind w:left="426"/>
      </w:pPr>
    </w:p>
    <w:p w:rsidR="003D0945" w:rsidRDefault="003D0945" w:rsidP="00305D92">
      <w:pPr>
        <w:pStyle w:val="StandaardSV"/>
        <w:ind w:left="426"/>
      </w:pPr>
      <w:r>
        <w:t>Artikel 2 van het Provinciedecreet omschrijft de taak van de provincies. De provincie is een intermediair beleidsniveau tussen het Vlaamse en het gemeentelijke niveau en beoogt om op het provinciale niveau bij te dragen tot het welzijn van de burgers en tot de duurzame ontwikkeling van het provinciale gebied. Krachtens artikel 41 van de Grondwet zijn ze bevoegd voor de regeling van de ‘provinciale belangen’.</w:t>
      </w:r>
    </w:p>
    <w:p w:rsidR="003D0945" w:rsidRDefault="003D0945" w:rsidP="00305D92">
      <w:pPr>
        <w:pStyle w:val="StandaardSV"/>
        <w:ind w:left="426"/>
      </w:pPr>
      <w:r>
        <w:t>Tot die provinciale belangen behoren de bovenlokale taakbehartiging, ondersteunende taken op verzoek van andere overheden, en het nemen van initiatieven met het oog op gebiedsgerichte samenwerking tussen besturen in een regio.</w:t>
      </w:r>
    </w:p>
    <w:p w:rsidR="003D0945" w:rsidRDefault="003D0945" w:rsidP="00305D92">
      <w:pPr>
        <w:pStyle w:val="StandaardSV"/>
        <w:ind w:left="426"/>
      </w:pPr>
      <w:r>
        <w:t>Daarnaast oefenen de provincies ook overeenkomstig artikel 6, § 1, VIII, tweede lid, BWHI en artikel 46 GWHI de bevoegdheden uit die hen door of krachtens de wet of het decreet zijn toevertrouwd.</w:t>
      </w:r>
    </w:p>
    <w:p w:rsidR="003D0945" w:rsidRDefault="003D0945" w:rsidP="00305D92">
      <w:pPr>
        <w:pStyle w:val="StandaardSV"/>
        <w:ind w:left="426"/>
      </w:pPr>
      <w:r>
        <w:t>Samengevat: de provincies staan in voor de provinciale belangen, die zij in het kader van de lokale autonomie zelf invullen, en voeren medebewindstaken van hogere overheden uit.</w:t>
      </w:r>
    </w:p>
    <w:p w:rsidR="003D0945" w:rsidRDefault="003D0945" w:rsidP="00305D92">
      <w:pPr>
        <w:pStyle w:val="StandaardSV"/>
        <w:ind w:left="426"/>
      </w:pPr>
    </w:p>
    <w:p w:rsidR="003D0945" w:rsidRDefault="003D0945" w:rsidP="00305D92">
      <w:pPr>
        <w:pStyle w:val="StandaardSV"/>
        <w:ind w:left="426"/>
      </w:pPr>
      <w:r>
        <w:t xml:space="preserve">Artikel 60 van de Bijzondere Wet met betrekking tot de Brusselse Instellingen bepaalt dat de Vlaamse Gemeenschapscommissie bevoegd is voor </w:t>
      </w:r>
      <w:r w:rsidRPr="00997D3B">
        <w:t>de aangelegenheden van de Vlaamse Gemeenschap van Brussel-Hoofdstad</w:t>
      </w:r>
      <w:r>
        <w:t>. Deze bevoegdheden worden nader verduidelijkt in de artikelen 61 tot en met 64.</w:t>
      </w:r>
    </w:p>
    <w:p w:rsidR="003D0945" w:rsidRDefault="003D0945" w:rsidP="00305D92">
      <w:pPr>
        <w:pStyle w:val="StandaardSV"/>
        <w:ind w:left="426"/>
      </w:pPr>
      <w:r>
        <w:t>De VGC kan als inrichtende macht optreden in het kader van de gemeenschapsaangelegenheden en heeft ook tot taak om in het kader van deze bevoegdheden een programmering uit te werken en uit te voeren van de infrastructuur, de nodige onderwijsinstellingen op te richten, ze te beheren en subsidies te verlenen, alsook om initiatieven te nemen en aan te moedigen inzake culturele en persoonsgebonden aangelegenheden. Binnen het kader van deze bevoegdheden heeft de VGC ook een verordenende bevoegdheid. Ten slotte kan de VGC ook adviezen richten aan andere overheden.</w:t>
      </w:r>
    </w:p>
    <w:p w:rsidR="003D0945" w:rsidRDefault="003D0945" w:rsidP="00305D92">
      <w:pPr>
        <w:pStyle w:val="StandaardSV"/>
        <w:ind w:left="426"/>
      </w:pPr>
      <w:r>
        <w:t>Artikel 65 laat bovendien toe dat het Vlaams Parlement m.b.t. de gemeenschapsaangelegenheden verordenende bevoegdheden zou overdragen aan de VGC. Tot op heden is hiervan echter nog geen gebruik gemaakt.</w:t>
      </w:r>
    </w:p>
    <w:p w:rsidR="003D0945" w:rsidRDefault="003D0945" w:rsidP="00305D92">
      <w:pPr>
        <w:pStyle w:val="StandaardSV"/>
        <w:ind w:left="426"/>
      </w:pPr>
      <w:r>
        <w:t>Samengevat: de VGC staat, parallel met de Vlaamse Gemeenschap zelf, in voor de gemeenschapsbevoegdheden in Brussel-Hoofdstad en kan in het kader van de autonomie die haar is toegekend deze bevoegdheden zelf invullen.</w:t>
      </w:r>
    </w:p>
    <w:p w:rsidR="003D0945" w:rsidRDefault="003D0945" w:rsidP="00305D92">
      <w:pPr>
        <w:pStyle w:val="StandaardSV"/>
        <w:ind w:left="426"/>
      </w:pPr>
    </w:p>
    <w:p w:rsidR="003D0945" w:rsidRDefault="003D0945" w:rsidP="00305D92">
      <w:pPr>
        <w:pStyle w:val="StandaardSV"/>
        <w:ind w:left="426"/>
      </w:pPr>
      <w:r>
        <w:t>Bij het maken van een vergelijking tussen de opgenomen taken van de provincies en de VGC, moet dus een onderscheid worden gemaakt tussen de taken die vallen onder de autonomie van de betrokken overheden en de vormen van medebewind. De initiatieven oplijsten van de Vlaamse provincies die vallen binnen de autonomie en die niet worden opgenomen door de VGC lijkt weinig zinvol. Indien de provincie West-Vlaanderen bijvoorbeeld de behartiging van het toerisme aan de kust tot haar taak rekent, dan bestaat hiervoor uiteraard geen equivalent aan VGC-zijde. Wanneer de provincie Limburg een specifiek pop- en fuifbeleid ontwikkelt, is het mogelijk dat de VGC dit niet als een eigen prioriteit rekent. Het lijkt me niet opportuun om alle onderwijsinstellingen en culturele of persoonsgebonden initiatieven op te lijsten van de provincies en dan te stellen dat het hier gaat om een ‘lacune’ aan VGC-zijde. De Vlaamse Regering wenst uiteraard de autonomie van de VGC te respecteren om zelf te bepalen hoe zij haar beleid invult.</w:t>
      </w:r>
    </w:p>
    <w:p w:rsidR="003D0945" w:rsidRDefault="003D0945" w:rsidP="00305D92">
      <w:pPr>
        <w:pStyle w:val="StandaardSV"/>
        <w:ind w:left="426"/>
      </w:pPr>
    </w:p>
    <w:p w:rsidR="003D0945" w:rsidRDefault="003D0945" w:rsidP="00305D92">
      <w:pPr>
        <w:pStyle w:val="StandaardSV"/>
        <w:ind w:left="426"/>
      </w:pPr>
      <w:r>
        <w:t>Daarbij moet ook rekening gehouden worden met het feit dat de bevoegdheid van de VGC beperkt is tot de bevoegdheid van de Vlaamse Gemeenschap in Brussel. In kader van de persoonsgebonden bevoegdheden is de VGC enkel bevoegd ten aanzien van instellingen die wegens hun organisatie uitsluitend behoren tot de Vlaamse Gemeenschap. In Brussel leidt dit tot het bestaan van een bicommunautaire sector waarvoor de Gemeenschappelijke Gemeenschaps-commissie bevoegd is. De VGC is ook enkel bevoegd ten aanzien van instellingen en niet ten aanzien van personen.</w:t>
      </w:r>
    </w:p>
    <w:p w:rsidR="003D0945" w:rsidRDefault="003D0945" w:rsidP="00305D92">
      <w:pPr>
        <w:pStyle w:val="StandaardSV"/>
        <w:ind w:left="426"/>
      </w:pPr>
      <w:r>
        <w:t>De provincies hebben deze beperkingen niet: zij kunnen bevoegd zijn ten aanzien van alle instellingen in hun provincie en hebben ook een bevoegdheid ten aanzien van personen. Taken die de provincies in het kader hiervan opnemen en die de VGC daarom niet kan opnemen zijn geen ‘lacune’, maar een gevolg van de institutionele context.</w:t>
      </w:r>
    </w:p>
    <w:p w:rsidR="003D0945" w:rsidRDefault="003D0945" w:rsidP="00305D92">
      <w:pPr>
        <w:pStyle w:val="StandaardSV"/>
        <w:ind w:left="426"/>
      </w:pPr>
    </w:p>
    <w:p w:rsidR="003D0945" w:rsidRDefault="003D0945" w:rsidP="00305D92">
      <w:pPr>
        <w:pStyle w:val="StandaardSV"/>
        <w:ind w:left="426"/>
      </w:pPr>
      <w:r>
        <w:t>Het antwoord op de vraag moet zich dus beperken tot de medebewindstaken van de provincies in het kader van de gemeenschapsbevoegdheden, waarbij wordt nagegaan in hoeverre de VGC deze taken in Brussel kan of mag uitoefenen. Hierna volgt daarover een exhaustieve lijst.</w:t>
      </w:r>
    </w:p>
    <w:p w:rsidR="003D0945" w:rsidRDefault="003D0945" w:rsidP="00305D92">
      <w:pPr>
        <w:pStyle w:val="StandaardSV"/>
        <w:ind w:left="426"/>
      </w:pPr>
    </w:p>
    <w:p w:rsidR="003D0945" w:rsidRDefault="003D0945" w:rsidP="00305D92">
      <w:pPr>
        <w:pStyle w:val="StandaardSV"/>
        <w:ind w:left="426"/>
        <w:rPr>
          <w:i/>
        </w:rPr>
      </w:pPr>
      <w:r w:rsidRPr="003B3F25">
        <w:rPr>
          <w:i/>
        </w:rPr>
        <w:t>In het kader van de culturele bevoegdheden</w:t>
      </w:r>
    </w:p>
    <w:p w:rsidR="003D0945" w:rsidRPr="003B3F25" w:rsidRDefault="003D0945" w:rsidP="00305D92">
      <w:pPr>
        <w:pStyle w:val="StandaardSV"/>
        <w:ind w:left="426"/>
        <w:rPr>
          <w:i/>
        </w:rPr>
      </w:pPr>
    </w:p>
    <w:p w:rsidR="003D0945" w:rsidRDefault="003D0945" w:rsidP="00305D92">
      <w:pPr>
        <w:pStyle w:val="StandaardSV"/>
        <w:ind w:left="708" w:hanging="282"/>
      </w:pPr>
      <w:r>
        <w:t>-</w:t>
      </w:r>
      <w:r>
        <w:tab/>
        <w:t>Het d</w:t>
      </w:r>
      <w:r w:rsidRPr="00C4653D">
        <w:t xml:space="preserve">ecreet </w:t>
      </w:r>
      <w:r>
        <w:t xml:space="preserve">van 13 juli 2001 </w:t>
      </w:r>
      <w:r w:rsidRPr="00C4653D">
        <w:t>houdende het stimuleren van een kwalitatief en integraal lokaal cultuurbeleid</w:t>
      </w:r>
      <w:r>
        <w:t xml:space="preserve"> geeft aan iedere provincie het initiatiefrecht om een streekgericht bibliotheekbeleid te voeren. Het decreet bepaalt verder dat met de VGC een convenant wordt afgesloten over de uitoefening van deze taak. De VGC neemt hier gelijkaardige taken op als deze van de provincies.</w:t>
      </w:r>
    </w:p>
    <w:p w:rsidR="003D0945" w:rsidRDefault="003D0945" w:rsidP="00305D92">
      <w:pPr>
        <w:pStyle w:val="StandaardSV"/>
        <w:ind w:left="708" w:hanging="282"/>
      </w:pPr>
      <w:r>
        <w:t>-</w:t>
      </w:r>
      <w:r>
        <w:tab/>
        <w:t>Het d</w:t>
      </w:r>
      <w:r w:rsidRPr="00C4653D">
        <w:t xml:space="preserve">ecreet </w:t>
      </w:r>
      <w:r>
        <w:t xml:space="preserve">van 2 april 2004 </w:t>
      </w:r>
      <w:r w:rsidRPr="00C4653D">
        <w:t>houdende de subsidiëring van kunstenorganisaties, kunstenaars, organisaties voor kunsteducatie en organisaties voor sociaal-artistieke werking, internationale initiatieven, publicaties en steun</w:t>
      </w:r>
      <w:r>
        <w:t>punten bepaalt dat de provincies voor de theater-gezelschappen, die mede door hen zijn opgericht, een subsidieregeling moeten uitwerken. Het decreet bepaalt een zelfde verplichting voor de VGC. Het decreet geeft ook een gelijke rol aan de provincies en de VGC voor wat betreft de medefinanciering van de zogenaamde instellingen van de Vlaamse Gemeenschap. De VGC neemt hier gelijkaardige taken op als deze van de provincies.</w:t>
      </w:r>
    </w:p>
    <w:p w:rsidR="003D0945" w:rsidRDefault="003D0945" w:rsidP="00305D92">
      <w:pPr>
        <w:pStyle w:val="StandaardSV"/>
        <w:ind w:left="708" w:hanging="282"/>
      </w:pPr>
      <w:r>
        <w:t>-</w:t>
      </w:r>
      <w:r>
        <w:tab/>
        <w:t xml:space="preserve">Het decreet van 14 februari 2003 </w:t>
      </w:r>
      <w:r w:rsidRPr="00A77B78">
        <w:t>houdende de ondersteuning en de stimulering van het gemeentelijk, het intergemeentelijk en het provinciaal jeugd- en jeugdwerkbeleid</w:t>
      </w:r>
      <w:r>
        <w:t xml:space="preserve"> creëert het kader voor het jeugdbeleid van de gemeenten, provincies en de VGC. De basisprincipes lopen gelijk voor alle betrokken overheden. Voor de VGC wordt voornamelijk een koppeling gemaakt met de regeling voor de gemeenten, met specifieke mogelijkheden en verplichtingen voor de VGC om met de Brusselse gemeenteraden samen te werken, en om jeugdraden te erkennen of op te richten. Ondanks de verschillende systematiek kan worden gesteld dat de VGC hier gelijkaardige taken opneemt als deze van de provincies.</w:t>
      </w:r>
    </w:p>
    <w:p w:rsidR="003D0945" w:rsidRDefault="003D0945" w:rsidP="00305D92">
      <w:pPr>
        <w:pStyle w:val="StandaardSV"/>
        <w:ind w:left="708" w:hanging="282"/>
      </w:pPr>
      <w:r>
        <w:t>-</w:t>
      </w:r>
      <w:r>
        <w:tab/>
        <w:t>Het decreet van 9 maart 2007 houdende de subsidiëring van gemeente- en provinciebesturen en de Vlaamse Gemeenschapscommissie voor het voeren van een Sport voor Allen-beleid bevat de regeling omtrent de sportbeleidsplannen. Hierbij wordt een specifieke regeling voor de VGC ingeschreven, dat zoals de andere overheden een eigen sportbeleidsplan kan hebben, waarbij bovendien een aanvullende rol voor de VGC is voorzien in het geval een Brusselse gemeente ge</w:t>
      </w:r>
      <w:bookmarkStart w:id="0" w:name="_GoBack"/>
      <w:bookmarkEnd w:id="0"/>
      <w:r>
        <w:t>en sportbeleidsplan heeft in het kader van dit decreet. De VGC neemt hier dus gelijkaardige taken op als deze van de provincies.</w:t>
      </w:r>
    </w:p>
    <w:p w:rsidR="003D0945" w:rsidRDefault="003D0945" w:rsidP="00305D92">
      <w:pPr>
        <w:pStyle w:val="StandaardSV"/>
        <w:ind w:left="426"/>
      </w:pPr>
    </w:p>
    <w:p w:rsidR="003D0945" w:rsidRPr="003B3F25" w:rsidRDefault="003D0945" w:rsidP="00305D92">
      <w:pPr>
        <w:pStyle w:val="StandaardSV"/>
        <w:ind w:left="426"/>
        <w:rPr>
          <w:i/>
        </w:rPr>
      </w:pPr>
      <w:r w:rsidRPr="003B3F25">
        <w:rPr>
          <w:i/>
        </w:rPr>
        <w:t>In het kader van de persoonsgebonden bevoegdheden</w:t>
      </w:r>
    </w:p>
    <w:p w:rsidR="003D0945" w:rsidRDefault="003D0945" w:rsidP="00305D92">
      <w:pPr>
        <w:pStyle w:val="StandaardSV"/>
        <w:ind w:left="426"/>
      </w:pPr>
    </w:p>
    <w:p w:rsidR="003D0945" w:rsidRDefault="003D0945" w:rsidP="00305D92">
      <w:pPr>
        <w:pStyle w:val="StandaardSV"/>
        <w:ind w:left="708" w:hanging="282"/>
      </w:pPr>
      <w:r>
        <w:t>-</w:t>
      </w:r>
      <w:r>
        <w:tab/>
        <w:t xml:space="preserve">Het besluit van 19 december 1997 </w:t>
      </w:r>
      <w:r w:rsidRPr="0008047C">
        <w:t>tot ondersteuning van regionaal overleg en regionale samenwerking in de welzijnssector</w:t>
      </w:r>
      <w:r>
        <w:t xml:space="preserve"> bepaalt dat de VGC dezelfde rol en taak heeft als de provincies.</w:t>
      </w:r>
    </w:p>
    <w:p w:rsidR="003D0945" w:rsidRDefault="003D0945" w:rsidP="00305D92">
      <w:pPr>
        <w:pStyle w:val="StandaardSV"/>
        <w:ind w:left="708" w:hanging="282"/>
      </w:pPr>
      <w:r>
        <w:t>-</w:t>
      </w:r>
      <w:r>
        <w:tab/>
        <w:t xml:space="preserve">Het decreet van 28 april 1998 </w:t>
      </w:r>
      <w:r w:rsidRPr="0008047C">
        <w:t>betreffende het Vlaamse integratiebeleid</w:t>
      </w:r>
      <w:r>
        <w:t xml:space="preserve"> geeft zowel aan de provincies als aan de VGC een gelijkaardige rol in het integratiebeleid.</w:t>
      </w:r>
    </w:p>
    <w:p w:rsidR="003D0945" w:rsidRDefault="003D0945" w:rsidP="00305D92">
      <w:pPr>
        <w:pStyle w:val="StandaardSV"/>
        <w:ind w:left="426"/>
      </w:pPr>
    </w:p>
    <w:p w:rsidR="003D0945" w:rsidRDefault="003D0945" w:rsidP="00305D92">
      <w:pPr>
        <w:pStyle w:val="StandaardSV"/>
        <w:ind w:left="426"/>
      </w:pPr>
      <w:r w:rsidRPr="003B3F25">
        <w:rPr>
          <w:i/>
        </w:rPr>
        <w:t>In het kader van de onderwijsbevoegdheden</w:t>
      </w:r>
      <w:r>
        <w:t xml:space="preserve"> zijn er geen medebewindstaken aan de provincies toevertrouwd.</w:t>
      </w:r>
    </w:p>
    <w:p w:rsidR="003D0945" w:rsidRDefault="003D0945" w:rsidP="00305D92">
      <w:pPr>
        <w:pStyle w:val="StandaardSV"/>
        <w:ind w:left="426"/>
      </w:pPr>
    </w:p>
    <w:p w:rsidR="003D0945" w:rsidRDefault="003D0945" w:rsidP="00305D92">
      <w:pPr>
        <w:pStyle w:val="StandaardSV"/>
        <w:ind w:left="426"/>
      </w:pPr>
      <w:r>
        <w:t>Concluderend kan dus worden gesteld dat de Vlaamse Gemeenschap ervoor gezorgd heeft dat, wanneer in het kader van de gemeenschapsbevoegdheden medebewindstaken aan de provincies werden toevertrouwd, minimaal een gelijkaardige taak of rol aan de VGC werd toegekend.</w:t>
      </w:r>
    </w:p>
    <w:p w:rsidR="003D0945" w:rsidRDefault="003D0945" w:rsidP="00DF3DD8">
      <w:pPr>
        <w:pStyle w:val="StandaardSV"/>
        <w:ind w:left="426"/>
      </w:pPr>
    </w:p>
    <w:sectPr w:rsidR="003D0945" w:rsidSect="006F7BC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45" w:rsidRDefault="003D0945" w:rsidP="000F3982">
      <w:r>
        <w:separator/>
      </w:r>
    </w:p>
  </w:endnote>
  <w:endnote w:type="continuationSeparator" w:id="0">
    <w:p w:rsidR="003D0945" w:rsidRDefault="003D0945" w:rsidP="000F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45" w:rsidRDefault="003D0945" w:rsidP="000F3982">
      <w:r>
        <w:separator/>
      </w:r>
    </w:p>
  </w:footnote>
  <w:footnote w:type="continuationSeparator" w:id="0">
    <w:p w:rsidR="003D0945" w:rsidRDefault="003D0945" w:rsidP="000F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0950"/>
    <w:multiLevelType w:val="hybridMultilevel"/>
    <w:tmpl w:val="D7C8B9DA"/>
    <w:lvl w:ilvl="0" w:tplc="0232962E">
      <w:start w:val="3"/>
      <w:numFmt w:val="bullet"/>
      <w:lvlText w:val="-"/>
      <w:lvlJc w:val="left"/>
      <w:pPr>
        <w:ind w:left="786" w:hanging="360"/>
      </w:pPr>
      <w:rPr>
        <w:rFonts w:ascii="Times New Roman" w:eastAsia="Times New Roman" w:hAnsi="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CAB0EFE"/>
    <w:multiLevelType w:val="hybridMultilevel"/>
    <w:tmpl w:val="4BAEE8E0"/>
    <w:lvl w:ilvl="0" w:tplc="5B122674">
      <w:start w:val="1"/>
      <w:numFmt w:val="decimal"/>
      <w:lvlText w:val="%1."/>
      <w:lvlJc w:val="left"/>
      <w:pPr>
        <w:ind w:left="720" w:hanging="360"/>
      </w:pPr>
      <w:rPr>
        <w:rFonts w:cs="Times New Roman" w:hint="default"/>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6">
    <w:nsid w:val="70DA3062"/>
    <w:multiLevelType w:val="hybridMultilevel"/>
    <w:tmpl w:val="3B0EEAE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5"/>
  </w:num>
  <w:num w:numId="2">
    <w:abstractNumId w:val="5"/>
  </w:num>
  <w:num w:numId="3">
    <w:abstractNumId w:val="2"/>
  </w:num>
  <w:num w:numId="4">
    <w:abstractNumId w:val="7"/>
  </w:num>
  <w:num w:numId="5">
    <w:abstractNumId w:val="4"/>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8047C"/>
    <w:rsid w:val="000F3982"/>
    <w:rsid w:val="002706D6"/>
    <w:rsid w:val="002B7EC4"/>
    <w:rsid w:val="00305D92"/>
    <w:rsid w:val="003160DD"/>
    <w:rsid w:val="00322010"/>
    <w:rsid w:val="003B3F25"/>
    <w:rsid w:val="003D0945"/>
    <w:rsid w:val="00473C96"/>
    <w:rsid w:val="005D2037"/>
    <w:rsid w:val="00623AE7"/>
    <w:rsid w:val="006856AB"/>
    <w:rsid w:val="006860D5"/>
    <w:rsid w:val="006F0958"/>
    <w:rsid w:val="006F7BC2"/>
    <w:rsid w:val="007F7C38"/>
    <w:rsid w:val="0081012D"/>
    <w:rsid w:val="008D5786"/>
    <w:rsid w:val="008D7005"/>
    <w:rsid w:val="00997D3B"/>
    <w:rsid w:val="00A27062"/>
    <w:rsid w:val="00A31A49"/>
    <w:rsid w:val="00A77B78"/>
    <w:rsid w:val="00A8473D"/>
    <w:rsid w:val="00B31BEA"/>
    <w:rsid w:val="00B53AB1"/>
    <w:rsid w:val="00BA0185"/>
    <w:rsid w:val="00C4653D"/>
    <w:rsid w:val="00CF5CFE"/>
    <w:rsid w:val="00D43C0D"/>
    <w:rsid w:val="00DA442A"/>
    <w:rsid w:val="00DF3DD8"/>
    <w:rsid w:val="00E149DB"/>
    <w:rsid w:val="00E5695D"/>
    <w:rsid w:val="00E93CB5"/>
    <w:rsid w:val="00EE6358"/>
    <w:rsid w:val="00F310B5"/>
    <w:rsid w:val="00F93723"/>
    <w:rsid w:val="00FB6A8B"/>
    <w:rsid w:val="00FD0AB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paragraph" w:styleId="Heading3">
    <w:name w:val="heading 3"/>
    <w:basedOn w:val="Normal"/>
    <w:next w:val="Normal"/>
    <w:link w:val="Heading3Char"/>
    <w:uiPriority w:val="99"/>
    <w:qFormat/>
    <w:rsid w:val="000F398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3982"/>
    <w:rPr>
      <w:rFonts w:cs="Times New Roman"/>
      <w:i/>
      <w:sz w:val="24"/>
      <w:lang w:val="nl-NL" w:eastAsia="nl-NL"/>
    </w:rPr>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06BCE"/>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FootnoteText">
    <w:name w:val="footnote text"/>
    <w:basedOn w:val="Normal"/>
    <w:link w:val="FootnoteTextChar"/>
    <w:uiPriority w:val="99"/>
    <w:rsid w:val="000F3982"/>
    <w:rPr>
      <w:sz w:val="20"/>
    </w:rPr>
  </w:style>
  <w:style w:type="character" w:customStyle="1" w:styleId="FootnoteTextChar">
    <w:name w:val="Footnote Text Char"/>
    <w:basedOn w:val="DefaultParagraphFont"/>
    <w:link w:val="FootnoteText"/>
    <w:uiPriority w:val="99"/>
    <w:locked/>
    <w:rsid w:val="000F3982"/>
    <w:rPr>
      <w:rFonts w:cs="Times New Roman"/>
      <w:lang w:val="nl-NL" w:eastAsia="nl-NL"/>
    </w:rPr>
  </w:style>
  <w:style w:type="character" w:styleId="FootnoteReference">
    <w:name w:val="footnote reference"/>
    <w:basedOn w:val="DefaultParagraphFont"/>
    <w:uiPriority w:val="99"/>
    <w:rsid w:val="000F3982"/>
    <w:rPr>
      <w:rFonts w:cs="Times New Roman"/>
      <w:vertAlign w:val="superscript"/>
    </w:rPr>
  </w:style>
  <w:style w:type="character" w:styleId="Hyperlink">
    <w:name w:val="Hyperlink"/>
    <w:basedOn w:val="DefaultParagraphFont"/>
    <w:uiPriority w:val="99"/>
    <w:rsid w:val="000F3982"/>
    <w:rPr>
      <w:rFonts w:cs="Times New Roman"/>
      <w:color w:val="0000FF"/>
      <w:u w:val="single"/>
    </w:rPr>
  </w:style>
  <w:style w:type="paragraph" w:styleId="ListParagraph">
    <w:name w:val="List Paragraph"/>
    <w:basedOn w:val="Normal"/>
    <w:uiPriority w:val="99"/>
    <w:qFormat/>
    <w:rsid w:val="00DF3DD8"/>
    <w:pPr>
      <w:ind w:left="708"/>
    </w:pPr>
  </w:style>
</w:styles>
</file>

<file path=word/webSettings.xml><?xml version="1.0" encoding="utf-8"?>
<w:webSettings xmlns:r="http://schemas.openxmlformats.org/officeDocument/2006/relationships" xmlns:w="http://schemas.openxmlformats.org/wordprocessingml/2006/main">
  <w:divs>
    <w:div w:id="26176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1376</Words>
  <Characters>7572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Vlaams Parlement</cp:lastModifiedBy>
  <cp:revision>2</cp:revision>
  <cp:lastPrinted>2012-03-09T09:47:00Z</cp:lastPrinted>
  <dcterms:created xsi:type="dcterms:W3CDTF">2012-03-09T09:49:00Z</dcterms:created>
  <dcterms:modified xsi:type="dcterms:W3CDTF">2012-03-09T09:49:00Z</dcterms:modified>
</cp:coreProperties>
</file>