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5A" w:rsidRDefault="0085365A" w:rsidP="00122C1B">
      <w:pPr>
        <w:pStyle w:val="A-NaamMinister"/>
      </w:pPr>
      <w:r>
        <w:rPr>
          <w:szCs w:val="22"/>
        </w:rPr>
        <w:t>j</w:t>
      </w:r>
      <w:r>
        <w:rPr>
          <w:noProof/>
          <w:szCs w:val="22"/>
        </w:rPr>
        <w:t>oke schauvliege</w:t>
      </w:r>
    </w:p>
    <w:p w:rsidR="0085365A" w:rsidRDefault="0085365A" w:rsidP="00122C1B">
      <w:pPr>
        <w:pStyle w:val="A-TitelMinister"/>
        <w:outlineLvl w:val="0"/>
      </w:pPr>
      <w:r>
        <w:t>vlaams minister van leefmilieu, natuur en cultuur</w:t>
      </w:r>
    </w:p>
    <w:p w:rsidR="0085365A" w:rsidRDefault="0085365A">
      <w:pPr>
        <w:rPr>
          <w:szCs w:val="22"/>
        </w:rPr>
      </w:pPr>
    </w:p>
    <w:p w:rsidR="0085365A" w:rsidRDefault="0085365A">
      <w:pPr>
        <w:pStyle w:val="A-Lijn"/>
      </w:pPr>
    </w:p>
    <w:p w:rsidR="0085365A" w:rsidRDefault="0085365A">
      <w:pPr>
        <w:sectPr w:rsidR="0085365A">
          <w:pgSz w:w="11905" w:h="16837"/>
          <w:pgMar w:top="1417" w:right="1417" w:bottom="1417" w:left="1417" w:header="708" w:footer="708" w:gutter="0"/>
          <w:cols w:space="708"/>
          <w:rtlGutter/>
          <w:docGrid w:linePitch="360"/>
        </w:sectPr>
      </w:pPr>
    </w:p>
    <w:p w:rsidR="0085365A" w:rsidRDefault="0085365A" w:rsidP="00122C1B">
      <w:pPr>
        <w:pStyle w:val="A-Type"/>
        <w:outlineLvl w:val="0"/>
        <w:sectPr w:rsidR="0085365A">
          <w:type w:val="continuous"/>
          <w:pgSz w:w="11905" w:h="16837"/>
          <w:pgMar w:top="1417" w:right="1417" w:bottom="1417" w:left="1417" w:header="708" w:footer="708" w:gutter="0"/>
          <w:cols w:space="708"/>
          <w:formProt w:val="0"/>
          <w:docGrid w:linePitch="360"/>
        </w:sectPr>
      </w:pPr>
      <w:bookmarkStart w:id="0" w:name="_GoBack"/>
      <w:bookmarkEnd w:id="0"/>
      <w:r>
        <w:t xml:space="preserve">antwoord </w:t>
      </w:r>
    </w:p>
    <w:p w:rsidR="0085365A" w:rsidRDefault="0085365A">
      <w:pPr>
        <w:pStyle w:val="A-Type"/>
      </w:pPr>
      <w:r>
        <w:rPr>
          <w:b w:val="0"/>
          <w:smallCaps w:val="0"/>
        </w:rPr>
        <w:t>op vraag nr.</w:t>
      </w:r>
      <w:r>
        <w:rPr>
          <w:b w:val="0"/>
        </w:rPr>
        <w:t xml:space="preserve"> </w:t>
      </w:r>
      <w:bookmarkStart w:id="1" w:name="Text3"/>
      <w:r>
        <w:fldChar w:fldCharType="begin">
          <w:ffData>
            <w:name w:val="Text3"/>
            <w:enabled/>
            <w:calcOnExit w:val="0"/>
            <w:statusText w:type="text" w:val="Geef het nummer van de schriftelijke vraag waarop dit een antwoord is..."/>
            <w:textInput/>
          </w:ffData>
        </w:fldChar>
      </w:r>
      <w:r>
        <w:instrText xml:space="preserve"> FORMTEXT </w:instrText>
      </w:r>
      <w:r>
        <w:fldChar w:fldCharType="separate"/>
      </w:r>
      <w:r>
        <w:rPr>
          <w:b w:val="0"/>
          <w:noProof/>
        </w:rPr>
        <w:t>283</w:t>
      </w:r>
      <w:r>
        <w:fldChar w:fldCharType="end"/>
      </w:r>
      <w:bookmarkEnd w:id="1"/>
      <w:r>
        <w:rPr>
          <w:b w:val="0"/>
        </w:rPr>
        <w:t xml:space="preserve"> </w:t>
      </w:r>
      <w:r>
        <w:rPr>
          <w:b w:val="0"/>
          <w:smallCaps w:val="0"/>
        </w:rPr>
        <w:t>van</w:t>
      </w:r>
      <w:r>
        <w:rPr>
          <w:b w:val="0"/>
        </w:rPr>
        <w:t xml:space="preserve"> </w:t>
      </w:r>
      <w:bookmarkStart w:id="2" w:name="Text5"/>
      <w:r>
        <w:fldChar w:fldCharType="begin">
          <w:ffData>
            <w:name w:val="Text5"/>
            <w:enabled/>
            <w:calcOnExit w:val="0"/>
            <w:statusText w:type="text" w:val="Geef de dag waarop de vraag gesteld werd..."/>
            <w:textInput/>
          </w:ffData>
        </w:fldChar>
      </w:r>
      <w:r>
        <w:instrText xml:space="preserve"> FORMTEXT </w:instrText>
      </w:r>
      <w:r>
        <w:fldChar w:fldCharType="separate"/>
      </w:r>
      <w:r>
        <w:rPr>
          <w:b w:val="0"/>
          <w:noProof/>
        </w:rPr>
        <w:t>1</w:t>
      </w:r>
      <w:r>
        <w:fldChar w:fldCharType="end"/>
      </w:r>
      <w:bookmarkEnd w:id="2"/>
      <w:r>
        <w:rPr>
          <w:b w:val="0"/>
        </w:rPr>
        <w:t xml:space="preserve"> </w:t>
      </w:r>
      <w:bookmarkStart w:id="3" w:name="Dropdown2"/>
      <w:r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Pr="00692F44">
        <w:rPr>
          <w:b w:val="0"/>
          <w:smallCaps w:val="0"/>
        </w:rPr>
      </w:r>
      <w:r w:rsidRPr="00692F44">
        <w:rPr>
          <w:b w:val="0"/>
          <w:smallCaps w:val="0"/>
        </w:rPr>
        <w:fldChar w:fldCharType="end"/>
      </w:r>
      <w:bookmarkEnd w:id="3"/>
      <w:r>
        <w:rPr>
          <w:b w:val="0"/>
        </w:rPr>
        <w:t xml:space="preserve"> </w:t>
      </w:r>
      <w:bookmarkStart w:id="4" w:name="Dropdown3"/>
      <w:r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Pr="00692F44">
        <w:rPr>
          <w:b w:val="0"/>
          <w:smallCaps w:val="0"/>
        </w:rPr>
      </w:r>
      <w:r w:rsidRPr="00692F44">
        <w:rPr>
          <w:b w:val="0"/>
          <w:smallCaps w:val="0"/>
        </w:rPr>
        <w:fldChar w:fldCharType="end"/>
      </w:r>
      <w:bookmarkEnd w:id="4"/>
    </w:p>
    <w:p w:rsidR="0085365A" w:rsidRDefault="0085365A">
      <w:pPr>
        <w:rPr>
          <w:szCs w:val="22"/>
        </w:rPr>
      </w:pPr>
      <w:r>
        <w:rPr>
          <w:szCs w:val="22"/>
        </w:rPr>
        <w:t xml:space="preserve">van </w:t>
      </w:r>
      <w:r>
        <w:rPr>
          <w:b/>
          <w:smallCaps/>
        </w:rPr>
        <w:t>bart tommelein</w:t>
      </w:r>
    </w:p>
    <w:p w:rsidR="0085365A" w:rsidRDefault="0085365A">
      <w:pPr>
        <w:rPr>
          <w:szCs w:val="22"/>
        </w:rPr>
      </w:pPr>
    </w:p>
    <w:p w:rsidR="0085365A" w:rsidRDefault="0085365A" w:rsidP="00122C1B">
      <w:pPr>
        <w:pStyle w:val="A-Lijn"/>
        <w:jc w:val="both"/>
      </w:pPr>
    </w:p>
    <w:p w:rsidR="0085365A" w:rsidRDefault="0085365A" w:rsidP="00122C1B">
      <w:pPr>
        <w:pStyle w:val="A-Lijn"/>
        <w:jc w:val="both"/>
      </w:pPr>
    </w:p>
    <w:p w:rsidR="0085365A" w:rsidRDefault="0085365A" w:rsidP="00122C1B">
      <w:pPr>
        <w:jc w:val="both"/>
        <w:sectPr w:rsidR="0085365A">
          <w:type w:val="continuous"/>
          <w:pgSz w:w="11905" w:h="16837"/>
          <w:pgMar w:top="1417" w:right="1417" w:bottom="1417" w:left="1417" w:header="708" w:footer="708" w:gutter="0"/>
          <w:cols w:space="708"/>
          <w:rtlGutter/>
          <w:docGrid w:linePitch="360"/>
        </w:sectPr>
      </w:pPr>
    </w:p>
    <w:p w:rsidR="0085365A" w:rsidRDefault="0085365A" w:rsidP="00E94116">
      <w:pPr>
        <w:numPr>
          <w:ilvl w:val="0"/>
          <w:numId w:val="4"/>
        </w:numPr>
        <w:ind w:left="426" w:hanging="426"/>
        <w:jc w:val="both"/>
        <w:rPr>
          <w:szCs w:val="22"/>
        </w:rPr>
      </w:pPr>
      <w:r>
        <w:rPr>
          <w:szCs w:val="22"/>
        </w:rPr>
        <w:t xml:space="preserve">In 2010 werden 68 en in 2011 74 aanvragen ingediend om een erkenning te bekomen als ‘Belgisch audiovisueel werk’ in het kader van de tax-shelterregeling. Alle producties kregen deze erkenning. </w:t>
      </w:r>
    </w:p>
    <w:p w:rsidR="0085365A" w:rsidRDefault="0085365A" w:rsidP="00E94116">
      <w:pPr>
        <w:ind w:left="426" w:hanging="426"/>
        <w:jc w:val="both"/>
        <w:rPr>
          <w:szCs w:val="22"/>
        </w:rPr>
      </w:pPr>
    </w:p>
    <w:p w:rsidR="0085365A" w:rsidRDefault="0085365A" w:rsidP="00105B34">
      <w:pPr>
        <w:numPr>
          <w:ilvl w:val="0"/>
          <w:numId w:val="4"/>
        </w:numPr>
        <w:ind w:left="426" w:hanging="426"/>
        <w:jc w:val="both"/>
        <w:rPr>
          <w:szCs w:val="22"/>
        </w:rPr>
      </w:pPr>
      <w:r w:rsidRPr="00105B34">
        <w:rPr>
          <w:szCs w:val="22"/>
        </w:rPr>
        <w:t xml:space="preserve">In 2010-2011 ontvingen in totaal 117 producties het attest waarbij wordt bevestigd dat de productie van het werk is voltooid en dat de globale financiering ervan in overeenstemming is met de voorwaarden en grenzen die in de wet worden opgelegd in het kader van de tax-shelterregeling. </w:t>
      </w:r>
    </w:p>
    <w:p w:rsidR="0085365A" w:rsidRDefault="0085365A" w:rsidP="00105B34">
      <w:pPr>
        <w:pStyle w:val="ListParagraph"/>
        <w:rPr>
          <w:szCs w:val="22"/>
        </w:rPr>
      </w:pPr>
    </w:p>
    <w:p w:rsidR="0085365A" w:rsidRDefault="0085365A" w:rsidP="00E94116">
      <w:pPr>
        <w:numPr>
          <w:ilvl w:val="0"/>
          <w:numId w:val="4"/>
        </w:numPr>
        <w:ind w:left="426" w:hanging="426"/>
        <w:jc w:val="both"/>
        <w:rPr>
          <w:szCs w:val="22"/>
        </w:rPr>
      </w:pPr>
      <w:r>
        <w:rPr>
          <w:szCs w:val="22"/>
        </w:rPr>
        <w:t>De investeringen (in euro) in de tot op heden voltooide producties waarvoor de erkenning werd toegekend in 2006 en in 2007 bedragen:</w:t>
      </w:r>
    </w:p>
    <w:p w:rsidR="0085365A" w:rsidRDefault="0085365A" w:rsidP="00D24EE2">
      <w:pPr>
        <w:pStyle w:val="ListParagraph"/>
        <w:rPr>
          <w:szCs w:val="22"/>
        </w:rPr>
      </w:pPr>
    </w:p>
    <w:tbl>
      <w:tblPr>
        <w:tblW w:w="85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559"/>
        <w:gridCol w:w="2126"/>
        <w:gridCol w:w="1560"/>
        <w:gridCol w:w="1275"/>
        <w:gridCol w:w="1241"/>
      </w:tblGrid>
      <w:tr w:rsidR="0085365A" w:rsidTr="008341B0">
        <w:tc>
          <w:tcPr>
            <w:tcW w:w="806" w:type="dxa"/>
          </w:tcPr>
          <w:p w:rsidR="0085365A" w:rsidRPr="008341B0" w:rsidRDefault="0085365A" w:rsidP="008341B0">
            <w:pPr>
              <w:pStyle w:val="ListParagraph"/>
              <w:ind w:left="0"/>
              <w:rPr>
                <w:szCs w:val="22"/>
              </w:rPr>
            </w:pPr>
            <w:r w:rsidRPr="008341B0">
              <w:rPr>
                <w:szCs w:val="22"/>
              </w:rPr>
              <w:t>jaar</w:t>
            </w:r>
          </w:p>
        </w:tc>
        <w:tc>
          <w:tcPr>
            <w:tcW w:w="1559" w:type="dxa"/>
          </w:tcPr>
          <w:p w:rsidR="0085365A" w:rsidRPr="008341B0" w:rsidRDefault="0085365A" w:rsidP="008341B0">
            <w:pPr>
              <w:pStyle w:val="ListParagraph"/>
              <w:ind w:left="0"/>
              <w:rPr>
                <w:szCs w:val="22"/>
              </w:rPr>
            </w:pPr>
            <w:r w:rsidRPr="008341B0">
              <w:rPr>
                <w:szCs w:val="22"/>
              </w:rPr>
              <w:t>Aantal erkende producties</w:t>
            </w:r>
          </w:p>
        </w:tc>
        <w:tc>
          <w:tcPr>
            <w:tcW w:w="2126" w:type="dxa"/>
          </w:tcPr>
          <w:p w:rsidR="0085365A" w:rsidRPr="008341B0" w:rsidRDefault="0085365A" w:rsidP="008341B0">
            <w:pPr>
              <w:pStyle w:val="ListParagraph"/>
              <w:ind w:left="0"/>
              <w:rPr>
                <w:szCs w:val="22"/>
              </w:rPr>
            </w:pPr>
            <w:r w:rsidRPr="008341B0">
              <w:rPr>
                <w:szCs w:val="22"/>
              </w:rPr>
              <w:t xml:space="preserve">Voltooide producties tot heden </w:t>
            </w:r>
          </w:p>
        </w:tc>
        <w:tc>
          <w:tcPr>
            <w:tcW w:w="1560" w:type="dxa"/>
          </w:tcPr>
          <w:p w:rsidR="0085365A" w:rsidRPr="008341B0" w:rsidRDefault="0085365A" w:rsidP="008341B0">
            <w:pPr>
              <w:pStyle w:val="ListParagraph"/>
              <w:ind w:left="0"/>
              <w:rPr>
                <w:szCs w:val="22"/>
              </w:rPr>
            </w:pPr>
            <w:r w:rsidRPr="008341B0">
              <w:rPr>
                <w:szCs w:val="22"/>
              </w:rPr>
              <w:t xml:space="preserve">Risico-investering </w:t>
            </w:r>
          </w:p>
        </w:tc>
        <w:tc>
          <w:tcPr>
            <w:tcW w:w="1275" w:type="dxa"/>
          </w:tcPr>
          <w:p w:rsidR="0085365A" w:rsidRPr="008341B0" w:rsidRDefault="0085365A" w:rsidP="008341B0">
            <w:pPr>
              <w:pStyle w:val="ListParagraph"/>
              <w:ind w:left="0"/>
              <w:rPr>
                <w:szCs w:val="22"/>
              </w:rPr>
            </w:pPr>
            <w:r w:rsidRPr="008341B0">
              <w:rPr>
                <w:szCs w:val="22"/>
              </w:rPr>
              <w:t xml:space="preserve">Lening </w:t>
            </w:r>
          </w:p>
        </w:tc>
        <w:tc>
          <w:tcPr>
            <w:tcW w:w="1241" w:type="dxa"/>
          </w:tcPr>
          <w:p w:rsidR="0085365A" w:rsidRPr="008341B0" w:rsidRDefault="0085365A" w:rsidP="008341B0">
            <w:pPr>
              <w:pStyle w:val="ListParagraph"/>
              <w:ind w:left="0"/>
              <w:rPr>
                <w:szCs w:val="22"/>
              </w:rPr>
            </w:pPr>
            <w:r w:rsidRPr="008341B0">
              <w:rPr>
                <w:szCs w:val="22"/>
              </w:rPr>
              <w:t xml:space="preserve">Totaal  </w:t>
            </w:r>
          </w:p>
        </w:tc>
      </w:tr>
      <w:tr w:rsidR="0085365A" w:rsidTr="008341B0">
        <w:tc>
          <w:tcPr>
            <w:tcW w:w="806" w:type="dxa"/>
          </w:tcPr>
          <w:p w:rsidR="0085365A" w:rsidRPr="008341B0" w:rsidRDefault="0085365A" w:rsidP="008341B0">
            <w:pPr>
              <w:pStyle w:val="ListParagraph"/>
              <w:ind w:left="0"/>
              <w:rPr>
                <w:szCs w:val="22"/>
              </w:rPr>
            </w:pPr>
            <w:r w:rsidRPr="008341B0">
              <w:rPr>
                <w:szCs w:val="22"/>
              </w:rPr>
              <w:t>2006</w:t>
            </w:r>
          </w:p>
        </w:tc>
        <w:tc>
          <w:tcPr>
            <w:tcW w:w="1559" w:type="dxa"/>
          </w:tcPr>
          <w:p w:rsidR="0085365A" w:rsidRPr="008341B0" w:rsidRDefault="0085365A" w:rsidP="008341B0">
            <w:pPr>
              <w:pStyle w:val="ListParagraph"/>
              <w:ind w:left="0"/>
              <w:rPr>
                <w:szCs w:val="22"/>
              </w:rPr>
            </w:pPr>
            <w:r w:rsidRPr="008341B0">
              <w:rPr>
                <w:szCs w:val="22"/>
              </w:rPr>
              <w:t>30</w:t>
            </w:r>
          </w:p>
        </w:tc>
        <w:tc>
          <w:tcPr>
            <w:tcW w:w="2126" w:type="dxa"/>
          </w:tcPr>
          <w:p w:rsidR="0085365A" w:rsidRPr="008341B0" w:rsidRDefault="0085365A" w:rsidP="008341B0">
            <w:pPr>
              <w:pStyle w:val="ListParagraph"/>
              <w:ind w:left="0"/>
              <w:rPr>
                <w:szCs w:val="22"/>
              </w:rPr>
            </w:pPr>
            <w:r w:rsidRPr="008341B0">
              <w:rPr>
                <w:szCs w:val="22"/>
              </w:rPr>
              <w:t>19</w:t>
            </w:r>
          </w:p>
        </w:tc>
        <w:tc>
          <w:tcPr>
            <w:tcW w:w="1560" w:type="dxa"/>
          </w:tcPr>
          <w:p w:rsidR="0085365A" w:rsidRPr="008341B0" w:rsidRDefault="0085365A" w:rsidP="008341B0">
            <w:pPr>
              <w:pStyle w:val="ListParagraph"/>
              <w:ind w:left="0"/>
              <w:jc w:val="right"/>
              <w:rPr>
                <w:szCs w:val="22"/>
              </w:rPr>
            </w:pPr>
            <w:r w:rsidRPr="008341B0">
              <w:rPr>
                <w:szCs w:val="22"/>
              </w:rPr>
              <w:t>14.124.309</w:t>
            </w:r>
          </w:p>
        </w:tc>
        <w:tc>
          <w:tcPr>
            <w:tcW w:w="1275" w:type="dxa"/>
          </w:tcPr>
          <w:p w:rsidR="0085365A" w:rsidRPr="008341B0" w:rsidRDefault="0085365A" w:rsidP="008341B0">
            <w:pPr>
              <w:pStyle w:val="ListParagraph"/>
              <w:ind w:left="0"/>
              <w:jc w:val="right"/>
              <w:rPr>
                <w:szCs w:val="22"/>
              </w:rPr>
            </w:pPr>
            <w:r w:rsidRPr="008341B0">
              <w:rPr>
                <w:szCs w:val="22"/>
              </w:rPr>
              <w:t>9.416.205</w:t>
            </w:r>
          </w:p>
        </w:tc>
        <w:tc>
          <w:tcPr>
            <w:tcW w:w="1241" w:type="dxa"/>
          </w:tcPr>
          <w:p w:rsidR="0085365A" w:rsidRPr="008341B0" w:rsidRDefault="0085365A" w:rsidP="008341B0">
            <w:pPr>
              <w:pStyle w:val="ListParagraph"/>
              <w:ind w:left="0"/>
              <w:jc w:val="right"/>
              <w:rPr>
                <w:szCs w:val="22"/>
              </w:rPr>
            </w:pPr>
            <w:r w:rsidRPr="008341B0">
              <w:rPr>
                <w:szCs w:val="22"/>
              </w:rPr>
              <w:t>23.540.514</w:t>
            </w:r>
          </w:p>
        </w:tc>
      </w:tr>
      <w:tr w:rsidR="0085365A" w:rsidTr="008341B0">
        <w:tc>
          <w:tcPr>
            <w:tcW w:w="806" w:type="dxa"/>
          </w:tcPr>
          <w:p w:rsidR="0085365A" w:rsidRPr="008341B0" w:rsidRDefault="0085365A" w:rsidP="008341B0">
            <w:pPr>
              <w:pStyle w:val="ListParagraph"/>
              <w:ind w:left="0"/>
              <w:rPr>
                <w:szCs w:val="22"/>
              </w:rPr>
            </w:pPr>
            <w:r w:rsidRPr="008341B0">
              <w:rPr>
                <w:szCs w:val="22"/>
              </w:rPr>
              <w:t>2007</w:t>
            </w:r>
          </w:p>
        </w:tc>
        <w:tc>
          <w:tcPr>
            <w:tcW w:w="1559" w:type="dxa"/>
          </w:tcPr>
          <w:p w:rsidR="0085365A" w:rsidRPr="008341B0" w:rsidRDefault="0085365A" w:rsidP="008341B0">
            <w:pPr>
              <w:pStyle w:val="ListParagraph"/>
              <w:ind w:left="0"/>
              <w:rPr>
                <w:szCs w:val="22"/>
              </w:rPr>
            </w:pPr>
            <w:r w:rsidRPr="008341B0">
              <w:rPr>
                <w:szCs w:val="22"/>
              </w:rPr>
              <w:t>38</w:t>
            </w:r>
          </w:p>
        </w:tc>
        <w:tc>
          <w:tcPr>
            <w:tcW w:w="2126" w:type="dxa"/>
          </w:tcPr>
          <w:p w:rsidR="0085365A" w:rsidRPr="008341B0" w:rsidRDefault="0085365A" w:rsidP="008341B0">
            <w:pPr>
              <w:pStyle w:val="ListParagraph"/>
              <w:ind w:left="0"/>
              <w:rPr>
                <w:szCs w:val="22"/>
              </w:rPr>
            </w:pPr>
            <w:r w:rsidRPr="008341B0">
              <w:rPr>
                <w:szCs w:val="22"/>
              </w:rPr>
              <w:t>25</w:t>
            </w:r>
          </w:p>
        </w:tc>
        <w:tc>
          <w:tcPr>
            <w:tcW w:w="1560" w:type="dxa"/>
          </w:tcPr>
          <w:p w:rsidR="0085365A" w:rsidRPr="008341B0" w:rsidRDefault="0085365A" w:rsidP="008341B0">
            <w:pPr>
              <w:pStyle w:val="ListParagraph"/>
              <w:ind w:left="0"/>
              <w:jc w:val="right"/>
              <w:rPr>
                <w:szCs w:val="22"/>
              </w:rPr>
            </w:pPr>
            <w:r w:rsidRPr="008341B0">
              <w:rPr>
                <w:szCs w:val="22"/>
              </w:rPr>
              <w:t>19.459.411</w:t>
            </w:r>
          </w:p>
        </w:tc>
        <w:tc>
          <w:tcPr>
            <w:tcW w:w="1275" w:type="dxa"/>
          </w:tcPr>
          <w:p w:rsidR="0085365A" w:rsidRPr="008341B0" w:rsidRDefault="0085365A" w:rsidP="008341B0">
            <w:pPr>
              <w:pStyle w:val="ListParagraph"/>
              <w:ind w:left="0"/>
              <w:jc w:val="right"/>
              <w:rPr>
                <w:szCs w:val="22"/>
              </w:rPr>
            </w:pPr>
            <w:r w:rsidRPr="008341B0">
              <w:rPr>
                <w:szCs w:val="22"/>
              </w:rPr>
              <w:t>12.367.744</w:t>
            </w:r>
          </w:p>
        </w:tc>
        <w:tc>
          <w:tcPr>
            <w:tcW w:w="1241" w:type="dxa"/>
          </w:tcPr>
          <w:p w:rsidR="0085365A" w:rsidRPr="008341B0" w:rsidRDefault="0085365A" w:rsidP="008341B0">
            <w:pPr>
              <w:pStyle w:val="ListParagraph"/>
              <w:ind w:left="0"/>
              <w:jc w:val="right"/>
              <w:rPr>
                <w:szCs w:val="22"/>
              </w:rPr>
            </w:pPr>
            <w:r w:rsidRPr="008341B0">
              <w:rPr>
                <w:szCs w:val="22"/>
              </w:rPr>
              <w:t>31.896.155</w:t>
            </w:r>
          </w:p>
        </w:tc>
      </w:tr>
    </w:tbl>
    <w:p w:rsidR="0085365A" w:rsidRDefault="0085365A" w:rsidP="00D24EE2">
      <w:pPr>
        <w:pStyle w:val="ListParagraph"/>
        <w:rPr>
          <w:szCs w:val="22"/>
        </w:rPr>
      </w:pPr>
    </w:p>
    <w:p w:rsidR="0085365A" w:rsidRDefault="0085365A" w:rsidP="00E94116">
      <w:pPr>
        <w:numPr>
          <w:ilvl w:val="0"/>
          <w:numId w:val="4"/>
        </w:numPr>
        <w:ind w:left="426" w:hanging="426"/>
        <w:jc w:val="both"/>
        <w:rPr>
          <w:szCs w:val="22"/>
        </w:rPr>
      </w:pPr>
      <w:r>
        <w:rPr>
          <w:szCs w:val="22"/>
        </w:rPr>
        <w:t>De voorlopig gekende effectieve investeringen van 2008 tot 2011 (in euro) bedragen:</w:t>
      </w:r>
    </w:p>
    <w:p w:rsidR="0085365A" w:rsidRDefault="0085365A" w:rsidP="00D24EE2">
      <w:pPr>
        <w:jc w:val="both"/>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1559"/>
        <w:gridCol w:w="2084"/>
        <w:gridCol w:w="1602"/>
        <w:gridCol w:w="1275"/>
        <w:gridCol w:w="1241"/>
      </w:tblGrid>
      <w:tr w:rsidR="0085365A" w:rsidTr="008341B0">
        <w:tc>
          <w:tcPr>
            <w:tcW w:w="806" w:type="dxa"/>
          </w:tcPr>
          <w:p w:rsidR="0085365A" w:rsidRPr="008341B0" w:rsidRDefault="0085365A" w:rsidP="008341B0">
            <w:pPr>
              <w:jc w:val="both"/>
              <w:rPr>
                <w:szCs w:val="22"/>
              </w:rPr>
            </w:pPr>
            <w:r w:rsidRPr="008341B0">
              <w:rPr>
                <w:szCs w:val="22"/>
              </w:rPr>
              <w:t xml:space="preserve">Jaar </w:t>
            </w:r>
          </w:p>
        </w:tc>
        <w:tc>
          <w:tcPr>
            <w:tcW w:w="1559" w:type="dxa"/>
          </w:tcPr>
          <w:p w:rsidR="0085365A" w:rsidRPr="008341B0" w:rsidRDefault="0085365A" w:rsidP="008341B0">
            <w:pPr>
              <w:jc w:val="both"/>
              <w:rPr>
                <w:szCs w:val="22"/>
              </w:rPr>
            </w:pPr>
            <w:r w:rsidRPr="008341B0">
              <w:rPr>
                <w:szCs w:val="22"/>
              </w:rPr>
              <w:t>Aantal erkende producties</w:t>
            </w:r>
          </w:p>
        </w:tc>
        <w:tc>
          <w:tcPr>
            <w:tcW w:w="2084" w:type="dxa"/>
          </w:tcPr>
          <w:p w:rsidR="0085365A" w:rsidRPr="008341B0" w:rsidRDefault="0085365A" w:rsidP="008341B0">
            <w:pPr>
              <w:jc w:val="both"/>
              <w:rPr>
                <w:szCs w:val="22"/>
              </w:rPr>
            </w:pPr>
            <w:r w:rsidRPr="008341B0">
              <w:rPr>
                <w:szCs w:val="22"/>
              </w:rPr>
              <w:t>Voltooide producties tot heden</w:t>
            </w:r>
          </w:p>
        </w:tc>
        <w:tc>
          <w:tcPr>
            <w:tcW w:w="1602" w:type="dxa"/>
          </w:tcPr>
          <w:p w:rsidR="0085365A" w:rsidRPr="008341B0" w:rsidRDefault="0085365A" w:rsidP="008341B0">
            <w:pPr>
              <w:jc w:val="both"/>
              <w:rPr>
                <w:szCs w:val="22"/>
              </w:rPr>
            </w:pPr>
            <w:r w:rsidRPr="008341B0">
              <w:rPr>
                <w:szCs w:val="22"/>
              </w:rPr>
              <w:t xml:space="preserve">Risico-investering </w:t>
            </w:r>
          </w:p>
        </w:tc>
        <w:tc>
          <w:tcPr>
            <w:tcW w:w="1275" w:type="dxa"/>
          </w:tcPr>
          <w:p w:rsidR="0085365A" w:rsidRPr="008341B0" w:rsidRDefault="0085365A" w:rsidP="008341B0">
            <w:pPr>
              <w:jc w:val="both"/>
              <w:rPr>
                <w:szCs w:val="22"/>
              </w:rPr>
            </w:pPr>
            <w:r w:rsidRPr="008341B0">
              <w:rPr>
                <w:szCs w:val="22"/>
              </w:rPr>
              <w:t xml:space="preserve">Lening </w:t>
            </w:r>
          </w:p>
        </w:tc>
        <w:tc>
          <w:tcPr>
            <w:tcW w:w="1241" w:type="dxa"/>
          </w:tcPr>
          <w:p w:rsidR="0085365A" w:rsidRPr="008341B0" w:rsidRDefault="0085365A" w:rsidP="008341B0">
            <w:pPr>
              <w:jc w:val="both"/>
              <w:rPr>
                <w:szCs w:val="22"/>
              </w:rPr>
            </w:pPr>
            <w:r w:rsidRPr="008341B0">
              <w:rPr>
                <w:szCs w:val="22"/>
              </w:rPr>
              <w:t xml:space="preserve">Totaal </w:t>
            </w:r>
          </w:p>
        </w:tc>
      </w:tr>
      <w:tr w:rsidR="0085365A" w:rsidTr="008341B0">
        <w:tc>
          <w:tcPr>
            <w:tcW w:w="806" w:type="dxa"/>
          </w:tcPr>
          <w:p w:rsidR="0085365A" w:rsidRPr="008341B0" w:rsidRDefault="0085365A" w:rsidP="008341B0">
            <w:pPr>
              <w:jc w:val="both"/>
              <w:rPr>
                <w:szCs w:val="22"/>
              </w:rPr>
            </w:pPr>
            <w:r w:rsidRPr="008341B0">
              <w:rPr>
                <w:szCs w:val="22"/>
              </w:rPr>
              <w:t>2008</w:t>
            </w:r>
          </w:p>
        </w:tc>
        <w:tc>
          <w:tcPr>
            <w:tcW w:w="1559" w:type="dxa"/>
          </w:tcPr>
          <w:p w:rsidR="0085365A" w:rsidRPr="008341B0" w:rsidRDefault="0085365A" w:rsidP="008341B0">
            <w:pPr>
              <w:jc w:val="both"/>
              <w:rPr>
                <w:szCs w:val="22"/>
              </w:rPr>
            </w:pPr>
            <w:r w:rsidRPr="008341B0">
              <w:rPr>
                <w:szCs w:val="22"/>
              </w:rPr>
              <w:t>57</w:t>
            </w:r>
          </w:p>
        </w:tc>
        <w:tc>
          <w:tcPr>
            <w:tcW w:w="2084" w:type="dxa"/>
          </w:tcPr>
          <w:p w:rsidR="0085365A" w:rsidRPr="008341B0" w:rsidRDefault="0085365A" w:rsidP="008341B0">
            <w:pPr>
              <w:jc w:val="both"/>
              <w:rPr>
                <w:szCs w:val="22"/>
              </w:rPr>
            </w:pPr>
            <w:r w:rsidRPr="008341B0">
              <w:rPr>
                <w:szCs w:val="22"/>
              </w:rPr>
              <w:t>33</w:t>
            </w:r>
          </w:p>
        </w:tc>
        <w:tc>
          <w:tcPr>
            <w:tcW w:w="1602" w:type="dxa"/>
          </w:tcPr>
          <w:p w:rsidR="0085365A" w:rsidRPr="008341B0" w:rsidRDefault="0085365A" w:rsidP="008341B0">
            <w:pPr>
              <w:jc w:val="right"/>
              <w:rPr>
                <w:szCs w:val="22"/>
              </w:rPr>
            </w:pPr>
            <w:r w:rsidRPr="008341B0">
              <w:rPr>
                <w:szCs w:val="22"/>
              </w:rPr>
              <w:t>14.836.200</w:t>
            </w:r>
          </w:p>
        </w:tc>
        <w:tc>
          <w:tcPr>
            <w:tcW w:w="1275" w:type="dxa"/>
          </w:tcPr>
          <w:p w:rsidR="0085365A" w:rsidRPr="008341B0" w:rsidRDefault="0085365A" w:rsidP="008341B0">
            <w:pPr>
              <w:jc w:val="right"/>
              <w:rPr>
                <w:szCs w:val="22"/>
              </w:rPr>
            </w:pPr>
            <w:r w:rsidRPr="008341B0">
              <w:rPr>
                <w:szCs w:val="22"/>
              </w:rPr>
              <w:t>9.890.800</w:t>
            </w:r>
          </w:p>
        </w:tc>
        <w:tc>
          <w:tcPr>
            <w:tcW w:w="1241" w:type="dxa"/>
          </w:tcPr>
          <w:p w:rsidR="0085365A" w:rsidRPr="008341B0" w:rsidRDefault="0085365A" w:rsidP="008341B0">
            <w:pPr>
              <w:jc w:val="right"/>
              <w:rPr>
                <w:szCs w:val="22"/>
              </w:rPr>
            </w:pPr>
            <w:r w:rsidRPr="008341B0">
              <w:rPr>
                <w:szCs w:val="22"/>
              </w:rPr>
              <w:t>24.727.000</w:t>
            </w:r>
          </w:p>
        </w:tc>
      </w:tr>
      <w:tr w:rsidR="0085365A" w:rsidTr="008341B0">
        <w:tc>
          <w:tcPr>
            <w:tcW w:w="806" w:type="dxa"/>
          </w:tcPr>
          <w:p w:rsidR="0085365A" w:rsidRPr="008341B0" w:rsidRDefault="0085365A" w:rsidP="008341B0">
            <w:pPr>
              <w:jc w:val="both"/>
              <w:rPr>
                <w:szCs w:val="22"/>
              </w:rPr>
            </w:pPr>
            <w:r w:rsidRPr="008341B0">
              <w:rPr>
                <w:szCs w:val="22"/>
              </w:rPr>
              <w:t>2009</w:t>
            </w:r>
          </w:p>
        </w:tc>
        <w:tc>
          <w:tcPr>
            <w:tcW w:w="1559" w:type="dxa"/>
          </w:tcPr>
          <w:p w:rsidR="0085365A" w:rsidRPr="008341B0" w:rsidRDefault="0085365A" w:rsidP="008341B0">
            <w:pPr>
              <w:jc w:val="both"/>
              <w:rPr>
                <w:szCs w:val="22"/>
              </w:rPr>
            </w:pPr>
            <w:r w:rsidRPr="008341B0">
              <w:rPr>
                <w:szCs w:val="22"/>
              </w:rPr>
              <w:t>55</w:t>
            </w:r>
          </w:p>
        </w:tc>
        <w:tc>
          <w:tcPr>
            <w:tcW w:w="2084" w:type="dxa"/>
          </w:tcPr>
          <w:p w:rsidR="0085365A" w:rsidRPr="008341B0" w:rsidRDefault="0085365A" w:rsidP="008341B0">
            <w:pPr>
              <w:jc w:val="both"/>
              <w:rPr>
                <w:szCs w:val="22"/>
              </w:rPr>
            </w:pPr>
            <w:r w:rsidRPr="008341B0">
              <w:rPr>
                <w:szCs w:val="22"/>
              </w:rPr>
              <w:t>29</w:t>
            </w:r>
          </w:p>
        </w:tc>
        <w:tc>
          <w:tcPr>
            <w:tcW w:w="1602" w:type="dxa"/>
          </w:tcPr>
          <w:p w:rsidR="0085365A" w:rsidRPr="008341B0" w:rsidRDefault="0085365A" w:rsidP="008341B0">
            <w:pPr>
              <w:jc w:val="right"/>
              <w:rPr>
                <w:szCs w:val="22"/>
              </w:rPr>
            </w:pPr>
            <w:r w:rsidRPr="008341B0">
              <w:rPr>
                <w:szCs w:val="22"/>
              </w:rPr>
              <w:t>21.216.480</w:t>
            </w:r>
          </w:p>
        </w:tc>
        <w:tc>
          <w:tcPr>
            <w:tcW w:w="1275" w:type="dxa"/>
          </w:tcPr>
          <w:p w:rsidR="0085365A" w:rsidRPr="008341B0" w:rsidRDefault="0085365A" w:rsidP="008341B0">
            <w:pPr>
              <w:jc w:val="right"/>
              <w:rPr>
                <w:szCs w:val="22"/>
              </w:rPr>
            </w:pPr>
            <w:r w:rsidRPr="008341B0">
              <w:rPr>
                <w:szCs w:val="22"/>
              </w:rPr>
              <w:t>13.857.800</w:t>
            </w:r>
          </w:p>
        </w:tc>
        <w:tc>
          <w:tcPr>
            <w:tcW w:w="1241" w:type="dxa"/>
          </w:tcPr>
          <w:p w:rsidR="0085365A" w:rsidRPr="008341B0" w:rsidRDefault="0085365A" w:rsidP="008341B0">
            <w:pPr>
              <w:jc w:val="right"/>
              <w:rPr>
                <w:szCs w:val="22"/>
              </w:rPr>
            </w:pPr>
            <w:r w:rsidRPr="008341B0">
              <w:rPr>
                <w:szCs w:val="22"/>
              </w:rPr>
              <w:t>35.074.280</w:t>
            </w:r>
          </w:p>
        </w:tc>
      </w:tr>
      <w:tr w:rsidR="0085365A" w:rsidTr="008341B0">
        <w:tc>
          <w:tcPr>
            <w:tcW w:w="806" w:type="dxa"/>
          </w:tcPr>
          <w:p w:rsidR="0085365A" w:rsidRPr="008341B0" w:rsidRDefault="0085365A" w:rsidP="008341B0">
            <w:pPr>
              <w:jc w:val="both"/>
              <w:rPr>
                <w:szCs w:val="22"/>
              </w:rPr>
            </w:pPr>
            <w:r w:rsidRPr="008341B0">
              <w:rPr>
                <w:szCs w:val="22"/>
              </w:rPr>
              <w:t>2010</w:t>
            </w:r>
          </w:p>
        </w:tc>
        <w:tc>
          <w:tcPr>
            <w:tcW w:w="1559" w:type="dxa"/>
          </w:tcPr>
          <w:p w:rsidR="0085365A" w:rsidRPr="008341B0" w:rsidRDefault="0085365A" w:rsidP="008341B0">
            <w:pPr>
              <w:jc w:val="both"/>
              <w:rPr>
                <w:szCs w:val="22"/>
              </w:rPr>
            </w:pPr>
            <w:r w:rsidRPr="008341B0">
              <w:rPr>
                <w:szCs w:val="22"/>
              </w:rPr>
              <w:t>68</w:t>
            </w:r>
          </w:p>
        </w:tc>
        <w:tc>
          <w:tcPr>
            <w:tcW w:w="2084" w:type="dxa"/>
          </w:tcPr>
          <w:p w:rsidR="0085365A" w:rsidRPr="008341B0" w:rsidRDefault="0085365A" w:rsidP="008341B0">
            <w:pPr>
              <w:jc w:val="both"/>
              <w:rPr>
                <w:szCs w:val="22"/>
              </w:rPr>
            </w:pPr>
            <w:r w:rsidRPr="008341B0">
              <w:rPr>
                <w:szCs w:val="22"/>
              </w:rPr>
              <w:t>16</w:t>
            </w:r>
          </w:p>
        </w:tc>
        <w:tc>
          <w:tcPr>
            <w:tcW w:w="1602" w:type="dxa"/>
          </w:tcPr>
          <w:p w:rsidR="0085365A" w:rsidRPr="008341B0" w:rsidRDefault="0085365A" w:rsidP="008341B0">
            <w:pPr>
              <w:jc w:val="right"/>
              <w:rPr>
                <w:szCs w:val="22"/>
              </w:rPr>
            </w:pPr>
            <w:r w:rsidRPr="008341B0">
              <w:rPr>
                <w:szCs w:val="22"/>
              </w:rPr>
              <w:t>4.191.900</w:t>
            </w:r>
          </w:p>
        </w:tc>
        <w:tc>
          <w:tcPr>
            <w:tcW w:w="1275" w:type="dxa"/>
          </w:tcPr>
          <w:p w:rsidR="0085365A" w:rsidRPr="008341B0" w:rsidRDefault="0085365A" w:rsidP="008341B0">
            <w:pPr>
              <w:jc w:val="right"/>
              <w:rPr>
                <w:szCs w:val="22"/>
              </w:rPr>
            </w:pPr>
            <w:r w:rsidRPr="008341B0">
              <w:rPr>
                <w:szCs w:val="22"/>
              </w:rPr>
              <w:t>2.794.600</w:t>
            </w:r>
          </w:p>
        </w:tc>
        <w:tc>
          <w:tcPr>
            <w:tcW w:w="1241" w:type="dxa"/>
          </w:tcPr>
          <w:p w:rsidR="0085365A" w:rsidRPr="008341B0" w:rsidRDefault="0085365A" w:rsidP="008341B0">
            <w:pPr>
              <w:jc w:val="right"/>
              <w:rPr>
                <w:szCs w:val="22"/>
              </w:rPr>
            </w:pPr>
            <w:r w:rsidRPr="008341B0">
              <w:rPr>
                <w:szCs w:val="22"/>
              </w:rPr>
              <w:t>6.986.500</w:t>
            </w:r>
          </w:p>
        </w:tc>
      </w:tr>
      <w:tr w:rsidR="0085365A" w:rsidTr="008341B0">
        <w:tc>
          <w:tcPr>
            <w:tcW w:w="806" w:type="dxa"/>
          </w:tcPr>
          <w:p w:rsidR="0085365A" w:rsidRPr="008341B0" w:rsidRDefault="0085365A" w:rsidP="008341B0">
            <w:pPr>
              <w:jc w:val="both"/>
              <w:rPr>
                <w:szCs w:val="22"/>
              </w:rPr>
            </w:pPr>
            <w:r w:rsidRPr="008341B0">
              <w:rPr>
                <w:szCs w:val="22"/>
              </w:rPr>
              <w:t>2011</w:t>
            </w:r>
          </w:p>
        </w:tc>
        <w:tc>
          <w:tcPr>
            <w:tcW w:w="1559" w:type="dxa"/>
          </w:tcPr>
          <w:p w:rsidR="0085365A" w:rsidRPr="008341B0" w:rsidRDefault="0085365A" w:rsidP="008341B0">
            <w:pPr>
              <w:jc w:val="both"/>
              <w:rPr>
                <w:szCs w:val="22"/>
              </w:rPr>
            </w:pPr>
            <w:r w:rsidRPr="008341B0">
              <w:rPr>
                <w:szCs w:val="22"/>
              </w:rPr>
              <w:t>73</w:t>
            </w:r>
          </w:p>
        </w:tc>
        <w:tc>
          <w:tcPr>
            <w:tcW w:w="2084" w:type="dxa"/>
          </w:tcPr>
          <w:p w:rsidR="0085365A" w:rsidRPr="008341B0" w:rsidRDefault="0085365A" w:rsidP="008341B0">
            <w:pPr>
              <w:jc w:val="both"/>
              <w:rPr>
                <w:szCs w:val="22"/>
              </w:rPr>
            </w:pPr>
            <w:r w:rsidRPr="008341B0">
              <w:rPr>
                <w:szCs w:val="22"/>
              </w:rPr>
              <w:t>2</w:t>
            </w:r>
          </w:p>
        </w:tc>
        <w:tc>
          <w:tcPr>
            <w:tcW w:w="1602" w:type="dxa"/>
          </w:tcPr>
          <w:p w:rsidR="0085365A" w:rsidRPr="008341B0" w:rsidRDefault="0085365A" w:rsidP="008341B0">
            <w:pPr>
              <w:jc w:val="right"/>
              <w:rPr>
                <w:szCs w:val="22"/>
              </w:rPr>
            </w:pPr>
            <w:r w:rsidRPr="008341B0">
              <w:rPr>
                <w:szCs w:val="22"/>
              </w:rPr>
              <w:t>318.000</w:t>
            </w:r>
          </w:p>
        </w:tc>
        <w:tc>
          <w:tcPr>
            <w:tcW w:w="1275" w:type="dxa"/>
          </w:tcPr>
          <w:p w:rsidR="0085365A" w:rsidRPr="008341B0" w:rsidRDefault="0085365A" w:rsidP="008341B0">
            <w:pPr>
              <w:jc w:val="right"/>
              <w:rPr>
                <w:szCs w:val="22"/>
              </w:rPr>
            </w:pPr>
            <w:r w:rsidRPr="008341B0">
              <w:rPr>
                <w:szCs w:val="22"/>
              </w:rPr>
              <w:t>212.000</w:t>
            </w:r>
          </w:p>
        </w:tc>
        <w:tc>
          <w:tcPr>
            <w:tcW w:w="1241" w:type="dxa"/>
          </w:tcPr>
          <w:p w:rsidR="0085365A" w:rsidRPr="008341B0" w:rsidRDefault="0085365A" w:rsidP="008341B0">
            <w:pPr>
              <w:jc w:val="right"/>
              <w:rPr>
                <w:szCs w:val="22"/>
              </w:rPr>
            </w:pPr>
            <w:r w:rsidRPr="008341B0">
              <w:rPr>
                <w:szCs w:val="22"/>
              </w:rPr>
              <w:t>530.000</w:t>
            </w:r>
          </w:p>
        </w:tc>
      </w:tr>
    </w:tbl>
    <w:p w:rsidR="0085365A" w:rsidRDefault="0085365A" w:rsidP="00614520">
      <w:pPr>
        <w:ind w:left="720"/>
        <w:jc w:val="both"/>
        <w:rPr>
          <w:szCs w:val="22"/>
        </w:rPr>
      </w:pPr>
    </w:p>
    <w:p w:rsidR="0085365A" w:rsidRDefault="0085365A" w:rsidP="00E94116">
      <w:pPr>
        <w:ind w:left="426"/>
        <w:jc w:val="both"/>
        <w:rPr>
          <w:szCs w:val="22"/>
        </w:rPr>
      </w:pPr>
      <w:r>
        <w:rPr>
          <w:szCs w:val="22"/>
        </w:rPr>
        <w:t xml:space="preserve">Het gaat in deze tabellen uitsluitend om de effectief gerealiseerde investeringen in de </w:t>
      </w:r>
      <w:r w:rsidRPr="009163B4">
        <w:rPr>
          <w:i/>
          <w:szCs w:val="22"/>
        </w:rPr>
        <w:t xml:space="preserve">op dit ogenblik </w:t>
      </w:r>
      <w:r>
        <w:rPr>
          <w:szCs w:val="22"/>
        </w:rPr>
        <w:t xml:space="preserve">voltooide audiovisuele producties, die het attest bij voltooiing hebben ontvangen. </w:t>
      </w:r>
    </w:p>
    <w:p w:rsidR="0085365A" w:rsidRDefault="0085365A" w:rsidP="00E94116">
      <w:pPr>
        <w:ind w:left="426"/>
        <w:jc w:val="both"/>
        <w:rPr>
          <w:szCs w:val="22"/>
        </w:rPr>
      </w:pPr>
      <w:r>
        <w:rPr>
          <w:szCs w:val="22"/>
        </w:rPr>
        <w:t xml:space="preserve">Vermits de raamovereenkomsten tussen producent en investeerder worden gesloten </w:t>
      </w:r>
      <w:r w:rsidRPr="00105B34">
        <w:rPr>
          <w:szCs w:val="22"/>
        </w:rPr>
        <w:t>nadat</w:t>
      </w:r>
      <w:r>
        <w:rPr>
          <w:szCs w:val="22"/>
        </w:rPr>
        <w:t xml:space="preserve"> het werk is erkend als in aanmerking komend voor de tax-shelter en het conformiteitattest bij de voltooiing van het werk pas uiterlijk binnen de vier jaar na het sluiten van de raamovereenkomst moet worden afgeleverd, spreekt het vanzelf dat de bovenstaande cijfers onvolledig zijn en</w:t>
      </w:r>
      <w:r w:rsidRPr="00CC11F6">
        <w:rPr>
          <w:szCs w:val="22"/>
        </w:rPr>
        <w:t xml:space="preserve"> zullen toenemen naarmate het aantal </w:t>
      </w:r>
      <w:r>
        <w:rPr>
          <w:szCs w:val="22"/>
        </w:rPr>
        <w:t xml:space="preserve">gerealiseerde </w:t>
      </w:r>
      <w:r w:rsidRPr="00CC11F6">
        <w:rPr>
          <w:szCs w:val="22"/>
        </w:rPr>
        <w:t xml:space="preserve">erkende producties die </w:t>
      </w:r>
      <w:r>
        <w:rPr>
          <w:szCs w:val="22"/>
        </w:rPr>
        <w:t xml:space="preserve">het attest bij voltooiing heeft ontvangen, </w:t>
      </w:r>
      <w:r w:rsidRPr="00CC11F6">
        <w:rPr>
          <w:szCs w:val="22"/>
        </w:rPr>
        <w:t>toeneemt</w:t>
      </w:r>
      <w:r>
        <w:rPr>
          <w:szCs w:val="22"/>
        </w:rPr>
        <w:t xml:space="preserve">.  </w:t>
      </w:r>
    </w:p>
    <w:sectPr w:rsidR="0085365A" w:rsidSect="00122C1B">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A6260A2"/>
    <w:lvl w:ilvl="0">
      <w:start w:val="1"/>
      <w:numFmt w:val="decimal"/>
      <w:lvlText w:val="%1."/>
      <w:lvlJc w:val="left"/>
      <w:pPr>
        <w:tabs>
          <w:tab w:val="num" w:pos="357"/>
        </w:tabs>
        <w:ind w:left="357" w:hanging="357"/>
      </w:pPr>
      <w:rPr>
        <w:rFonts w:cs="Times New Roman" w:hint="default"/>
      </w:rPr>
    </w:lvl>
  </w:abstractNum>
  <w:abstractNum w:abstractNumId="1">
    <w:nsid w:val="0A2550E6"/>
    <w:multiLevelType w:val="hybridMultilevel"/>
    <w:tmpl w:val="DCC4E41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6C7C3257"/>
    <w:multiLevelType w:val="hybridMultilevel"/>
    <w:tmpl w:val="D5407B9A"/>
    <w:lvl w:ilvl="0" w:tplc="0813000F">
      <w:start w:val="1"/>
      <w:numFmt w:val="decimal"/>
      <w:lvlText w:val="%1."/>
      <w:lvlJc w:val="left"/>
      <w:pPr>
        <w:ind w:left="6360" w:hanging="360"/>
      </w:pPr>
      <w:rPr>
        <w:rFonts w:cs="Times New Roman"/>
      </w:rPr>
    </w:lvl>
    <w:lvl w:ilvl="1" w:tplc="08130019" w:tentative="1">
      <w:start w:val="1"/>
      <w:numFmt w:val="lowerLetter"/>
      <w:lvlText w:val="%2."/>
      <w:lvlJc w:val="left"/>
      <w:pPr>
        <w:ind w:left="7080" w:hanging="360"/>
      </w:pPr>
      <w:rPr>
        <w:rFonts w:cs="Times New Roman"/>
      </w:rPr>
    </w:lvl>
    <w:lvl w:ilvl="2" w:tplc="0813001B" w:tentative="1">
      <w:start w:val="1"/>
      <w:numFmt w:val="lowerRoman"/>
      <w:lvlText w:val="%3."/>
      <w:lvlJc w:val="right"/>
      <w:pPr>
        <w:ind w:left="7800" w:hanging="180"/>
      </w:pPr>
      <w:rPr>
        <w:rFonts w:cs="Times New Roman"/>
      </w:rPr>
    </w:lvl>
    <w:lvl w:ilvl="3" w:tplc="0813000F" w:tentative="1">
      <w:start w:val="1"/>
      <w:numFmt w:val="decimal"/>
      <w:lvlText w:val="%4."/>
      <w:lvlJc w:val="left"/>
      <w:pPr>
        <w:ind w:left="8520" w:hanging="360"/>
      </w:pPr>
      <w:rPr>
        <w:rFonts w:cs="Times New Roman"/>
      </w:rPr>
    </w:lvl>
    <w:lvl w:ilvl="4" w:tplc="08130019" w:tentative="1">
      <w:start w:val="1"/>
      <w:numFmt w:val="lowerLetter"/>
      <w:lvlText w:val="%5."/>
      <w:lvlJc w:val="left"/>
      <w:pPr>
        <w:ind w:left="9240" w:hanging="360"/>
      </w:pPr>
      <w:rPr>
        <w:rFonts w:cs="Times New Roman"/>
      </w:rPr>
    </w:lvl>
    <w:lvl w:ilvl="5" w:tplc="0813001B" w:tentative="1">
      <w:start w:val="1"/>
      <w:numFmt w:val="lowerRoman"/>
      <w:lvlText w:val="%6."/>
      <w:lvlJc w:val="right"/>
      <w:pPr>
        <w:ind w:left="9960" w:hanging="180"/>
      </w:pPr>
      <w:rPr>
        <w:rFonts w:cs="Times New Roman"/>
      </w:rPr>
    </w:lvl>
    <w:lvl w:ilvl="6" w:tplc="0813000F" w:tentative="1">
      <w:start w:val="1"/>
      <w:numFmt w:val="decimal"/>
      <w:lvlText w:val="%7."/>
      <w:lvlJc w:val="left"/>
      <w:pPr>
        <w:ind w:left="10680" w:hanging="360"/>
      </w:pPr>
      <w:rPr>
        <w:rFonts w:cs="Times New Roman"/>
      </w:rPr>
    </w:lvl>
    <w:lvl w:ilvl="7" w:tplc="08130019" w:tentative="1">
      <w:start w:val="1"/>
      <w:numFmt w:val="lowerLetter"/>
      <w:lvlText w:val="%8."/>
      <w:lvlJc w:val="left"/>
      <w:pPr>
        <w:ind w:left="11400" w:hanging="360"/>
      </w:pPr>
      <w:rPr>
        <w:rFonts w:cs="Times New Roman"/>
      </w:rPr>
    </w:lvl>
    <w:lvl w:ilvl="8" w:tplc="0813001B" w:tentative="1">
      <w:start w:val="1"/>
      <w:numFmt w:val="lowerRoman"/>
      <w:lvlText w:val="%9."/>
      <w:lvlJc w:val="right"/>
      <w:pPr>
        <w:ind w:left="12120" w:hanging="180"/>
      </w:pPr>
      <w:rPr>
        <w:rFonts w:cs="Times New Roman"/>
      </w:rPr>
    </w:lvl>
  </w:abstractNum>
  <w:abstractNum w:abstractNumId="3">
    <w:nsid w:val="760161AA"/>
    <w:multiLevelType w:val="hybridMultilevel"/>
    <w:tmpl w:val="F9C493F8"/>
    <w:lvl w:ilvl="0" w:tplc="0813000F">
      <w:start w:val="1"/>
      <w:numFmt w:val="decimal"/>
      <w:lvlText w:val="%1."/>
      <w:lvlJc w:val="left"/>
      <w:pPr>
        <w:ind w:left="3540" w:hanging="360"/>
      </w:pPr>
      <w:rPr>
        <w:rFonts w:cs="Times New Roman"/>
      </w:rPr>
    </w:lvl>
    <w:lvl w:ilvl="1" w:tplc="08130019" w:tentative="1">
      <w:start w:val="1"/>
      <w:numFmt w:val="lowerLetter"/>
      <w:lvlText w:val="%2."/>
      <w:lvlJc w:val="left"/>
      <w:pPr>
        <w:ind w:left="4260" w:hanging="360"/>
      </w:pPr>
      <w:rPr>
        <w:rFonts w:cs="Times New Roman"/>
      </w:rPr>
    </w:lvl>
    <w:lvl w:ilvl="2" w:tplc="0813001B" w:tentative="1">
      <w:start w:val="1"/>
      <w:numFmt w:val="lowerRoman"/>
      <w:lvlText w:val="%3."/>
      <w:lvlJc w:val="right"/>
      <w:pPr>
        <w:ind w:left="4980" w:hanging="180"/>
      </w:pPr>
      <w:rPr>
        <w:rFonts w:cs="Times New Roman"/>
      </w:rPr>
    </w:lvl>
    <w:lvl w:ilvl="3" w:tplc="0813000F" w:tentative="1">
      <w:start w:val="1"/>
      <w:numFmt w:val="decimal"/>
      <w:lvlText w:val="%4."/>
      <w:lvlJc w:val="left"/>
      <w:pPr>
        <w:ind w:left="5700" w:hanging="360"/>
      </w:pPr>
      <w:rPr>
        <w:rFonts w:cs="Times New Roman"/>
      </w:rPr>
    </w:lvl>
    <w:lvl w:ilvl="4" w:tplc="08130019" w:tentative="1">
      <w:start w:val="1"/>
      <w:numFmt w:val="lowerLetter"/>
      <w:lvlText w:val="%5."/>
      <w:lvlJc w:val="left"/>
      <w:pPr>
        <w:ind w:left="6420" w:hanging="360"/>
      </w:pPr>
      <w:rPr>
        <w:rFonts w:cs="Times New Roman"/>
      </w:rPr>
    </w:lvl>
    <w:lvl w:ilvl="5" w:tplc="0813001B" w:tentative="1">
      <w:start w:val="1"/>
      <w:numFmt w:val="lowerRoman"/>
      <w:lvlText w:val="%6."/>
      <w:lvlJc w:val="right"/>
      <w:pPr>
        <w:ind w:left="7140" w:hanging="180"/>
      </w:pPr>
      <w:rPr>
        <w:rFonts w:cs="Times New Roman"/>
      </w:rPr>
    </w:lvl>
    <w:lvl w:ilvl="6" w:tplc="0813000F" w:tentative="1">
      <w:start w:val="1"/>
      <w:numFmt w:val="decimal"/>
      <w:lvlText w:val="%7."/>
      <w:lvlJc w:val="left"/>
      <w:pPr>
        <w:ind w:left="7860" w:hanging="360"/>
      </w:pPr>
      <w:rPr>
        <w:rFonts w:cs="Times New Roman"/>
      </w:rPr>
    </w:lvl>
    <w:lvl w:ilvl="7" w:tplc="08130019" w:tentative="1">
      <w:start w:val="1"/>
      <w:numFmt w:val="lowerLetter"/>
      <w:lvlText w:val="%8."/>
      <w:lvlJc w:val="left"/>
      <w:pPr>
        <w:ind w:left="8580" w:hanging="360"/>
      </w:pPr>
      <w:rPr>
        <w:rFonts w:cs="Times New Roman"/>
      </w:rPr>
    </w:lvl>
    <w:lvl w:ilvl="8" w:tplc="0813001B" w:tentative="1">
      <w:start w:val="1"/>
      <w:numFmt w:val="lowerRoman"/>
      <w:lvlText w:val="%9."/>
      <w:lvlJc w:val="right"/>
      <w:pPr>
        <w:ind w:left="9300" w:hanging="180"/>
      </w:pPr>
      <w:rPr>
        <w:rFonts w:cs="Times New Roman"/>
      </w:rPr>
    </w:lvl>
  </w:abstractNum>
  <w:abstractNum w:abstractNumId="4">
    <w:nsid w:val="7C7F76ED"/>
    <w:multiLevelType w:val="hybridMultilevel"/>
    <w:tmpl w:val="599AFA5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1"/>
  </w:num>
  <w:num w:numId="5">
    <w:abstractNumId w:val="3"/>
  </w:num>
  <w:num w:numId="6">
    <w:abstractNumId w:val="2"/>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32F"/>
    <w:rsid w:val="0002540A"/>
    <w:rsid w:val="000442FF"/>
    <w:rsid w:val="000B38C5"/>
    <w:rsid w:val="00105B34"/>
    <w:rsid w:val="00122C1B"/>
    <w:rsid w:val="001A0C1F"/>
    <w:rsid w:val="001A35DD"/>
    <w:rsid w:val="001F7147"/>
    <w:rsid w:val="002B5CC4"/>
    <w:rsid w:val="002B7E9D"/>
    <w:rsid w:val="00556933"/>
    <w:rsid w:val="005B3F47"/>
    <w:rsid w:val="00614520"/>
    <w:rsid w:val="00626CB3"/>
    <w:rsid w:val="0068608B"/>
    <w:rsid w:val="00692F44"/>
    <w:rsid w:val="006C3AFB"/>
    <w:rsid w:val="006D02CD"/>
    <w:rsid w:val="006E0BFB"/>
    <w:rsid w:val="008341B0"/>
    <w:rsid w:val="0085365A"/>
    <w:rsid w:val="009163B4"/>
    <w:rsid w:val="00975959"/>
    <w:rsid w:val="00A1232D"/>
    <w:rsid w:val="00A24D25"/>
    <w:rsid w:val="00A60199"/>
    <w:rsid w:val="00AE760B"/>
    <w:rsid w:val="00B32D06"/>
    <w:rsid w:val="00BA1549"/>
    <w:rsid w:val="00C93A59"/>
    <w:rsid w:val="00CA432F"/>
    <w:rsid w:val="00CC10D5"/>
    <w:rsid w:val="00CC11F6"/>
    <w:rsid w:val="00CE611A"/>
    <w:rsid w:val="00D24EE2"/>
    <w:rsid w:val="00DB1B78"/>
    <w:rsid w:val="00E10498"/>
    <w:rsid w:val="00E94116"/>
    <w:rsid w:val="00F25B17"/>
    <w:rsid w:val="00F317B5"/>
    <w:rsid w:val="00F3225C"/>
    <w:rsid w:val="00F438BE"/>
    <w:rsid w:val="00F4557F"/>
    <w:rsid w:val="00F86E3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0B"/>
    <w:pPr>
      <w:suppressAutoHyphens/>
    </w:pPr>
    <w:rPr>
      <w:szCs w:val="24"/>
      <w:lang w:val="nl-NL" w:eastAsia="ar-SA"/>
    </w:rPr>
  </w:style>
  <w:style w:type="paragraph" w:styleId="Heading1">
    <w:name w:val="heading 1"/>
    <w:basedOn w:val="Normal"/>
    <w:next w:val="Normal"/>
    <w:link w:val="Heading1Char"/>
    <w:uiPriority w:val="99"/>
    <w:qFormat/>
    <w:rsid w:val="00AE760B"/>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AE760B"/>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E760B"/>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226"/>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487226"/>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487226"/>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AE760B"/>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487226"/>
    <w:rPr>
      <w:szCs w:val="24"/>
      <w:lang w:val="nl-NL" w:eastAsia="ar-SA"/>
    </w:rPr>
  </w:style>
  <w:style w:type="paragraph" w:customStyle="1" w:styleId="AntwoordNaamMinister">
    <w:name w:val="AntwoordNaamMinister"/>
    <w:basedOn w:val="Normal"/>
    <w:uiPriority w:val="99"/>
    <w:rsid w:val="00AE760B"/>
    <w:rPr>
      <w:b/>
      <w:smallCaps/>
      <w:lang w:val="nl-BE"/>
    </w:rPr>
  </w:style>
  <w:style w:type="paragraph" w:customStyle="1" w:styleId="A-TitelMinister">
    <w:name w:val="A-TitelMinister"/>
    <w:basedOn w:val="Normal"/>
    <w:uiPriority w:val="99"/>
    <w:rsid w:val="00AE760B"/>
    <w:rPr>
      <w:smallCaps/>
      <w:szCs w:val="22"/>
      <w:lang w:val="nl-BE"/>
    </w:rPr>
  </w:style>
  <w:style w:type="paragraph" w:customStyle="1" w:styleId="A-NaamMinister">
    <w:name w:val="A-NaamMinister"/>
    <w:basedOn w:val="Normal"/>
    <w:uiPriority w:val="99"/>
    <w:rsid w:val="00AE760B"/>
    <w:rPr>
      <w:b/>
      <w:smallCaps/>
      <w:lang w:val="nl-BE"/>
    </w:rPr>
  </w:style>
  <w:style w:type="paragraph" w:customStyle="1" w:styleId="A-Lijn">
    <w:name w:val="A-Lijn"/>
    <w:basedOn w:val="Normal"/>
    <w:uiPriority w:val="99"/>
    <w:rsid w:val="00AE760B"/>
    <w:pPr>
      <w:pBdr>
        <w:top w:val="single" w:sz="4" w:space="1" w:color="000000"/>
      </w:pBdr>
    </w:pPr>
    <w:rPr>
      <w:smallCaps/>
      <w:szCs w:val="22"/>
      <w:lang w:val="nl-BE"/>
    </w:rPr>
  </w:style>
  <w:style w:type="paragraph" w:customStyle="1" w:styleId="A-Type">
    <w:name w:val="A-Type"/>
    <w:uiPriority w:val="99"/>
    <w:rsid w:val="00AE760B"/>
    <w:pPr>
      <w:suppressAutoHyphens/>
    </w:pPr>
    <w:rPr>
      <w:b/>
      <w:smallCaps/>
      <w:lang w:eastAsia="ar-SA"/>
    </w:rPr>
  </w:style>
  <w:style w:type="paragraph" w:customStyle="1" w:styleId="A-Gewonetekst">
    <w:name w:val="A-Gewone tekst"/>
    <w:uiPriority w:val="99"/>
    <w:rsid w:val="00AE760B"/>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7226"/>
    <w:rPr>
      <w:sz w:val="0"/>
      <w:szCs w:val="0"/>
      <w:lang w:val="nl-NL" w:eastAsia="ar-SA"/>
    </w:rPr>
  </w:style>
  <w:style w:type="paragraph" w:styleId="ListNumber">
    <w:name w:val="List Number"/>
    <w:basedOn w:val="Normal"/>
    <w:uiPriority w:val="99"/>
    <w:pPr>
      <w:numPr>
        <w:numId w:val="2"/>
      </w:numPr>
    </w:pPr>
  </w:style>
  <w:style w:type="paragraph" w:styleId="ListParagraph">
    <w:name w:val="List Paragraph"/>
    <w:basedOn w:val="Normal"/>
    <w:uiPriority w:val="99"/>
    <w:qFormat/>
    <w:rsid w:val="00975959"/>
    <w:pPr>
      <w:ind w:left="720"/>
      <w:contextualSpacing/>
    </w:pPr>
  </w:style>
  <w:style w:type="table" w:styleId="TableGrid">
    <w:name w:val="Table Grid"/>
    <w:basedOn w:val="TableNormal"/>
    <w:uiPriority w:val="99"/>
    <w:rsid w:val="00E10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313</Words>
  <Characters>1722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3</cp:revision>
  <cp:lastPrinted>2009-09-16T14:21:00Z</cp:lastPrinted>
  <dcterms:created xsi:type="dcterms:W3CDTF">2012-03-01T09:55:00Z</dcterms:created>
  <dcterms:modified xsi:type="dcterms:W3CDTF">2012-03-02T10:17:00Z</dcterms:modified>
</cp:coreProperties>
</file>