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6" w:rsidRPr="006575F6" w:rsidRDefault="00503636" w:rsidP="00B0177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Antwoord op schriftelijke vraag nr. 249-bijlage1</w:t>
      </w:r>
    </w:p>
    <w:p w:rsidR="00503636" w:rsidRDefault="00503636" w:rsidP="00B01770">
      <w:pPr>
        <w:rPr>
          <w:rFonts w:ascii="Calibri" w:hAnsi="Calibri"/>
          <w:b/>
          <w:i/>
          <w:sz w:val="22"/>
          <w:szCs w:val="22"/>
        </w:rPr>
      </w:pPr>
    </w:p>
    <w:p w:rsidR="00503636" w:rsidRPr="004D0344" w:rsidRDefault="00503636" w:rsidP="00B01770">
      <w:pPr>
        <w:rPr>
          <w:rFonts w:ascii="Calibri" w:hAnsi="Calibri"/>
          <w:b/>
          <w:i/>
          <w:sz w:val="22"/>
          <w:szCs w:val="22"/>
        </w:rPr>
      </w:pPr>
      <w:r w:rsidRPr="004D0344">
        <w:rPr>
          <w:rFonts w:ascii="Calibri" w:hAnsi="Calibri"/>
          <w:b/>
          <w:i/>
          <w:sz w:val="22"/>
          <w:szCs w:val="22"/>
        </w:rPr>
        <w:t xml:space="preserve">Tabel . Overzicht van het aantal rapporterende </w:t>
      </w:r>
      <w:r>
        <w:rPr>
          <w:rFonts w:ascii="Calibri" w:hAnsi="Calibri"/>
          <w:b/>
          <w:i/>
          <w:sz w:val="22"/>
          <w:szCs w:val="22"/>
        </w:rPr>
        <w:t>Wildbeheereenheden (</w:t>
      </w:r>
      <w:r w:rsidRPr="004D0344">
        <w:rPr>
          <w:rFonts w:ascii="Calibri" w:hAnsi="Calibri"/>
          <w:b/>
          <w:i/>
          <w:sz w:val="22"/>
          <w:szCs w:val="22"/>
        </w:rPr>
        <w:t>WBE</w:t>
      </w:r>
      <w:r>
        <w:rPr>
          <w:rFonts w:ascii="Calibri" w:hAnsi="Calibri"/>
          <w:b/>
          <w:i/>
          <w:sz w:val="22"/>
          <w:szCs w:val="22"/>
        </w:rPr>
        <w:t>)</w:t>
      </w:r>
      <w:r w:rsidRPr="004D0344">
        <w:rPr>
          <w:rFonts w:ascii="Calibri" w:hAnsi="Calibri"/>
          <w:b/>
          <w:i/>
          <w:sz w:val="22"/>
          <w:szCs w:val="22"/>
        </w:rPr>
        <w:t xml:space="preserve"> en de bijhorende gerapporteerde oppervlakte voor vos met het absolute aantal geschoten vossen en het relatieve aantal geschoten vossen per 100ha per provincie en een totaal voor Vlaanderen.</w:t>
      </w:r>
    </w:p>
    <w:p w:rsidR="00503636" w:rsidRPr="004D0344" w:rsidRDefault="00503636" w:rsidP="00B01770">
      <w:pPr>
        <w:rPr>
          <w:rFonts w:ascii="Calibri" w:hAnsi="Calibri"/>
          <w:sz w:val="22"/>
          <w:szCs w:val="22"/>
        </w:rPr>
      </w:pPr>
    </w:p>
    <w:tbl>
      <w:tblPr>
        <w:tblW w:w="5662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636"/>
        <w:gridCol w:w="1031"/>
        <w:gridCol w:w="614"/>
        <w:gridCol w:w="922"/>
        <w:gridCol w:w="680"/>
        <w:gridCol w:w="1779"/>
      </w:tblGrid>
      <w:tr w:rsidR="00503636" w:rsidRPr="004D0344" w:rsidTr="00F9058C">
        <w:trPr>
          <w:trHeight w:val="26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extDirection w:val="btLr"/>
            <w:vAlign w:val="center"/>
          </w:tcPr>
          <w:p w:rsidR="00503636" w:rsidRPr="004D0344" w:rsidRDefault="00503636" w:rsidP="00F905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Jaar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extDirection w:val="btLr"/>
            <w:vAlign w:val="center"/>
          </w:tcPr>
          <w:p w:rsidR="00503636" w:rsidRPr="004D0344" w:rsidRDefault="00503636" w:rsidP="00F905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Gerapporteerde opp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ervlakte</w:t>
            </w: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 xml:space="preserve"> (ha)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extDirection w:val="btLr"/>
            <w:vAlign w:val="center"/>
          </w:tcPr>
          <w:p w:rsidR="00503636" w:rsidRPr="004D0344" w:rsidRDefault="00503636" w:rsidP="00C97BE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Aantal rapporterende WBE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extDirection w:val="btLr"/>
            <w:vAlign w:val="center"/>
          </w:tcPr>
          <w:p w:rsidR="00503636" w:rsidRPr="004D0344" w:rsidRDefault="00503636" w:rsidP="00F905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Geschoten vossen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extDirection w:val="btLr"/>
            <w:vAlign w:val="center"/>
          </w:tcPr>
          <w:p w:rsidR="00503636" w:rsidRPr="004D0344" w:rsidRDefault="00503636" w:rsidP="00C97BE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Geschoten vossen per 100ha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extDirection w:val="btLr"/>
            <w:vAlign w:val="center"/>
          </w:tcPr>
          <w:p w:rsidR="00503636" w:rsidRPr="004D0344" w:rsidRDefault="00503636" w:rsidP="00F905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Provincie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190.841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Antwerpen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181.397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1.899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Antwerpen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158.802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Limburg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172.023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Limburg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220.622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Oost-Vlaanderen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230.538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Oost-Vlaanderen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152.210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Vlaams Brabant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152.737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Vlaams Brabant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250.880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West-Vlaanderen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259.153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2.718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West-Vlaanderen</w:t>
            </w:r>
          </w:p>
        </w:tc>
      </w:tr>
      <w:tr w:rsidR="00503636" w:rsidRPr="004D0344" w:rsidTr="00F9058C">
        <w:trPr>
          <w:trHeight w:val="255"/>
        </w:trPr>
        <w:tc>
          <w:tcPr>
            <w:tcW w:w="5662" w:type="dxa"/>
            <w:gridSpan w:val="6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973.355</w:t>
            </w: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11.033</w:t>
            </w:r>
          </w:p>
        </w:tc>
        <w:tc>
          <w:tcPr>
            <w:tcW w:w="680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1,13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Vlaanderen</w:t>
            </w:r>
          </w:p>
        </w:tc>
      </w:tr>
      <w:tr w:rsidR="00503636" w:rsidRPr="004D0344" w:rsidTr="00F9058C">
        <w:trPr>
          <w:trHeight w:val="255"/>
        </w:trPr>
        <w:tc>
          <w:tcPr>
            <w:tcW w:w="636" w:type="dxa"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D034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31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995.847</w:t>
            </w:r>
          </w:p>
        </w:tc>
        <w:tc>
          <w:tcPr>
            <w:tcW w:w="614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922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11.961</w:t>
            </w:r>
          </w:p>
        </w:tc>
        <w:tc>
          <w:tcPr>
            <w:tcW w:w="680" w:type="dxa"/>
            <w:noWrap/>
            <w:vAlign w:val="bottom"/>
          </w:tcPr>
          <w:p w:rsidR="00503636" w:rsidRPr="004D0344" w:rsidRDefault="00503636" w:rsidP="00F9058C">
            <w:pPr>
              <w:jc w:val="right"/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779" w:type="dxa"/>
            <w:noWrap/>
            <w:vAlign w:val="bottom"/>
          </w:tcPr>
          <w:p w:rsidR="00503636" w:rsidRPr="004D0344" w:rsidRDefault="00503636" w:rsidP="00F9058C">
            <w:pPr>
              <w:rPr>
                <w:rFonts w:ascii="Arial" w:hAnsi="Arial" w:cs="Arial"/>
                <w:szCs w:val="22"/>
              </w:rPr>
            </w:pPr>
            <w:r w:rsidRPr="004D0344">
              <w:rPr>
                <w:rFonts w:ascii="Arial" w:hAnsi="Arial" w:cs="Arial"/>
                <w:sz w:val="22"/>
                <w:szCs w:val="22"/>
              </w:rPr>
              <w:t>Vlaanderen</w:t>
            </w:r>
          </w:p>
        </w:tc>
      </w:tr>
    </w:tbl>
    <w:p w:rsidR="00503636" w:rsidRDefault="00503636"/>
    <w:sectPr w:rsidR="00503636" w:rsidSect="0096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AC7"/>
    <w:multiLevelType w:val="hybridMultilevel"/>
    <w:tmpl w:val="04D49C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B80"/>
    <w:rsid w:val="00083F92"/>
    <w:rsid w:val="00084C6B"/>
    <w:rsid w:val="000A4EC3"/>
    <w:rsid w:val="000F21A4"/>
    <w:rsid w:val="00142B80"/>
    <w:rsid w:val="001911D9"/>
    <w:rsid w:val="002D32CE"/>
    <w:rsid w:val="003735C9"/>
    <w:rsid w:val="00384591"/>
    <w:rsid w:val="003A7199"/>
    <w:rsid w:val="0043045F"/>
    <w:rsid w:val="00431B39"/>
    <w:rsid w:val="004D0344"/>
    <w:rsid w:val="00503636"/>
    <w:rsid w:val="00521EED"/>
    <w:rsid w:val="005A7239"/>
    <w:rsid w:val="00610F87"/>
    <w:rsid w:val="006575F6"/>
    <w:rsid w:val="00890F39"/>
    <w:rsid w:val="008B7FB5"/>
    <w:rsid w:val="00911191"/>
    <w:rsid w:val="0096184D"/>
    <w:rsid w:val="009627BA"/>
    <w:rsid w:val="00B01770"/>
    <w:rsid w:val="00B53ABF"/>
    <w:rsid w:val="00C55106"/>
    <w:rsid w:val="00C97BE3"/>
    <w:rsid w:val="00CE29BA"/>
    <w:rsid w:val="00DC5A61"/>
    <w:rsid w:val="00F9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80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142B80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142B80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142B80"/>
    <w:pPr>
      <w:jc w:val="both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9111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191"/>
    <w:rPr>
      <w:rFonts w:ascii="Calibri" w:eastAsia="Calibri" w:hAnsi="Calibri" w:cs="Calibri"/>
      <w:sz w:val="20"/>
      <w:lang w:val="nl-B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119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191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99"/>
    <w:qFormat/>
    <w:rsid w:val="00B0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886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nr</dc:title>
  <dc:subject/>
  <dc:creator>Beun</dc:creator>
  <cp:keywords/>
  <dc:description/>
  <cp:lastModifiedBy>Vlaams Parlement</cp:lastModifiedBy>
  <cp:revision>2</cp:revision>
  <dcterms:created xsi:type="dcterms:W3CDTF">2012-02-17T15:22:00Z</dcterms:created>
  <dcterms:modified xsi:type="dcterms:W3CDTF">2012-02-17T15:22:00Z</dcterms:modified>
</cp:coreProperties>
</file>