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B32F59" w:rsidRPr="00DD4121" w:rsidRDefault="00B32F59"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Pr>
          <w:szCs w:val="22"/>
        </w:rPr>
        <w:t>p</w:t>
      </w:r>
      <w:r>
        <w:rPr>
          <w:noProof/>
          <w:szCs w:val="22"/>
        </w:rPr>
        <w:t>hilippe muyters</w:t>
      </w:r>
      <w:bookmarkEnd w:id="1"/>
      <w:r>
        <w:rPr>
          <w:szCs w:val="22"/>
        </w:rPr>
        <w:fldChar w:fldCharType="end"/>
      </w:r>
      <w:bookmarkEnd w:id="0"/>
    </w:p>
    <w:bookmarkStart w:id="2" w:name="Text2"/>
    <w:p w:rsidR="00B32F59" w:rsidRPr="00015BF7" w:rsidRDefault="00B32F59"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2"/>
    </w:p>
    <w:p w:rsidR="00B32F59" w:rsidRPr="00015BF7" w:rsidRDefault="00B32F59" w:rsidP="000976E9">
      <w:pPr>
        <w:rPr>
          <w:szCs w:val="22"/>
        </w:rPr>
      </w:pPr>
    </w:p>
    <w:p w:rsidR="00B32F59" w:rsidRPr="00DB41C0" w:rsidRDefault="00B32F59" w:rsidP="000976E9">
      <w:pPr>
        <w:pStyle w:val="A-Lijn"/>
      </w:pPr>
    </w:p>
    <w:p w:rsidR="00B32F59" w:rsidRDefault="00B32F59" w:rsidP="000976E9">
      <w:pPr>
        <w:pStyle w:val="A-Type"/>
        <w:sectPr w:rsidR="00B32F59">
          <w:pgSz w:w="11906" w:h="16838"/>
          <w:pgMar w:top="1417" w:right="1417" w:bottom="1417" w:left="1417" w:header="708" w:footer="708" w:gutter="0"/>
          <w:cols w:space="708"/>
          <w:rtlGutter/>
          <w:docGrid w:linePitch="360"/>
        </w:sectPr>
      </w:pPr>
    </w:p>
    <w:p w:rsidR="00B32F59" w:rsidRPr="00D13702" w:rsidRDefault="00B32F59" w:rsidP="00586236">
      <w:pPr>
        <w:pStyle w:val="A-Type"/>
        <w:outlineLvl w:val="0"/>
        <w:sectPr w:rsidR="00B32F59" w:rsidRPr="00D1370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B32F59" w:rsidRPr="00326A58" w:rsidRDefault="00B32F59"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275</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12</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B32F59" w:rsidRDefault="00B32F59"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lode vereeck</w:t>
      </w:r>
      <w:r w:rsidRPr="009D7043">
        <w:rPr>
          <w:rStyle w:val="AntwoordNaamMinisterChar"/>
          <w:sz w:val="22"/>
        </w:rPr>
        <w:fldChar w:fldCharType="end"/>
      </w:r>
    </w:p>
    <w:p w:rsidR="00B32F59" w:rsidRPr="00015BF7" w:rsidRDefault="00B32F59" w:rsidP="000976E9">
      <w:pPr>
        <w:rPr>
          <w:szCs w:val="22"/>
        </w:rPr>
      </w:pPr>
    </w:p>
    <w:p w:rsidR="00B32F59" w:rsidRPr="00DB41C0" w:rsidRDefault="00B32F59" w:rsidP="000976E9">
      <w:pPr>
        <w:pStyle w:val="A-Lijn"/>
      </w:pPr>
    </w:p>
    <w:p w:rsidR="00B32F59" w:rsidRPr="00DB41C0" w:rsidRDefault="00B32F59" w:rsidP="000976E9">
      <w:pPr>
        <w:pStyle w:val="A-Lijn"/>
      </w:pPr>
    </w:p>
    <w:p w:rsidR="00B32F59" w:rsidRDefault="00B32F59" w:rsidP="00DB41C0">
      <w:pPr>
        <w:sectPr w:rsidR="00B32F59" w:rsidSect="000976E9">
          <w:type w:val="continuous"/>
          <w:pgSz w:w="11906" w:h="16838"/>
          <w:pgMar w:top="1417" w:right="1417" w:bottom="1417" w:left="1417" w:header="708" w:footer="708" w:gutter="0"/>
          <w:cols w:space="708"/>
          <w:rtlGutter/>
          <w:docGrid w:linePitch="360"/>
        </w:sectPr>
      </w:pPr>
    </w:p>
    <w:p w:rsidR="00B32F59" w:rsidRDefault="00B32F59" w:rsidP="0086633E">
      <w:pPr>
        <w:numPr>
          <w:ilvl w:val="0"/>
          <w:numId w:val="6"/>
        </w:numPr>
        <w:tabs>
          <w:tab w:val="left" w:pos="360"/>
          <w:tab w:val="num" w:pos="720"/>
        </w:tabs>
        <w:ind w:left="720" w:hanging="720"/>
        <w:jc w:val="both"/>
        <w:rPr>
          <w:szCs w:val="22"/>
        </w:rPr>
      </w:pPr>
      <w:r>
        <w:rPr>
          <w:szCs w:val="22"/>
        </w:rPr>
        <w:t>a)</w:t>
      </w:r>
      <w:r>
        <w:rPr>
          <w:szCs w:val="22"/>
        </w:rPr>
        <w:tab/>
        <w:t>Het overzicht van de (geraamde) kasimpact van de participaties (ESR 8141) vindt de Vlaamse volksvertegenwoordiger in onderstaande tabel.</w:t>
      </w:r>
    </w:p>
    <w:p w:rsidR="00B32F59" w:rsidRDefault="00B32F59" w:rsidP="00661B4F">
      <w:pPr>
        <w:tabs>
          <w:tab w:val="left" w:pos="284"/>
        </w:tabs>
        <w:rPr>
          <w:szCs w:val="22"/>
        </w:rPr>
      </w:pPr>
    </w:p>
    <w:tbl>
      <w:tblPr>
        <w:tblW w:w="6274" w:type="dxa"/>
        <w:tblInd w:w="212" w:type="dxa"/>
        <w:tblCellMar>
          <w:left w:w="70" w:type="dxa"/>
          <w:right w:w="70" w:type="dxa"/>
        </w:tblCellMar>
        <w:tblLook w:val="00A0"/>
      </w:tblPr>
      <w:tblGrid>
        <w:gridCol w:w="3214"/>
        <w:gridCol w:w="1359"/>
        <w:gridCol w:w="850"/>
        <w:gridCol w:w="851"/>
      </w:tblGrid>
      <w:tr w:rsidR="00B32F59" w:rsidRPr="00A27E30" w:rsidTr="00735791">
        <w:trPr>
          <w:trHeight w:val="299"/>
        </w:trPr>
        <w:tc>
          <w:tcPr>
            <w:tcW w:w="3214" w:type="dxa"/>
            <w:vMerge w:val="restart"/>
            <w:tcBorders>
              <w:top w:val="single" w:sz="8" w:space="0" w:color="auto"/>
              <w:left w:val="single" w:sz="8" w:space="0" w:color="auto"/>
              <w:bottom w:val="single" w:sz="8" w:space="0" w:color="000000"/>
              <w:right w:val="single" w:sz="8" w:space="0" w:color="auto"/>
            </w:tcBorders>
            <w:noWrap/>
            <w:vAlign w:val="center"/>
          </w:tcPr>
          <w:p w:rsidR="00B32F59" w:rsidRDefault="00B32F59" w:rsidP="00654FD9">
            <w:pPr>
              <w:jc w:val="center"/>
              <w:rPr>
                <w:b/>
                <w:bCs/>
                <w:color w:val="000000"/>
                <w:szCs w:val="22"/>
                <w:lang w:val="nl-BE" w:eastAsia="nl-BE"/>
              </w:rPr>
            </w:pPr>
            <w:r w:rsidRPr="00A27E30">
              <w:rPr>
                <w:b/>
                <w:bCs/>
                <w:color w:val="000000"/>
                <w:szCs w:val="22"/>
                <w:lang w:val="nl-BE" w:eastAsia="nl-BE"/>
              </w:rPr>
              <w:t>ESR 8141 - Kasbehoefte 2011</w:t>
            </w:r>
          </w:p>
          <w:p w:rsidR="00B32F59" w:rsidRPr="00A27E30" w:rsidRDefault="00B32F59" w:rsidP="00654FD9">
            <w:pPr>
              <w:jc w:val="center"/>
              <w:rPr>
                <w:bCs/>
                <w:color w:val="000000"/>
                <w:sz w:val="18"/>
                <w:szCs w:val="18"/>
                <w:lang w:val="nl-BE" w:eastAsia="nl-BE"/>
              </w:rPr>
            </w:pPr>
            <w:r w:rsidRPr="00A27E30">
              <w:rPr>
                <w:bCs/>
                <w:color w:val="000000"/>
                <w:sz w:val="18"/>
                <w:szCs w:val="18"/>
                <w:lang w:val="nl-BE" w:eastAsia="nl-BE"/>
              </w:rPr>
              <w:t xml:space="preserve">(in miljoen euro) </w:t>
            </w:r>
          </w:p>
        </w:tc>
        <w:tc>
          <w:tcPr>
            <w:tcW w:w="1359" w:type="dxa"/>
            <w:tcBorders>
              <w:top w:val="single" w:sz="8" w:space="0" w:color="auto"/>
              <w:left w:val="nil"/>
              <w:bottom w:val="single" w:sz="4" w:space="0" w:color="auto"/>
              <w:right w:val="single" w:sz="12" w:space="0" w:color="auto"/>
            </w:tcBorders>
            <w:noWrap/>
            <w:vAlign w:val="center"/>
          </w:tcPr>
          <w:p w:rsidR="00B32F59" w:rsidRPr="00A27E30" w:rsidRDefault="00B32F59" w:rsidP="00AF5719">
            <w:pPr>
              <w:jc w:val="center"/>
              <w:rPr>
                <w:color w:val="000000"/>
                <w:szCs w:val="22"/>
                <w:lang w:val="nl-BE" w:eastAsia="nl-BE"/>
              </w:rPr>
            </w:pPr>
            <w:r w:rsidRPr="00A27E30">
              <w:rPr>
                <w:color w:val="000000"/>
                <w:szCs w:val="22"/>
                <w:lang w:val="nl-BE" w:eastAsia="nl-BE"/>
              </w:rPr>
              <w:t>realisatie</w:t>
            </w:r>
          </w:p>
        </w:tc>
        <w:tc>
          <w:tcPr>
            <w:tcW w:w="1701" w:type="dxa"/>
            <w:gridSpan w:val="2"/>
            <w:tcBorders>
              <w:top w:val="single" w:sz="8" w:space="0" w:color="auto"/>
              <w:left w:val="single" w:sz="12" w:space="0" w:color="auto"/>
              <w:bottom w:val="single" w:sz="4" w:space="0" w:color="auto"/>
              <w:right w:val="single" w:sz="8" w:space="0" w:color="000000"/>
            </w:tcBorders>
            <w:vAlign w:val="center"/>
          </w:tcPr>
          <w:p w:rsidR="00B32F59" w:rsidRPr="00A27E30" w:rsidRDefault="00B32F59" w:rsidP="00AF5719">
            <w:pPr>
              <w:jc w:val="center"/>
              <w:rPr>
                <w:color w:val="000000"/>
                <w:szCs w:val="22"/>
                <w:lang w:val="nl-BE" w:eastAsia="nl-BE"/>
              </w:rPr>
            </w:pPr>
            <w:r w:rsidRPr="00A27E30">
              <w:rPr>
                <w:color w:val="000000"/>
                <w:szCs w:val="22"/>
                <w:lang w:val="nl-BE" w:eastAsia="nl-BE"/>
              </w:rPr>
              <w:t>Huidige raming</w:t>
            </w:r>
          </w:p>
        </w:tc>
      </w:tr>
      <w:tr w:rsidR="00B32F59" w:rsidRPr="00A27E30" w:rsidTr="00735791">
        <w:trPr>
          <w:trHeight w:val="314"/>
        </w:trPr>
        <w:tc>
          <w:tcPr>
            <w:tcW w:w="3214" w:type="dxa"/>
            <w:vMerge/>
            <w:tcBorders>
              <w:top w:val="single" w:sz="8" w:space="0" w:color="auto"/>
              <w:left w:val="single" w:sz="8" w:space="0" w:color="auto"/>
              <w:bottom w:val="single" w:sz="8" w:space="0" w:color="000000"/>
              <w:right w:val="single" w:sz="8" w:space="0" w:color="auto"/>
            </w:tcBorders>
            <w:vAlign w:val="center"/>
          </w:tcPr>
          <w:p w:rsidR="00B32F59" w:rsidRPr="00A27E30" w:rsidRDefault="00B32F59" w:rsidP="00AF5719">
            <w:pPr>
              <w:rPr>
                <w:b/>
                <w:bCs/>
                <w:color w:val="000000"/>
                <w:szCs w:val="22"/>
                <w:lang w:val="nl-BE" w:eastAsia="nl-BE"/>
              </w:rPr>
            </w:pPr>
          </w:p>
        </w:tc>
        <w:tc>
          <w:tcPr>
            <w:tcW w:w="1359" w:type="dxa"/>
            <w:tcBorders>
              <w:top w:val="nil"/>
              <w:left w:val="nil"/>
              <w:bottom w:val="single" w:sz="8" w:space="0" w:color="auto"/>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2011</w:t>
            </w:r>
          </w:p>
        </w:tc>
        <w:tc>
          <w:tcPr>
            <w:tcW w:w="850" w:type="dxa"/>
            <w:tcBorders>
              <w:top w:val="nil"/>
              <w:left w:val="single" w:sz="12" w:space="0" w:color="auto"/>
              <w:bottom w:val="single" w:sz="8" w:space="0" w:color="auto"/>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2012</w:t>
            </w:r>
          </w:p>
        </w:tc>
        <w:tc>
          <w:tcPr>
            <w:tcW w:w="851" w:type="dxa"/>
            <w:tcBorders>
              <w:top w:val="nil"/>
              <w:left w:val="nil"/>
              <w:bottom w:val="single" w:sz="8" w:space="0" w:color="auto"/>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2013</w:t>
            </w: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PMV versterken kap.basis</w:t>
            </w:r>
          </w:p>
        </w:tc>
        <w:tc>
          <w:tcPr>
            <w:tcW w:w="1359" w:type="dxa"/>
            <w:vMerge w:val="restart"/>
            <w:tcBorders>
              <w:top w:val="nil"/>
              <w:left w:val="single" w:sz="8" w:space="0" w:color="auto"/>
              <w:bottom w:val="dotted" w:sz="4" w:space="0" w:color="000000"/>
              <w:right w:val="single" w:sz="12" w:space="0" w:color="auto"/>
            </w:tcBorders>
            <w:noWrap/>
            <w:vAlign w:val="center"/>
          </w:tcPr>
          <w:p w:rsidR="00B32F59" w:rsidRPr="00A27E30" w:rsidRDefault="00B32F59" w:rsidP="00AF5719">
            <w:pPr>
              <w:jc w:val="center"/>
              <w:rPr>
                <w:color w:val="000000"/>
                <w:szCs w:val="22"/>
                <w:lang w:val="nl-BE" w:eastAsia="nl-BE"/>
              </w:rPr>
            </w:pPr>
            <w:r w:rsidRPr="00A27E30">
              <w:rPr>
                <w:color w:val="000000"/>
                <w:szCs w:val="22"/>
                <w:lang w:val="nl-BE" w:eastAsia="nl-BE"/>
              </w:rPr>
              <w:t>75</w:t>
            </w:r>
          </w:p>
        </w:tc>
        <w:tc>
          <w:tcPr>
            <w:tcW w:w="850" w:type="dxa"/>
            <w:vMerge w:val="restart"/>
            <w:tcBorders>
              <w:top w:val="nil"/>
              <w:left w:val="single" w:sz="12" w:space="0" w:color="auto"/>
              <w:bottom w:val="dotted" w:sz="4" w:space="0" w:color="000000"/>
              <w:right w:val="single" w:sz="4" w:space="0" w:color="auto"/>
            </w:tcBorders>
            <w:noWrap/>
            <w:vAlign w:val="center"/>
          </w:tcPr>
          <w:p w:rsidR="00B32F59" w:rsidRPr="00A27E30" w:rsidRDefault="00B32F59" w:rsidP="00AF5719">
            <w:pPr>
              <w:jc w:val="center"/>
              <w:rPr>
                <w:color w:val="000000"/>
                <w:szCs w:val="22"/>
                <w:lang w:val="nl-BE" w:eastAsia="nl-BE"/>
              </w:rPr>
            </w:pPr>
            <w:r w:rsidRPr="00A27E30">
              <w:rPr>
                <w:color w:val="000000"/>
                <w:szCs w:val="22"/>
                <w:lang w:val="nl-BE" w:eastAsia="nl-BE"/>
              </w:rPr>
              <w:t> </w:t>
            </w:r>
          </w:p>
        </w:tc>
        <w:tc>
          <w:tcPr>
            <w:tcW w:w="851" w:type="dxa"/>
            <w:vMerge w:val="restart"/>
            <w:tcBorders>
              <w:top w:val="nil"/>
              <w:left w:val="nil"/>
              <w:bottom w:val="dotted" w:sz="4" w:space="0" w:color="000000"/>
              <w:right w:val="single" w:sz="8" w:space="0" w:color="auto"/>
            </w:tcBorders>
            <w:noWrap/>
            <w:vAlign w:val="center"/>
          </w:tcPr>
          <w:p w:rsidR="00B32F59" w:rsidRPr="00A27E30" w:rsidRDefault="00B32F59" w:rsidP="00AF5719">
            <w:pPr>
              <w:jc w:val="center"/>
              <w:rPr>
                <w:color w:val="000000"/>
                <w:szCs w:val="22"/>
                <w:lang w:val="nl-BE" w:eastAsia="nl-BE"/>
              </w:rPr>
            </w:pPr>
            <w:r w:rsidRPr="00A27E30">
              <w:rPr>
                <w:color w:val="000000"/>
                <w:szCs w:val="22"/>
                <w:lang w:val="nl-BE" w:eastAsia="nl-BE"/>
              </w:rPr>
              <w:t> </w:t>
            </w: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Kid’s Invest</w:t>
            </w:r>
          </w:p>
        </w:tc>
        <w:tc>
          <w:tcPr>
            <w:tcW w:w="1359" w:type="dxa"/>
            <w:vMerge/>
            <w:tcBorders>
              <w:top w:val="nil"/>
              <w:left w:val="single" w:sz="8" w:space="0" w:color="auto"/>
              <w:bottom w:val="dotted" w:sz="4" w:space="0" w:color="000000"/>
              <w:right w:val="single" w:sz="12" w:space="0" w:color="auto"/>
            </w:tcBorders>
            <w:vAlign w:val="center"/>
          </w:tcPr>
          <w:p w:rsidR="00B32F59" w:rsidRPr="00A27E30" w:rsidRDefault="00B32F59" w:rsidP="00AF5719">
            <w:pPr>
              <w:rPr>
                <w:color w:val="000000"/>
                <w:szCs w:val="22"/>
                <w:lang w:val="nl-BE" w:eastAsia="nl-BE"/>
              </w:rPr>
            </w:pPr>
          </w:p>
        </w:tc>
        <w:tc>
          <w:tcPr>
            <w:tcW w:w="850" w:type="dxa"/>
            <w:vMerge/>
            <w:tcBorders>
              <w:top w:val="nil"/>
              <w:left w:val="single" w:sz="12" w:space="0" w:color="auto"/>
              <w:bottom w:val="dotted" w:sz="4" w:space="0" w:color="000000"/>
              <w:right w:val="single" w:sz="4" w:space="0" w:color="auto"/>
            </w:tcBorders>
            <w:vAlign w:val="center"/>
          </w:tcPr>
          <w:p w:rsidR="00B32F59" w:rsidRPr="00A27E30" w:rsidRDefault="00B32F59" w:rsidP="00AF5719">
            <w:pPr>
              <w:rPr>
                <w:color w:val="000000"/>
                <w:szCs w:val="22"/>
                <w:lang w:val="nl-BE" w:eastAsia="nl-BE"/>
              </w:rPr>
            </w:pPr>
          </w:p>
        </w:tc>
        <w:tc>
          <w:tcPr>
            <w:tcW w:w="851" w:type="dxa"/>
            <w:vMerge/>
            <w:tcBorders>
              <w:top w:val="nil"/>
              <w:left w:val="nil"/>
              <w:bottom w:val="dotted" w:sz="4" w:space="0" w:color="000000"/>
              <w:right w:val="single" w:sz="8" w:space="0" w:color="auto"/>
            </w:tcBorders>
            <w:vAlign w:val="center"/>
          </w:tcPr>
          <w:p w:rsidR="00B32F59" w:rsidRPr="00A27E30" w:rsidRDefault="00B32F59" w:rsidP="00AF5719">
            <w:pPr>
              <w:rPr>
                <w:color w:val="000000"/>
                <w:szCs w:val="22"/>
                <w:lang w:val="nl-BE" w:eastAsia="nl-BE"/>
              </w:rPr>
            </w:pP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Social Invest</w:t>
            </w:r>
          </w:p>
        </w:tc>
        <w:tc>
          <w:tcPr>
            <w:tcW w:w="1359" w:type="dxa"/>
            <w:vMerge/>
            <w:tcBorders>
              <w:top w:val="nil"/>
              <w:left w:val="single" w:sz="8" w:space="0" w:color="auto"/>
              <w:bottom w:val="dotted" w:sz="4" w:space="0" w:color="000000"/>
              <w:right w:val="single" w:sz="12" w:space="0" w:color="auto"/>
            </w:tcBorders>
            <w:vAlign w:val="center"/>
          </w:tcPr>
          <w:p w:rsidR="00B32F59" w:rsidRPr="00A27E30" w:rsidRDefault="00B32F59" w:rsidP="00AF5719">
            <w:pPr>
              <w:rPr>
                <w:color w:val="000000"/>
                <w:szCs w:val="22"/>
                <w:lang w:val="nl-BE" w:eastAsia="nl-BE"/>
              </w:rPr>
            </w:pPr>
          </w:p>
        </w:tc>
        <w:tc>
          <w:tcPr>
            <w:tcW w:w="850" w:type="dxa"/>
            <w:vMerge/>
            <w:tcBorders>
              <w:top w:val="nil"/>
              <w:left w:val="single" w:sz="12" w:space="0" w:color="auto"/>
              <w:bottom w:val="dotted" w:sz="4" w:space="0" w:color="000000"/>
              <w:right w:val="single" w:sz="4" w:space="0" w:color="auto"/>
            </w:tcBorders>
            <w:vAlign w:val="center"/>
          </w:tcPr>
          <w:p w:rsidR="00B32F59" w:rsidRPr="00A27E30" w:rsidRDefault="00B32F59" w:rsidP="00AF5719">
            <w:pPr>
              <w:rPr>
                <w:color w:val="000000"/>
                <w:szCs w:val="22"/>
                <w:lang w:val="nl-BE" w:eastAsia="nl-BE"/>
              </w:rPr>
            </w:pPr>
          </w:p>
        </w:tc>
        <w:tc>
          <w:tcPr>
            <w:tcW w:w="851" w:type="dxa"/>
            <w:vMerge/>
            <w:tcBorders>
              <w:top w:val="nil"/>
              <w:left w:val="nil"/>
              <w:bottom w:val="dotted" w:sz="4" w:space="0" w:color="000000"/>
              <w:right w:val="single" w:sz="8" w:space="0" w:color="auto"/>
            </w:tcBorders>
            <w:vAlign w:val="center"/>
          </w:tcPr>
          <w:p w:rsidR="00B32F59" w:rsidRPr="00A27E30" w:rsidRDefault="00B32F59" w:rsidP="00AF5719">
            <w:pPr>
              <w:rPr>
                <w:color w:val="000000"/>
                <w:szCs w:val="22"/>
                <w:lang w:val="nl-BE" w:eastAsia="nl-BE"/>
              </w:rPr>
            </w:pPr>
          </w:p>
        </w:tc>
      </w:tr>
      <w:tr w:rsidR="00B32F59" w:rsidRPr="00A27E30" w:rsidTr="00735791">
        <w:trPr>
          <w:trHeight w:val="299"/>
        </w:trPr>
        <w:tc>
          <w:tcPr>
            <w:tcW w:w="3214" w:type="dxa"/>
            <w:tcBorders>
              <w:top w:val="nil"/>
              <w:left w:val="single" w:sz="8" w:space="0" w:color="auto"/>
              <w:bottom w:val="dotted" w:sz="4" w:space="0" w:color="auto"/>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Fonds Vlaanderen - Internationaal</w:t>
            </w:r>
          </w:p>
        </w:tc>
        <w:tc>
          <w:tcPr>
            <w:tcW w:w="1359" w:type="dxa"/>
            <w:vMerge/>
            <w:tcBorders>
              <w:top w:val="nil"/>
              <w:left w:val="single" w:sz="8" w:space="0" w:color="auto"/>
              <w:bottom w:val="dotted" w:sz="4" w:space="0" w:color="000000"/>
              <w:right w:val="single" w:sz="12" w:space="0" w:color="auto"/>
            </w:tcBorders>
            <w:vAlign w:val="center"/>
          </w:tcPr>
          <w:p w:rsidR="00B32F59" w:rsidRPr="00A27E30" w:rsidRDefault="00B32F59" w:rsidP="00AF5719">
            <w:pPr>
              <w:rPr>
                <w:color w:val="000000"/>
                <w:szCs w:val="22"/>
                <w:lang w:val="nl-BE" w:eastAsia="nl-BE"/>
              </w:rPr>
            </w:pPr>
          </w:p>
        </w:tc>
        <w:tc>
          <w:tcPr>
            <w:tcW w:w="850" w:type="dxa"/>
            <w:vMerge/>
            <w:tcBorders>
              <w:top w:val="nil"/>
              <w:left w:val="single" w:sz="12" w:space="0" w:color="auto"/>
              <w:bottom w:val="dotted" w:sz="4" w:space="0" w:color="000000"/>
              <w:right w:val="single" w:sz="4" w:space="0" w:color="auto"/>
            </w:tcBorders>
            <w:vAlign w:val="center"/>
          </w:tcPr>
          <w:p w:rsidR="00B32F59" w:rsidRPr="00A27E30" w:rsidRDefault="00B32F59" w:rsidP="00AF5719">
            <w:pPr>
              <w:rPr>
                <w:color w:val="000000"/>
                <w:szCs w:val="22"/>
                <w:lang w:val="nl-BE" w:eastAsia="nl-BE"/>
              </w:rPr>
            </w:pPr>
          </w:p>
        </w:tc>
        <w:tc>
          <w:tcPr>
            <w:tcW w:w="851" w:type="dxa"/>
            <w:vMerge/>
            <w:tcBorders>
              <w:top w:val="nil"/>
              <w:left w:val="nil"/>
              <w:bottom w:val="dotted" w:sz="4" w:space="0" w:color="000000"/>
              <w:right w:val="single" w:sz="8" w:space="0" w:color="auto"/>
            </w:tcBorders>
            <w:vAlign w:val="center"/>
          </w:tcPr>
          <w:p w:rsidR="00B32F59" w:rsidRPr="00A27E30" w:rsidRDefault="00B32F59" w:rsidP="00AF5719">
            <w:pPr>
              <w:rPr>
                <w:color w:val="000000"/>
                <w:szCs w:val="22"/>
                <w:lang w:val="nl-BE" w:eastAsia="nl-BE"/>
              </w:rPr>
            </w:pP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TINA</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i/>
                <w:iCs/>
                <w:color w:val="000000"/>
                <w:szCs w:val="22"/>
                <w:lang w:val="nl-BE" w:eastAsia="nl-BE"/>
              </w:rPr>
            </w:pPr>
            <w:r w:rsidRPr="00A27E30">
              <w:rPr>
                <w:i/>
                <w:iCs/>
                <w:color w:val="000000"/>
                <w:szCs w:val="22"/>
                <w:lang w:val="nl-BE" w:eastAsia="nl-BE"/>
              </w:rPr>
              <w:t>50</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i/>
                <w:iCs/>
                <w:color w:val="000000"/>
                <w:szCs w:val="22"/>
                <w:lang w:val="nl-BE" w:eastAsia="nl-BE"/>
              </w:rPr>
            </w:pPr>
            <w:r w:rsidRPr="00A27E30">
              <w:rPr>
                <w:i/>
                <w:iCs/>
                <w:color w:val="000000"/>
                <w:szCs w:val="22"/>
                <w:lang w:val="nl-BE" w:eastAsia="nl-BE"/>
              </w:rPr>
              <w:t>0</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i/>
                <w:iCs/>
                <w:color w:val="000000"/>
                <w:szCs w:val="22"/>
                <w:lang w:val="nl-BE" w:eastAsia="nl-BE"/>
              </w:rPr>
            </w:pPr>
            <w:r w:rsidRPr="00A27E30">
              <w:rPr>
                <w:i/>
                <w:iCs/>
                <w:color w:val="000000"/>
                <w:szCs w:val="22"/>
                <w:lang w:val="nl-BE" w:eastAsia="nl-BE"/>
              </w:rPr>
              <w:t>25</w:t>
            </w: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Innovatie</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0</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10</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10</w:t>
            </w: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Flanders Care invest</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5</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0</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5</w:t>
            </w: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Kap verhoging VMH</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12,5</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0</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0</w:t>
            </w: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Vlaams Energiebedrijf</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0</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50</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50</w:t>
            </w: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Arkimedes</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30</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0</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20</w:t>
            </w: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PPS</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0</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30</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30</w:t>
            </w: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Spin-offs strat. Onderzoekscentra</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10</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0</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0</w:t>
            </w: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Vlaamse Havens NV</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15</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 </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 </w:t>
            </w: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 xml:space="preserve">Nautinvest NV </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0,12</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0,12</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0,75</w:t>
            </w:r>
          </w:p>
        </w:tc>
      </w:tr>
      <w:tr w:rsidR="00B32F59" w:rsidRPr="00A27E30" w:rsidTr="00735791">
        <w:trPr>
          <w:trHeight w:val="299"/>
        </w:trPr>
        <w:tc>
          <w:tcPr>
            <w:tcW w:w="3214" w:type="dxa"/>
            <w:tcBorders>
              <w:top w:val="nil"/>
              <w:left w:val="single" w:sz="8" w:space="0" w:color="auto"/>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VIA-invest</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10</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 </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 </w:t>
            </w:r>
          </w:p>
        </w:tc>
      </w:tr>
      <w:tr w:rsidR="00B32F59" w:rsidRPr="00A27E30" w:rsidTr="00735791">
        <w:trPr>
          <w:trHeight w:val="299"/>
        </w:trPr>
        <w:tc>
          <w:tcPr>
            <w:tcW w:w="3214" w:type="dxa"/>
            <w:tcBorders>
              <w:top w:val="nil"/>
              <w:left w:val="single" w:sz="8" w:space="0" w:color="auto"/>
              <w:bottom w:val="nil"/>
              <w:right w:val="nil"/>
            </w:tcBorders>
            <w:noWrap/>
            <w:vAlign w:val="bottom"/>
          </w:tcPr>
          <w:p w:rsidR="00B32F59" w:rsidRPr="00A27E30" w:rsidRDefault="00B32F59" w:rsidP="00AF5719">
            <w:pPr>
              <w:rPr>
                <w:color w:val="000000"/>
                <w:szCs w:val="22"/>
                <w:lang w:val="en-US" w:eastAsia="nl-BE"/>
              </w:rPr>
            </w:pPr>
            <w:r w:rsidRPr="00A27E30">
              <w:rPr>
                <w:color w:val="000000"/>
                <w:szCs w:val="22"/>
                <w:lang w:val="en-US" w:eastAsia="nl-BE"/>
              </w:rPr>
              <w:t>NV OE-invest (National trust)</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en-US" w:eastAsia="nl-BE"/>
              </w:rPr>
            </w:pPr>
            <w:r w:rsidRPr="00A27E30">
              <w:rPr>
                <w:color w:val="000000"/>
                <w:szCs w:val="22"/>
                <w:lang w:val="en-US" w:eastAsia="nl-BE"/>
              </w:rPr>
              <w:t> </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5</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5</w:t>
            </w:r>
          </w:p>
        </w:tc>
      </w:tr>
      <w:tr w:rsidR="00B32F59" w:rsidRPr="00A27E30" w:rsidTr="00735791">
        <w:trPr>
          <w:trHeight w:val="299"/>
        </w:trPr>
        <w:tc>
          <w:tcPr>
            <w:tcW w:w="3214" w:type="dxa"/>
            <w:tcBorders>
              <w:top w:val="nil"/>
              <w:left w:val="single" w:sz="8" w:space="0" w:color="auto"/>
              <w:bottom w:val="nil"/>
              <w:right w:val="nil"/>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minderheidsparticipaties welzijn</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 </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5</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5</w:t>
            </w: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PMV vanuit prog EF</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3</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 </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 </w:t>
            </w:r>
          </w:p>
        </w:tc>
      </w:tr>
      <w:tr w:rsidR="00B32F59" w:rsidRPr="00A27E30" w:rsidTr="00735791">
        <w:trPr>
          <w:trHeight w:val="299"/>
        </w:trPr>
        <w:tc>
          <w:tcPr>
            <w:tcW w:w="3214" w:type="dxa"/>
            <w:tcBorders>
              <w:top w:val="nil"/>
              <w:left w:val="single" w:sz="8" w:space="0" w:color="auto"/>
              <w:bottom w:val="nil"/>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Budget 2012</w:t>
            </w:r>
          </w:p>
        </w:tc>
        <w:tc>
          <w:tcPr>
            <w:tcW w:w="1359" w:type="dxa"/>
            <w:tcBorders>
              <w:top w:val="nil"/>
              <w:left w:val="nil"/>
              <w:bottom w:val="nil"/>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 </w:t>
            </w:r>
          </w:p>
        </w:tc>
        <w:tc>
          <w:tcPr>
            <w:tcW w:w="850" w:type="dxa"/>
            <w:tcBorders>
              <w:top w:val="nil"/>
              <w:left w:val="single" w:sz="12" w:space="0" w:color="auto"/>
              <w:bottom w:val="nil"/>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75</w:t>
            </w:r>
          </w:p>
        </w:tc>
        <w:tc>
          <w:tcPr>
            <w:tcW w:w="851" w:type="dxa"/>
            <w:tcBorders>
              <w:top w:val="nil"/>
              <w:left w:val="nil"/>
              <w:bottom w:val="nil"/>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75</w:t>
            </w:r>
          </w:p>
        </w:tc>
      </w:tr>
      <w:tr w:rsidR="00B32F59" w:rsidRPr="00A27E30" w:rsidTr="00735791">
        <w:trPr>
          <w:trHeight w:val="314"/>
        </w:trPr>
        <w:tc>
          <w:tcPr>
            <w:tcW w:w="3214" w:type="dxa"/>
            <w:tcBorders>
              <w:top w:val="nil"/>
              <w:left w:val="single" w:sz="8" w:space="0" w:color="auto"/>
              <w:bottom w:val="double" w:sz="6" w:space="0" w:color="auto"/>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 </w:t>
            </w:r>
          </w:p>
        </w:tc>
        <w:tc>
          <w:tcPr>
            <w:tcW w:w="1359" w:type="dxa"/>
            <w:tcBorders>
              <w:top w:val="nil"/>
              <w:left w:val="nil"/>
              <w:bottom w:val="double" w:sz="6" w:space="0" w:color="auto"/>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 </w:t>
            </w:r>
          </w:p>
        </w:tc>
        <w:tc>
          <w:tcPr>
            <w:tcW w:w="850" w:type="dxa"/>
            <w:tcBorders>
              <w:top w:val="nil"/>
              <w:left w:val="single" w:sz="12" w:space="0" w:color="auto"/>
              <w:bottom w:val="double" w:sz="6" w:space="0" w:color="auto"/>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 </w:t>
            </w:r>
          </w:p>
        </w:tc>
        <w:tc>
          <w:tcPr>
            <w:tcW w:w="851" w:type="dxa"/>
            <w:tcBorders>
              <w:top w:val="nil"/>
              <w:left w:val="nil"/>
              <w:bottom w:val="double" w:sz="6" w:space="0" w:color="auto"/>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 </w:t>
            </w:r>
          </w:p>
        </w:tc>
      </w:tr>
      <w:tr w:rsidR="00B32F59" w:rsidRPr="00A27E30" w:rsidTr="00735791">
        <w:trPr>
          <w:trHeight w:val="329"/>
        </w:trPr>
        <w:tc>
          <w:tcPr>
            <w:tcW w:w="3214" w:type="dxa"/>
            <w:tcBorders>
              <w:top w:val="nil"/>
              <w:left w:val="single" w:sz="8" w:space="0" w:color="auto"/>
              <w:bottom w:val="single" w:sz="8" w:space="0" w:color="auto"/>
              <w:right w:val="single" w:sz="8" w:space="0" w:color="auto"/>
            </w:tcBorders>
            <w:noWrap/>
            <w:vAlign w:val="bottom"/>
          </w:tcPr>
          <w:p w:rsidR="00B32F59" w:rsidRPr="00A27E30" w:rsidRDefault="00B32F59" w:rsidP="00AF5719">
            <w:pPr>
              <w:rPr>
                <w:color w:val="000000"/>
                <w:szCs w:val="22"/>
                <w:lang w:val="nl-BE" w:eastAsia="nl-BE"/>
              </w:rPr>
            </w:pPr>
            <w:r w:rsidRPr="00A27E30">
              <w:rPr>
                <w:color w:val="000000"/>
                <w:szCs w:val="22"/>
                <w:lang w:val="nl-BE" w:eastAsia="nl-BE"/>
              </w:rPr>
              <w:t> Totaal</w:t>
            </w:r>
          </w:p>
        </w:tc>
        <w:tc>
          <w:tcPr>
            <w:tcW w:w="1359" w:type="dxa"/>
            <w:tcBorders>
              <w:top w:val="nil"/>
              <w:left w:val="nil"/>
              <w:bottom w:val="single" w:sz="8" w:space="0" w:color="auto"/>
              <w:right w:val="single" w:sz="12"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211</w:t>
            </w:r>
          </w:p>
        </w:tc>
        <w:tc>
          <w:tcPr>
            <w:tcW w:w="850" w:type="dxa"/>
            <w:tcBorders>
              <w:top w:val="nil"/>
              <w:left w:val="single" w:sz="12" w:space="0" w:color="auto"/>
              <w:bottom w:val="single" w:sz="8" w:space="0" w:color="auto"/>
              <w:right w:val="single" w:sz="4"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175</w:t>
            </w:r>
          </w:p>
        </w:tc>
        <w:tc>
          <w:tcPr>
            <w:tcW w:w="851" w:type="dxa"/>
            <w:tcBorders>
              <w:top w:val="nil"/>
              <w:left w:val="nil"/>
              <w:bottom w:val="single" w:sz="8" w:space="0" w:color="auto"/>
              <w:right w:val="single" w:sz="8" w:space="0" w:color="auto"/>
            </w:tcBorders>
            <w:noWrap/>
            <w:vAlign w:val="bottom"/>
          </w:tcPr>
          <w:p w:rsidR="00B32F59" w:rsidRPr="00A27E30" w:rsidRDefault="00B32F59" w:rsidP="00AF5719">
            <w:pPr>
              <w:jc w:val="center"/>
              <w:rPr>
                <w:color w:val="000000"/>
                <w:szCs w:val="22"/>
                <w:lang w:val="nl-BE" w:eastAsia="nl-BE"/>
              </w:rPr>
            </w:pPr>
            <w:r w:rsidRPr="00A27E30">
              <w:rPr>
                <w:color w:val="000000"/>
                <w:szCs w:val="22"/>
                <w:lang w:val="nl-BE" w:eastAsia="nl-BE"/>
              </w:rPr>
              <w:t>226</w:t>
            </w:r>
          </w:p>
        </w:tc>
      </w:tr>
    </w:tbl>
    <w:p w:rsidR="00B32F59" w:rsidRDefault="00B32F59" w:rsidP="00661B4F">
      <w:pPr>
        <w:tabs>
          <w:tab w:val="left" w:pos="284"/>
        </w:tabs>
        <w:rPr>
          <w:szCs w:val="22"/>
        </w:rPr>
      </w:pPr>
    </w:p>
    <w:p w:rsidR="00B32F59" w:rsidRDefault="00B32F59" w:rsidP="0086633E">
      <w:pPr>
        <w:tabs>
          <w:tab w:val="left" w:pos="142"/>
        </w:tabs>
        <w:ind w:left="720" w:hanging="360"/>
        <w:jc w:val="both"/>
        <w:rPr>
          <w:szCs w:val="22"/>
        </w:rPr>
      </w:pPr>
      <w:r>
        <w:rPr>
          <w:szCs w:val="22"/>
        </w:rPr>
        <w:t>b)</w:t>
      </w:r>
      <w:r>
        <w:rPr>
          <w:szCs w:val="22"/>
        </w:rPr>
        <w:tab/>
        <w:t xml:space="preserve">Het departement Financiën en Begroting maakt een inschatting van de kasbehoefte. Deze raming vertrekt vanuit de budgettaire afspraken gemaakt in het Regeerakkoord. Vanuit deze enveloppes wordt op basis van betaalschema’s in beslissingen van de Vlaamse Regering en eigen inschattingen de kasbehoefte geraamd ( (0) /50/50). </w:t>
      </w:r>
    </w:p>
    <w:p w:rsidR="00B32F59" w:rsidRDefault="00B32F59" w:rsidP="009B4016">
      <w:pPr>
        <w:tabs>
          <w:tab w:val="left" w:pos="142"/>
          <w:tab w:val="left" w:pos="567"/>
        </w:tabs>
        <w:ind w:left="426" w:hanging="426"/>
        <w:jc w:val="both"/>
        <w:rPr>
          <w:szCs w:val="22"/>
        </w:rPr>
      </w:pPr>
    </w:p>
    <w:p w:rsidR="00B32F59" w:rsidRDefault="00B32F59" w:rsidP="0086633E">
      <w:pPr>
        <w:tabs>
          <w:tab w:val="left" w:pos="142"/>
          <w:tab w:val="left" w:pos="567"/>
        </w:tabs>
        <w:ind w:left="720"/>
        <w:jc w:val="both"/>
        <w:rPr>
          <w:szCs w:val="22"/>
        </w:rPr>
      </w:pPr>
      <w:r>
        <w:rPr>
          <w:szCs w:val="22"/>
        </w:rPr>
        <w:t xml:space="preserve">De ramingen dienen steeds te worden aangepast. Dit kan omwille van verschillende redenen. Twee voorname redenen zijn: de participatie kan zijn uitgesteld, het financieel plan kan zijn aangepast. </w:t>
      </w:r>
    </w:p>
    <w:p w:rsidR="00B32F59" w:rsidRDefault="00B32F59" w:rsidP="00661B4F">
      <w:pPr>
        <w:tabs>
          <w:tab w:val="left" w:pos="284"/>
        </w:tabs>
        <w:rPr>
          <w:szCs w:val="22"/>
        </w:rPr>
      </w:pPr>
    </w:p>
    <w:p w:rsidR="00B32F59" w:rsidRDefault="00B32F59" w:rsidP="0086633E">
      <w:pPr>
        <w:numPr>
          <w:ilvl w:val="0"/>
          <w:numId w:val="6"/>
        </w:numPr>
        <w:tabs>
          <w:tab w:val="left" w:pos="426"/>
        </w:tabs>
        <w:rPr>
          <w:szCs w:val="22"/>
        </w:rPr>
      </w:pPr>
      <w:r>
        <w:rPr>
          <w:szCs w:val="22"/>
        </w:rPr>
        <w:t>Zie bovenstaande tabel.</w:t>
      </w:r>
    </w:p>
    <w:p w:rsidR="00B32F59" w:rsidRDefault="00B32F59" w:rsidP="00661B4F">
      <w:pPr>
        <w:tabs>
          <w:tab w:val="left" w:pos="284"/>
        </w:tabs>
        <w:rPr>
          <w:szCs w:val="22"/>
        </w:rPr>
      </w:pPr>
    </w:p>
    <w:p w:rsidR="00B32F59" w:rsidRDefault="00B32F59" w:rsidP="0086633E">
      <w:pPr>
        <w:numPr>
          <w:ilvl w:val="0"/>
          <w:numId w:val="6"/>
        </w:numPr>
        <w:tabs>
          <w:tab w:val="left" w:pos="360"/>
          <w:tab w:val="left" w:pos="720"/>
        </w:tabs>
        <w:ind w:left="720" w:hanging="720"/>
        <w:jc w:val="both"/>
        <w:rPr>
          <w:szCs w:val="22"/>
        </w:rPr>
      </w:pPr>
      <w:r>
        <w:rPr>
          <w:szCs w:val="22"/>
        </w:rPr>
        <w:t>a)</w:t>
      </w:r>
      <w:r>
        <w:rPr>
          <w:szCs w:val="22"/>
        </w:rPr>
        <w:tab/>
      </w:r>
      <w:r w:rsidRPr="00A27E30">
        <w:rPr>
          <w:szCs w:val="22"/>
        </w:rPr>
        <w:t>Meevallers 2011 die ten laste zullen komen van 2012 (op basis van het eindejaarsrapport uitvoeringsresultaten begroting 2011)</w:t>
      </w:r>
      <w:r>
        <w:rPr>
          <w:szCs w:val="22"/>
        </w:rPr>
        <w:t>.</w:t>
      </w:r>
    </w:p>
    <w:p w:rsidR="00B32F59" w:rsidRDefault="00B32F59" w:rsidP="00661B4F">
      <w:pPr>
        <w:tabs>
          <w:tab w:val="left" w:pos="284"/>
        </w:tabs>
        <w:rPr>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7"/>
        <w:gridCol w:w="5103"/>
      </w:tblGrid>
      <w:tr w:rsidR="00B32F59" w:rsidRPr="00A27E30" w:rsidTr="00083940">
        <w:tc>
          <w:tcPr>
            <w:tcW w:w="3357" w:type="dxa"/>
          </w:tcPr>
          <w:p w:rsidR="00B32F59" w:rsidRPr="00083940" w:rsidRDefault="00B32F59" w:rsidP="00083940">
            <w:pPr>
              <w:pStyle w:val="ListParagraph"/>
              <w:ind w:left="0"/>
              <w:jc w:val="both"/>
              <w:rPr>
                <w:rFonts w:ascii="Times New Roman" w:hAnsi="Times New Roman"/>
              </w:rPr>
            </w:pPr>
            <w:r w:rsidRPr="00083940">
              <w:rPr>
                <w:rFonts w:ascii="Times New Roman" w:hAnsi="Times New Roman"/>
              </w:rPr>
              <w:t>Provisie Binnenlands Bestuur en uitgaven ivm de verkiezingen van gemeente- en provincieraden 2012</w:t>
            </w:r>
          </w:p>
        </w:tc>
        <w:tc>
          <w:tcPr>
            <w:tcW w:w="5103" w:type="dxa"/>
          </w:tcPr>
          <w:p w:rsidR="00B32F59" w:rsidRPr="00083940" w:rsidRDefault="00B32F59" w:rsidP="00083940">
            <w:pPr>
              <w:pStyle w:val="ListParagraph"/>
              <w:ind w:left="0"/>
              <w:jc w:val="both"/>
              <w:rPr>
                <w:rFonts w:ascii="Times New Roman" w:hAnsi="Times New Roman"/>
              </w:rPr>
            </w:pPr>
            <w:r w:rsidRPr="00083940">
              <w:rPr>
                <w:rFonts w:ascii="Times New Roman" w:hAnsi="Times New Roman"/>
              </w:rPr>
              <w:t xml:space="preserve">38,7 miljoen euro van de voorziene kredieten werd niet aangewend. </w:t>
            </w:r>
          </w:p>
        </w:tc>
      </w:tr>
      <w:tr w:rsidR="00B32F59" w:rsidRPr="00A27E30" w:rsidTr="00083940">
        <w:tc>
          <w:tcPr>
            <w:tcW w:w="3357" w:type="dxa"/>
          </w:tcPr>
          <w:p w:rsidR="00B32F59" w:rsidRPr="00083940" w:rsidRDefault="00B32F59" w:rsidP="00083940">
            <w:pPr>
              <w:pStyle w:val="ListParagraph"/>
              <w:ind w:left="0"/>
              <w:jc w:val="both"/>
              <w:rPr>
                <w:rFonts w:ascii="Times New Roman" w:hAnsi="Times New Roman"/>
              </w:rPr>
            </w:pPr>
            <w:r w:rsidRPr="00083940">
              <w:rPr>
                <w:rFonts w:ascii="Times New Roman" w:hAnsi="Times New Roman"/>
              </w:rPr>
              <w:t>Provisie Werkgelegenheids- en Investeringsplan (WIP)</w:t>
            </w:r>
          </w:p>
        </w:tc>
        <w:tc>
          <w:tcPr>
            <w:tcW w:w="5103" w:type="dxa"/>
          </w:tcPr>
          <w:p w:rsidR="00B32F59" w:rsidRPr="00083940" w:rsidRDefault="00B32F59" w:rsidP="00083940">
            <w:pPr>
              <w:pStyle w:val="ListParagraph"/>
              <w:ind w:left="0"/>
              <w:jc w:val="both"/>
              <w:rPr>
                <w:rFonts w:ascii="Times New Roman" w:hAnsi="Times New Roman"/>
              </w:rPr>
            </w:pPr>
            <w:r w:rsidRPr="00083940">
              <w:rPr>
                <w:rFonts w:ascii="Times New Roman" w:hAnsi="Times New Roman"/>
              </w:rPr>
              <w:t xml:space="preserve">Provisie werd voor 8,1 miljoen euro niet benut door vertraging bij de verdere opstart van het plan. </w:t>
            </w:r>
          </w:p>
        </w:tc>
      </w:tr>
      <w:tr w:rsidR="00B32F59" w:rsidRPr="00A27E30" w:rsidTr="00083940">
        <w:tc>
          <w:tcPr>
            <w:tcW w:w="3357" w:type="dxa"/>
          </w:tcPr>
          <w:p w:rsidR="00B32F59" w:rsidRPr="00083940" w:rsidRDefault="00B32F59" w:rsidP="00083940">
            <w:pPr>
              <w:pStyle w:val="ListParagraph"/>
              <w:ind w:left="0"/>
              <w:jc w:val="both"/>
              <w:rPr>
                <w:rFonts w:ascii="Times New Roman" w:hAnsi="Times New Roman"/>
              </w:rPr>
            </w:pPr>
            <w:r w:rsidRPr="00083940">
              <w:rPr>
                <w:rFonts w:ascii="Times New Roman" w:hAnsi="Times New Roman"/>
              </w:rPr>
              <w:t>BAM</w:t>
            </w:r>
          </w:p>
        </w:tc>
        <w:tc>
          <w:tcPr>
            <w:tcW w:w="5103" w:type="dxa"/>
          </w:tcPr>
          <w:p w:rsidR="00B32F59" w:rsidRPr="00083940" w:rsidRDefault="00B32F59" w:rsidP="00083940">
            <w:pPr>
              <w:pStyle w:val="ListParagraph"/>
              <w:ind w:left="0"/>
              <w:jc w:val="both"/>
              <w:rPr>
                <w:rFonts w:ascii="Times New Roman" w:hAnsi="Times New Roman"/>
              </w:rPr>
            </w:pPr>
            <w:r w:rsidRPr="00083940">
              <w:rPr>
                <w:rFonts w:ascii="Times New Roman" w:hAnsi="Times New Roman"/>
              </w:rPr>
              <w:t xml:space="preserve">De impact van de BAM op het ESR-vorderingensaldo van de Vlaamse overheid blijft beperkt tot 6,1 miljoen euro in plaats van de bij de begrotingscontrole vooropgestelde 34,3 miljoen euro. 7,1 miljoen euro hiervan is te wijten aan hogere inkomsten uit retributies en beleggingen, de rest zijnde 21,1 miljoen euro is te wijten aan vertragingen bij studies, aankopen van gronden, investeringen en andere uitgaven </w:t>
            </w:r>
          </w:p>
        </w:tc>
      </w:tr>
      <w:tr w:rsidR="00B32F59" w:rsidRPr="00A27E30" w:rsidTr="00083940">
        <w:tc>
          <w:tcPr>
            <w:tcW w:w="3357" w:type="dxa"/>
          </w:tcPr>
          <w:p w:rsidR="00B32F59" w:rsidRPr="00083940" w:rsidRDefault="00B32F59" w:rsidP="00083940">
            <w:pPr>
              <w:pStyle w:val="ListParagraph"/>
              <w:ind w:left="0"/>
              <w:jc w:val="both"/>
              <w:rPr>
                <w:rFonts w:ascii="Times New Roman" w:hAnsi="Times New Roman"/>
              </w:rPr>
            </w:pPr>
            <w:r w:rsidRPr="00083940">
              <w:rPr>
                <w:rFonts w:ascii="Times New Roman" w:hAnsi="Times New Roman"/>
              </w:rPr>
              <w:t>FFEU</w:t>
            </w:r>
          </w:p>
        </w:tc>
        <w:tc>
          <w:tcPr>
            <w:tcW w:w="5103" w:type="dxa"/>
          </w:tcPr>
          <w:p w:rsidR="00B32F59" w:rsidRPr="00083940" w:rsidRDefault="00B32F59" w:rsidP="00083940">
            <w:pPr>
              <w:pStyle w:val="ListParagraph"/>
              <w:ind w:left="0"/>
              <w:jc w:val="both"/>
              <w:rPr>
                <w:rFonts w:ascii="Times New Roman" w:hAnsi="Times New Roman"/>
              </w:rPr>
            </w:pPr>
            <w:r w:rsidRPr="00083940">
              <w:rPr>
                <w:rFonts w:ascii="Times New Roman" w:hAnsi="Times New Roman"/>
              </w:rPr>
              <w:t xml:space="preserve">Bij het FFEU is er een niet-voorziene vertraging in de uitvoering van de projecten vastgesteld, wat aanleiding geeft tot een onderbenutting van 70 miljoen euro in 2011. </w:t>
            </w:r>
          </w:p>
        </w:tc>
      </w:tr>
    </w:tbl>
    <w:p w:rsidR="00B32F59" w:rsidRDefault="00B32F59" w:rsidP="00661B4F">
      <w:pPr>
        <w:tabs>
          <w:tab w:val="left" w:pos="284"/>
        </w:tabs>
        <w:rPr>
          <w:szCs w:val="22"/>
        </w:rPr>
      </w:pPr>
    </w:p>
    <w:p w:rsidR="00B32F59" w:rsidRDefault="00B32F59" w:rsidP="0086633E">
      <w:pPr>
        <w:tabs>
          <w:tab w:val="left" w:pos="720"/>
        </w:tabs>
        <w:ind w:left="720" w:hanging="360"/>
        <w:jc w:val="both"/>
        <w:rPr>
          <w:szCs w:val="22"/>
        </w:rPr>
      </w:pPr>
      <w:r>
        <w:rPr>
          <w:szCs w:val="22"/>
        </w:rPr>
        <w:t>b)</w:t>
      </w:r>
      <w:r>
        <w:rPr>
          <w:szCs w:val="22"/>
        </w:rPr>
        <w:tab/>
      </w:r>
      <w:r w:rsidRPr="00A27E30">
        <w:rPr>
          <w:szCs w:val="22"/>
        </w:rPr>
        <w:t>Welke van bovenvermelde posten werden reeds voorzien in BGO 2012?</w:t>
      </w:r>
    </w:p>
    <w:p w:rsidR="00B32F59" w:rsidRDefault="00B32F59" w:rsidP="00661B4F">
      <w:pPr>
        <w:tabs>
          <w:tab w:val="left" w:pos="284"/>
        </w:tabs>
        <w:rPr>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7"/>
        <w:gridCol w:w="5211"/>
      </w:tblGrid>
      <w:tr w:rsidR="00B32F59" w:rsidRPr="00A27E30" w:rsidTr="00083940">
        <w:tc>
          <w:tcPr>
            <w:tcW w:w="3357" w:type="dxa"/>
          </w:tcPr>
          <w:p w:rsidR="00B32F59" w:rsidRPr="00083940" w:rsidRDefault="00B32F59" w:rsidP="00083940">
            <w:pPr>
              <w:tabs>
                <w:tab w:val="left" w:pos="284"/>
              </w:tabs>
              <w:rPr>
                <w:szCs w:val="22"/>
                <w:lang w:val="nl-BE"/>
              </w:rPr>
            </w:pPr>
            <w:r w:rsidRPr="00083940">
              <w:rPr>
                <w:szCs w:val="22"/>
                <w:lang w:val="nl-BE"/>
              </w:rPr>
              <w:t>Provisie Binnenlands Bestuur en uitgaven ivm de verkiezingen van gemeente- en provincieraden 2012</w:t>
            </w:r>
          </w:p>
        </w:tc>
        <w:tc>
          <w:tcPr>
            <w:tcW w:w="5211" w:type="dxa"/>
          </w:tcPr>
          <w:p w:rsidR="00B32F59" w:rsidRPr="00083940" w:rsidRDefault="00B32F59" w:rsidP="00083940">
            <w:pPr>
              <w:tabs>
                <w:tab w:val="left" w:pos="284"/>
              </w:tabs>
              <w:rPr>
                <w:szCs w:val="22"/>
                <w:lang w:val="nl-BE"/>
              </w:rPr>
            </w:pPr>
            <w:r w:rsidRPr="00083940">
              <w:rPr>
                <w:szCs w:val="22"/>
                <w:lang w:val="nl-BE"/>
              </w:rPr>
              <w:t>De 38,7 miljoen euro die niet aangewend werd in 2011, werd via een ruiter overgedragen naar 2012. De uitgaven die via deze ruiterbepaling worden betaald, werden nog niet meegerekend in de berekening van het ESR-vorderingensaldo BGO 2012. Een bijkomende belasting van de begroting 2012 is m.a.w. te verwachten. Hierbij dient evenwel gemeld dat er in elke begrotingsuitvoering effecten zijn van ruiterwerking van vorige jaren.</w:t>
            </w:r>
          </w:p>
        </w:tc>
      </w:tr>
      <w:tr w:rsidR="00B32F59" w:rsidRPr="00A27E30" w:rsidTr="00083940">
        <w:tc>
          <w:tcPr>
            <w:tcW w:w="3357" w:type="dxa"/>
          </w:tcPr>
          <w:p w:rsidR="00B32F59" w:rsidRPr="00083940" w:rsidRDefault="00B32F59" w:rsidP="00083940">
            <w:pPr>
              <w:tabs>
                <w:tab w:val="left" w:pos="284"/>
              </w:tabs>
              <w:rPr>
                <w:szCs w:val="22"/>
                <w:lang w:val="nl-BE"/>
              </w:rPr>
            </w:pPr>
            <w:r w:rsidRPr="00083940">
              <w:rPr>
                <w:szCs w:val="22"/>
                <w:lang w:val="nl-BE"/>
              </w:rPr>
              <w:t>Provisie Werkgelegenheids- en Investeringsplan (WIP)</w:t>
            </w:r>
          </w:p>
        </w:tc>
        <w:tc>
          <w:tcPr>
            <w:tcW w:w="5211" w:type="dxa"/>
          </w:tcPr>
          <w:p w:rsidR="00B32F59" w:rsidRPr="00083940" w:rsidRDefault="00B32F59" w:rsidP="00083940">
            <w:pPr>
              <w:tabs>
                <w:tab w:val="left" w:pos="284"/>
              </w:tabs>
              <w:rPr>
                <w:szCs w:val="22"/>
                <w:lang w:val="nl-BE"/>
              </w:rPr>
            </w:pPr>
            <w:r w:rsidRPr="00083940">
              <w:rPr>
                <w:szCs w:val="22"/>
                <w:lang w:val="nl-BE"/>
              </w:rPr>
              <w:t xml:space="preserve">De 8,1 miljoen euro die niet aangewend werd in 2011, werd via een ruiter overgedragen naar 2012 maar werd nog niet meegerekend in de berekening van het ESR-vorderingensaldo BGO 2012. </w:t>
            </w:r>
          </w:p>
        </w:tc>
      </w:tr>
      <w:tr w:rsidR="00B32F59" w:rsidRPr="00A27E30" w:rsidTr="00083940">
        <w:tc>
          <w:tcPr>
            <w:tcW w:w="3357" w:type="dxa"/>
          </w:tcPr>
          <w:p w:rsidR="00B32F59" w:rsidRPr="00083940" w:rsidRDefault="00B32F59" w:rsidP="00083940">
            <w:pPr>
              <w:tabs>
                <w:tab w:val="left" w:pos="284"/>
              </w:tabs>
              <w:rPr>
                <w:szCs w:val="22"/>
                <w:lang w:val="nl-BE"/>
              </w:rPr>
            </w:pPr>
            <w:r w:rsidRPr="00083940">
              <w:rPr>
                <w:szCs w:val="22"/>
                <w:lang w:val="nl-BE"/>
              </w:rPr>
              <w:t>BAM</w:t>
            </w:r>
          </w:p>
        </w:tc>
        <w:tc>
          <w:tcPr>
            <w:tcW w:w="5211" w:type="dxa"/>
          </w:tcPr>
          <w:p w:rsidR="00B32F59" w:rsidRPr="00083940" w:rsidRDefault="00B32F59" w:rsidP="00083940">
            <w:pPr>
              <w:tabs>
                <w:tab w:val="left" w:pos="284"/>
              </w:tabs>
              <w:rPr>
                <w:szCs w:val="22"/>
                <w:lang w:val="nl-BE"/>
              </w:rPr>
            </w:pPr>
            <w:r w:rsidRPr="00083940">
              <w:rPr>
                <w:szCs w:val="22"/>
                <w:lang w:val="nl-BE"/>
              </w:rPr>
              <w:t xml:space="preserve">De 21,1 miljoen euro aan vertragingen in investeringen in 2011 worden doorgeschoven naar 2012. Door deze vertragingen zullen ook andere investeringen die oorspronkelijk voorzien waren voor 2012 vertraging oplopen en doorgeschoven worden naar 2013. Dit betekent dus geen of een beperkte bijkomende belasting voor de begroting 2012. </w:t>
            </w:r>
          </w:p>
        </w:tc>
      </w:tr>
      <w:tr w:rsidR="00B32F59" w:rsidRPr="00A27E30" w:rsidTr="00083940">
        <w:tc>
          <w:tcPr>
            <w:tcW w:w="3357" w:type="dxa"/>
          </w:tcPr>
          <w:p w:rsidR="00B32F59" w:rsidRPr="00083940" w:rsidRDefault="00B32F59" w:rsidP="00083940">
            <w:pPr>
              <w:tabs>
                <w:tab w:val="left" w:pos="284"/>
              </w:tabs>
              <w:rPr>
                <w:szCs w:val="22"/>
                <w:lang w:val="nl-BE"/>
              </w:rPr>
            </w:pPr>
            <w:r w:rsidRPr="00083940">
              <w:rPr>
                <w:szCs w:val="22"/>
                <w:lang w:val="nl-BE"/>
              </w:rPr>
              <w:t>FFEU</w:t>
            </w:r>
          </w:p>
        </w:tc>
        <w:tc>
          <w:tcPr>
            <w:tcW w:w="5211" w:type="dxa"/>
          </w:tcPr>
          <w:p w:rsidR="00B32F59" w:rsidRPr="00083940" w:rsidRDefault="00B32F59" w:rsidP="00083940">
            <w:pPr>
              <w:tabs>
                <w:tab w:val="left" w:pos="284"/>
              </w:tabs>
              <w:rPr>
                <w:szCs w:val="22"/>
                <w:lang w:val="nl-BE"/>
              </w:rPr>
            </w:pPr>
            <w:r w:rsidRPr="00083940">
              <w:rPr>
                <w:szCs w:val="22"/>
                <w:lang w:val="nl-BE"/>
              </w:rPr>
              <w:t>De 70 miljoen euro onderbenutting in 2011 zorgt niet noodzakelijk voor een zelfde bedrag aan overbenutting in 2012 want bepaalde projecten waarvan vereffening voorzien was in 2012, zullen normaliter ook pas in 2013 worden vereffend. Dit betekent dus geen of een beperkte bijkomende belasting voor de begroting 2012.</w:t>
            </w:r>
          </w:p>
        </w:tc>
      </w:tr>
    </w:tbl>
    <w:p w:rsidR="00B32F59" w:rsidRDefault="00B32F59" w:rsidP="00661B4F">
      <w:pPr>
        <w:tabs>
          <w:tab w:val="left" w:pos="284"/>
        </w:tabs>
        <w:rPr>
          <w:szCs w:val="22"/>
        </w:rPr>
      </w:pPr>
    </w:p>
    <w:p w:rsidR="00B32F59" w:rsidRDefault="00B32F59" w:rsidP="0086633E">
      <w:pPr>
        <w:numPr>
          <w:ilvl w:val="0"/>
          <w:numId w:val="6"/>
        </w:numPr>
        <w:tabs>
          <w:tab w:val="left" w:pos="426"/>
        </w:tabs>
        <w:jc w:val="both"/>
        <w:rPr>
          <w:szCs w:val="22"/>
        </w:rPr>
      </w:pPr>
      <w:r>
        <w:rPr>
          <w:szCs w:val="22"/>
        </w:rPr>
        <w:t xml:space="preserve">Naast de algemene instelling om ontvangsten voorzichtig te ramen, zijn er nog twee grote elementen die de extra ontvangsten verklaren. Enerzijds heeft het Vlaamse Gewest ingevolge het waarborgen van de kredieten van de Gemeentelijke Holding 3,3 miljoen euro ontvangen. Verder is de opname van een deel van de leningsmachtiging van de VMSW 2010 pas in 2011 effectief opgenomen en bijgevolg is de premie pas betaald in 2011. Dit laatste heeft een meerontvangst betekent van 3,8 miljoen euro. </w:t>
      </w:r>
    </w:p>
    <w:sectPr w:rsidR="00B32F59"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F59" w:rsidRDefault="00B32F59">
      <w:r>
        <w:separator/>
      </w:r>
    </w:p>
  </w:endnote>
  <w:endnote w:type="continuationSeparator" w:id="0">
    <w:p w:rsidR="00B32F59" w:rsidRDefault="00B3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F59" w:rsidRDefault="00B32F59">
      <w:r>
        <w:separator/>
      </w:r>
    </w:p>
  </w:footnote>
  <w:footnote w:type="continuationSeparator" w:id="0">
    <w:p w:rsidR="00B32F59" w:rsidRDefault="00B32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A65"/>
    <w:multiLevelType w:val="hybridMultilevel"/>
    <w:tmpl w:val="71B0EB4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4F14079"/>
    <w:multiLevelType w:val="hybridMultilevel"/>
    <w:tmpl w:val="0EAADA18"/>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38EF577E"/>
    <w:multiLevelType w:val="hybridMultilevel"/>
    <w:tmpl w:val="77CA02B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5">
    <w:nsid w:val="638A72FB"/>
    <w:multiLevelType w:val="multilevel"/>
    <w:tmpl w:val="D726528C"/>
    <w:lvl w:ilvl="0">
      <w:start w:val="1"/>
      <w:numFmt w:val="bullet"/>
      <w:pStyle w:val="GIS-Opsomming"/>
      <w:lvlText w:val="-"/>
      <w:lvlJc w:val="left"/>
      <w:pPr>
        <w:tabs>
          <w:tab w:val="num" w:pos="700"/>
        </w:tabs>
        <w:ind w:left="680" w:hanging="340"/>
      </w:pPr>
      <w:rPr>
        <w:rFonts w:ascii="Times New Roman" w:hint="default"/>
      </w:rPr>
    </w:lvl>
    <w:lvl w:ilvl="1">
      <w:start w:val="1"/>
      <w:numFmt w:val="bullet"/>
      <w:lvlText w:val="·"/>
      <w:lvlJc w:val="left"/>
      <w:pPr>
        <w:tabs>
          <w:tab w:val="num" w:pos="1381"/>
        </w:tabs>
        <w:ind w:left="1361" w:hanging="34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4AD4"/>
    <w:rsid w:val="00011AA3"/>
    <w:rsid w:val="00014048"/>
    <w:rsid w:val="00015BF7"/>
    <w:rsid w:val="00042574"/>
    <w:rsid w:val="00060CAF"/>
    <w:rsid w:val="000704E0"/>
    <w:rsid w:val="0007433E"/>
    <w:rsid w:val="00077CB6"/>
    <w:rsid w:val="00083940"/>
    <w:rsid w:val="0008772E"/>
    <w:rsid w:val="00092E90"/>
    <w:rsid w:val="000976E9"/>
    <w:rsid w:val="000C2BF2"/>
    <w:rsid w:val="000C4E8C"/>
    <w:rsid w:val="000E0169"/>
    <w:rsid w:val="000F3532"/>
    <w:rsid w:val="000F457E"/>
    <w:rsid w:val="00113D30"/>
    <w:rsid w:val="00115A86"/>
    <w:rsid w:val="00117812"/>
    <w:rsid w:val="00125D34"/>
    <w:rsid w:val="001324A1"/>
    <w:rsid w:val="001403CE"/>
    <w:rsid w:val="00162ED2"/>
    <w:rsid w:val="00175898"/>
    <w:rsid w:val="00176EA8"/>
    <w:rsid w:val="0018437F"/>
    <w:rsid w:val="001C385B"/>
    <w:rsid w:val="001C6D2A"/>
    <w:rsid w:val="001C767D"/>
    <w:rsid w:val="00210C07"/>
    <w:rsid w:val="002200AB"/>
    <w:rsid w:val="0029398C"/>
    <w:rsid w:val="00294923"/>
    <w:rsid w:val="002A7BA2"/>
    <w:rsid w:val="002B5D7E"/>
    <w:rsid w:val="002E7950"/>
    <w:rsid w:val="0031095D"/>
    <w:rsid w:val="00326A58"/>
    <w:rsid w:val="003568BA"/>
    <w:rsid w:val="00357979"/>
    <w:rsid w:val="00365143"/>
    <w:rsid w:val="003750AC"/>
    <w:rsid w:val="003C33C2"/>
    <w:rsid w:val="003D4A9C"/>
    <w:rsid w:val="00414B2D"/>
    <w:rsid w:val="00432AB7"/>
    <w:rsid w:val="00436455"/>
    <w:rsid w:val="004809DA"/>
    <w:rsid w:val="004B2A99"/>
    <w:rsid w:val="004C133F"/>
    <w:rsid w:val="004C1A8D"/>
    <w:rsid w:val="004E548B"/>
    <w:rsid w:val="005153A3"/>
    <w:rsid w:val="00542EC1"/>
    <w:rsid w:val="00586236"/>
    <w:rsid w:val="005B50D5"/>
    <w:rsid w:val="005B757C"/>
    <w:rsid w:val="005D17E7"/>
    <w:rsid w:val="005D4660"/>
    <w:rsid w:val="005E38CA"/>
    <w:rsid w:val="005F3B71"/>
    <w:rsid w:val="00601D11"/>
    <w:rsid w:val="00601D2F"/>
    <w:rsid w:val="006021A3"/>
    <w:rsid w:val="006114D8"/>
    <w:rsid w:val="00613AA2"/>
    <w:rsid w:val="006260E2"/>
    <w:rsid w:val="00651548"/>
    <w:rsid w:val="00654FD9"/>
    <w:rsid w:val="0066033D"/>
    <w:rsid w:val="00661B4F"/>
    <w:rsid w:val="006707D0"/>
    <w:rsid w:val="00686AA2"/>
    <w:rsid w:val="006A5636"/>
    <w:rsid w:val="006A653D"/>
    <w:rsid w:val="006B7E6F"/>
    <w:rsid w:val="006C5EEB"/>
    <w:rsid w:val="006E0A01"/>
    <w:rsid w:val="006E2F76"/>
    <w:rsid w:val="007103D2"/>
    <w:rsid w:val="0071248C"/>
    <w:rsid w:val="00713A9F"/>
    <w:rsid w:val="007252C7"/>
    <w:rsid w:val="00735791"/>
    <w:rsid w:val="00747203"/>
    <w:rsid w:val="0077575B"/>
    <w:rsid w:val="0078256A"/>
    <w:rsid w:val="007927A3"/>
    <w:rsid w:val="007B0BDB"/>
    <w:rsid w:val="007B21BB"/>
    <w:rsid w:val="007C7B7A"/>
    <w:rsid w:val="007D0E2A"/>
    <w:rsid w:val="007D2CE5"/>
    <w:rsid w:val="007D3128"/>
    <w:rsid w:val="00806962"/>
    <w:rsid w:val="008112DC"/>
    <w:rsid w:val="008241FD"/>
    <w:rsid w:val="00826146"/>
    <w:rsid w:val="00834D15"/>
    <w:rsid w:val="00851FDB"/>
    <w:rsid w:val="0086633E"/>
    <w:rsid w:val="00871667"/>
    <w:rsid w:val="00873C65"/>
    <w:rsid w:val="008C6DDB"/>
    <w:rsid w:val="008D5DB4"/>
    <w:rsid w:val="009058B7"/>
    <w:rsid w:val="00924130"/>
    <w:rsid w:val="00925746"/>
    <w:rsid w:val="00941C06"/>
    <w:rsid w:val="00944B1F"/>
    <w:rsid w:val="00947E8A"/>
    <w:rsid w:val="00953DDC"/>
    <w:rsid w:val="00954DC8"/>
    <w:rsid w:val="009663B8"/>
    <w:rsid w:val="00990DDA"/>
    <w:rsid w:val="0099419F"/>
    <w:rsid w:val="00995BF9"/>
    <w:rsid w:val="009A0634"/>
    <w:rsid w:val="009B4016"/>
    <w:rsid w:val="009C2AA0"/>
    <w:rsid w:val="009D6AD7"/>
    <w:rsid w:val="009D7043"/>
    <w:rsid w:val="009D763F"/>
    <w:rsid w:val="009F23E3"/>
    <w:rsid w:val="009F5B1B"/>
    <w:rsid w:val="009F5FD8"/>
    <w:rsid w:val="009F6360"/>
    <w:rsid w:val="00A075B3"/>
    <w:rsid w:val="00A10835"/>
    <w:rsid w:val="00A21360"/>
    <w:rsid w:val="00A27E30"/>
    <w:rsid w:val="00A737E8"/>
    <w:rsid w:val="00A81356"/>
    <w:rsid w:val="00A9424B"/>
    <w:rsid w:val="00A947B3"/>
    <w:rsid w:val="00AC5183"/>
    <w:rsid w:val="00AC572C"/>
    <w:rsid w:val="00AD6E12"/>
    <w:rsid w:val="00AE58C0"/>
    <w:rsid w:val="00AF1FF0"/>
    <w:rsid w:val="00AF5719"/>
    <w:rsid w:val="00B05DD7"/>
    <w:rsid w:val="00B06E13"/>
    <w:rsid w:val="00B233AB"/>
    <w:rsid w:val="00B32F59"/>
    <w:rsid w:val="00B417DF"/>
    <w:rsid w:val="00B45EB2"/>
    <w:rsid w:val="00B51A62"/>
    <w:rsid w:val="00B523F1"/>
    <w:rsid w:val="00B65213"/>
    <w:rsid w:val="00B65D8D"/>
    <w:rsid w:val="00BA4671"/>
    <w:rsid w:val="00BC4515"/>
    <w:rsid w:val="00BE425A"/>
    <w:rsid w:val="00C12557"/>
    <w:rsid w:val="00C16D61"/>
    <w:rsid w:val="00C23819"/>
    <w:rsid w:val="00C51D62"/>
    <w:rsid w:val="00C647BD"/>
    <w:rsid w:val="00C83DE3"/>
    <w:rsid w:val="00C93043"/>
    <w:rsid w:val="00C94C4A"/>
    <w:rsid w:val="00CA45DB"/>
    <w:rsid w:val="00CB4454"/>
    <w:rsid w:val="00CE1D4A"/>
    <w:rsid w:val="00CE6203"/>
    <w:rsid w:val="00CF525E"/>
    <w:rsid w:val="00CF6877"/>
    <w:rsid w:val="00D03C03"/>
    <w:rsid w:val="00D06C22"/>
    <w:rsid w:val="00D13702"/>
    <w:rsid w:val="00D20DEB"/>
    <w:rsid w:val="00D22D52"/>
    <w:rsid w:val="00D30EAF"/>
    <w:rsid w:val="00D41ABB"/>
    <w:rsid w:val="00D65ABD"/>
    <w:rsid w:val="00D71D99"/>
    <w:rsid w:val="00D754F2"/>
    <w:rsid w:val="00D84C17"/>
    <w:rsid w:val="00D861C5"/>
    <w:rsid w:val="00DB41C0"/>
    <w:rsid w:val="00DB6963"/>
    <w:rsid w:val="00DC32B0"/>
    <w:rsid w:val="00DC4DB6"/>
    <w:rsid w:val="00DD4121"/>
    <w:rsid w:val="00DF25FE"/>
    <w:rsid w:val="00E13862"/>
    <w:rsid w:val="00E17D06"/>
    <w:rsid w:val="00E2762E"/>
    <w:rsid w:val="00E31F4D"/>
    <w:rsid w:val="00E55200"/>
    <w:rsid w:val="00E663EC"/>
    <w:rsid w:val="00E863F5"/>
    <w:rsid w:val="00E91F34"/>
    <w:rsid w:val="00E97B78"/>
    <w:rsid w:val="00EA0884"/>
    <w:rsid w:val="00EB1AA4"/>
    <w:rsid w:val="00EC490B"/>
    <w:rsid w:val="00EE566C"/>
    <w:rsid w:val="00EF6337"/>
    <w:rsid w:val="00F41B70"/>
    <w:rsid w:val="00F50C62"/>
    <w:rsid w:val="00F57E48"/>
    <w:rsid w:val="00F77692"/>
    <w:rsid w:val="00FA29D6"/>
    <w:rsid w:val="00FD0F82"/>
    <w:rsid w:val="00FD5BF4"/>
    <w:rsid w:val="00FE07BB"/>
    <w:rsid w:val="00FE2F02"/>
    <w:rsid w:val="00FE46C9"/>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5AC"/>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A155AC"/>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A155AC"/>
    <w:rPr>
      <w:rFonts w:asciiTheme="majorHAnsi" w:eastAsiaTheme="majorEastAsia" w:hAnsiTheme="majorHAnsi" w:cstheme="majorBidi"/>
      <w:b/>
      <w:bCs/>
      <w:sz w:val="26"/>
      <w:szCs w:val="26"/>
      <w:lang w:val="nl-NL" w:eastAsia="nl-NL"/>
    </w:rPr>
  </w:style>
  <w:style w:type="paragraph" w:customStyle="1" w:styleId="GIS-Opsomming">
    <w:name w:val="GIS - Opsomming"/>
    <w:basedOn w:val="Heading1"/>
    <w:uiPriority w:val="99"/>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A155AC"/>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7D31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D3128"/>
    <w:rPr>
      <w:sz w:val="20"/>
      <w:szCs w:val="20"/>
    </w:rPr>
  </w:style>
  <w:style w:type="character" w:customStyle="1" w:styleId="FootnoteTextChar">
    <w:name w:val="Footnote Text Char"/>
    <w:basedOn w:val="DefaultParagraphFont"/>
    <w:link w:val="FootnoteText"/>
    <w:uiPriority w:val="99"/>
    <w:semiHidden/>
    <w:rsid w:val="00A155AC"/>
    <w:rPr>
      <w:sz w:val="20"/>
      <w:szCs w:val="20"/>
      <w:lang w:val="nl-NL" w:eastAsia="nl-NL"/>
    </w:rPr>
  </w:style>
  <w:style w:type="character" w:styleId="FootnoteReference">
    <w:name w:val="footnote reference"/>
    <w:basedOn w:val="DefaultParagraphFont"/>
    <w:uiPriority w:val="99"/>
    <w:rsid w:val="007D3128"/>
    <w:rPr>
      <w:rFonts w:cs="Times New Roman"/>
      <w:vertAlign w:val="superscript"/>
    </w:rPr>
  </w:style>
  <w:style w:type="paragraph" w:styleId="BalloonText">
    <w:name w:val="Balloon Text"/>
    <w:basedOn w:val="Normal"/>
    <w:link w:val="BalloonTextChar"/>
    <w:uiPriority w:val="99"/>
    <w:semiHidden/>
    <w:rsid w:val="007D3128"/>
    <w:rPr>
      <w:rFonts w:ascii="Tahoma" w:hAnsi="Tahoma" w:cs="Tahoma"/>
      <w:sz w:val="16"/>
      <w:szCs w:val="16"/>
    </w:rPr>
  </w:style>
  <w:style w:type="character" w:customStyle="1" w:styleId="BalloonTextChar">
    <w:name w:val="Balloon Text Char"/>
    <w:basedOn w:val="DefaultParagraphFont"/>
    <w:link w:val="BalloonText"/>
    <w:uiPriority w:val="99"/>
    <w:semiHidden/>
    <w:rsid w:val="00A155AC"/>
    <w:rPr>
      <w:sz w:val="0"/>
      <w:szCs w:val="0"/>
      <w:lang w:val="nl-NL" w:eastAsia="nl-NL"/>
    </w:rPr>
  </w:style>
  <w:style w:type="paragraph" w:styleId="DocumentMap">
    <w:name w:val="Document Map"/>
    <w:basedOn w:val="Normal"/>
    <w:link w:val="DocumentMapChar"/>
    <w:uiPriority w:val="99"/>
    <w:semiHidden/>
    <w:rsid w:val="005862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155AC"/>
    <w:rPr>
      <w:sz w:val="0"/>
      <w:szCs w:val="0"/>
      <w:lang w:val="nl-NL" w:eastAsia="nl-NL"/>
    </w:rPr>
  </w:style>
  <w:style w:type="paragraph" w:styleId="NoSpacing">
    <w:name w:val="No Spacing"/>
    <w:basedOn w:val="Normal"/>
    <w:uiPriority w:val="99"/>
    <w:qFormat/>
    <w:rsid w:val="00661B4F"/>
    <w:rPr>
      <w:szCs w:val="22"/>
      <w:lang w:val="nl-BE" w:eastAsia="nl-BE"/>
    </w:rPr>
  </w:style>
  <w:style w:type="paragraph" w:styleId="ListParagraph">
    <w:name w:val="List Paragraph"/>
    <w:basedOn w:val="Normal"/>
    <w:uiPriority w:val="99"/>
    <w:qFormat/>
    <w:rsid w:val="00A27E30"/>
    <w:pPr>
      <w:spacing w:after="200" w:line="276" w:lineRule="auto"/>
      <w:ind w:left="720"/>
      <w:contextualSpacing/>
    </w:pPr>
    <w:rPr>
      <w:rFonts w:ascii="Calibri" w:hAnsi="Calibri"/>
      <w:szCs w:val="22"/>
      <w:lang w:val="nl-BE" w:eastAsia="en-US"/>
    </w:rPr>
  </w:style>
</w:styles>
</file>

<file path=word/webSettings.xml><?xml version="1.0" encoding="utf-8"?>
<w:webSettings xmlns:r="http://schemas.openxmlformats.org/officeDocument/2006/relationships" xmlns:w="http://schemas.openxmlformats.org/wordprocessingml/2006/main">
  <w:divs>
    <w:div w:id="1763454699">
      <w:marLeft w:val="0"/>
      <w:marRight w:val="0"/>
      <w:marTop w:val="0"/>
      <w:marBottom w:val="0"/>
      <w:divBdr>
        <w:top w:val="none" w:sz="0" w:space="0" w:color="auto"/>
        <w:left w:val="none" w:sz="0" w:space="0" w:color="auto"/>
        <w:bottom w:val="none" w:sz="0" w:space="0" w:color="auto"/>
        <w:right w:val="none" w:sz="0" w:space="0" w:color="auto"/>
      </w:divBdr>
    </w:div>
    <w:div w:id="1763454700">
      <w:marLeft w:val="0"/>
      <w:marRight w:val="0"/>
      <w:marTop w:val="0"/>
      <w:marBottom w:val="0"/>
      <w:divBdr>
        <w:top w:val="none" w:sz="0" w:space="0" w:color="auto"/>
        <w:left w:val="none" w:sz="0" w:space="0" w:color="auto"/>
        <w:bottom w:val="none" w:sz="0" w:space="0" w:color="auto"/>
        <w:right w:val="none" w:sz="0" w:space="0" w:color="auto"/>
      </w:divBdr>
    </w:div>
    <w:div w:id="1763454701">
      <w:marLeft w:val="0"/>
      <w:marRight w:val="0"/>
      <w:marTop w:val="0"/>
      <w:marBottom w:val="0"/>
      <w:divBdr>
        <w:top w:val="none" w:sz="0" w:space="0" w:color="auto"/>
        <w:left w:val="none" w:sz="0" w:space="0" w:color="auto"/>
        <w:bottom w:val="none" w:sz="0" w:space="0" w:color="auto"/>
        <w:right w:val="none" w:sz="0" w:space="0" w:color="auto"/>
      </w:divBdr>
    </w:div>
    <w:div w:id="1763454702">
      <w:marLeft w:val="0"/>
      <w:marRight w:val="0"/>
      <w:marTop w:val="0"/>
      <w:marBottom w:val="0"/>
      <w:divBdr>
        <w:top w:val="none" w:sz="0" w:space="0" w:color="auto"/>
        <w:left w:val="none" w:sz="0" w:space="0" w:color="auto"/>
        <w:bottom w:val="none" w:sz="0" w:space="0" w:color="auto"/>
        <w:right w:val="none" w:sz="0" w:space="0" w:color="auto"/>
      </w:divBdr>
    </w:div>
    <w:div w:id="1763454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3</Pages>
  <Words>707</Words>
  <Characters>3890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2012-02-09T15:51:00Z</cp:lastPrinted>
  <dcterms:created xsi:type="dcterms:W3CDTF">2012-02-09T15:51:00Z</dcterms:created>
  <dcterms:modified xsi:type="dcterms:W3CDTF">2012-02-13T08:45:00Z</dcterms:modified>
</cp:coreProperties>
</file>