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34436" w:rsidRPr="00DD4121" w:rsidRDefault="00D3443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D34436" w:rsidRPr="00015BF7" w:rsidRDefault="00D34436"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D34436" w:rsidRPr="00015BF7" w:rsidRDefault="00D34436" w:rsidP="000976E9">
      <w:pPr>
        <w:rPr>
          <w:szCs w:val="22"/>
        </w:rPr>
      </w:pPr>
    </w:p>
    <w:p w:rsidR="00D34436" w:rsidRPr="00DB41C0" w:rsidRDefault="00D34436" w:rsidP="000976E9">
      <w:pPr>
        <w:pStyle w:val="A-Lijn"/>
      </w:pPr>
    </w:p>
    <w:p w:rsidR="00D34436" w:rsidRDefault="00D34436" w:rsidP="000976E9">
      <w:pPr>
        <w:pStyle w:val="A-Type"/>
        <w:sectPr w:rsidR="00D34436">
          <w:pgSz w:w="11906" w:h="16838"/>
          <w:pgMar w:top="1417" w:right="1417" w:bottom="1417" w:left="1417" w:header="708" w:footer="708" w:gutter="0"/>
          <w:cols w:space="708"/>
          <w:rtlGutter/>
          <w:docGrid w:linePitch="360"/>
        </w:sectPr>
      </w:pPr>
    </w:p>
    <w:p w:rsidR="00D34436" w:rsidRDefault="00D34436" w:rsidP="000976E9">
      <w:pPr>
        <w:pStyle w:val="A-Type"/>
        <w:sectPr w:rsidR="00D34436" w:rsidSect="000976E9">
          <w:type w:val="continuous"/>
          <w:pgSz w:w="11906" w:h="16838"/>
          <w:pgMar w:top="1417" w:right="1417" w:bottom="1417" w:left="1417" w:header="708" w:footer="708" w:gutter="0"/>
          <w:cols w:space="708"/>
          <w:formProt w:val="0"/>
          <w:docGrid w:linePitch="360"/>
        </w:sectPr>
      </w:pPr>
      <w:r>
        <w:t>aanvullend gecoördineerd a</w:t>
      </w:r>
      <w:r w:rsidRPr="00E31F4D">
        <w:t>ntwoord</w:t>
      </w:r>
    </w:p>
    <w:p w:rsidR="00D34436" w:rsidRPr="00326A58" w:rsidRDefault="00D34436"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187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D34436" w:rsidRDefault="00D34436"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ann brusseel</w:t>
      </w:r>
      <w:r w:rsidRPr="009D7043">
        <w:rPr>
          <w:rStyle w:val="AntwoordNaamMinisterChar"/>
          <w:sz w:val="22"/>
        </w:rPr>
        <w:fldChar w:fldCharType="end"/>
      </w:r>
    </w:p>
    <w:p w:rsidR="00D34436" w:rsidRPr="00015BF7" w:rsidRDefault="00D34436" w:rsidP="000976E9">
      <w:pPr>
        <w:rPr>
          <w:szCs w:val="22"/>
        </w:rPr>
      </w:pPr>
    </w:p>
    <w:p w:rsidR="00D34436" w:rsidRPr="00DB41C0" w:rsidRDefault="00D34436" w:rsidP="000976E9">
      <w:pPr>
        <w:pStyle w:val="A-Lijn"/>
      </w:pPr>
    </w:p>
    <w:p w:rsidR="00D34436" w:rsidRPr="00DB41C0" w:rsidRDefault="00D34436" w:rsidP="000976E9">
      <w:pPr>
        <w:pStyle w:val="A-Lijn"/>
      </w:pPr>
    </w:p>
    <w:p w:rsidR="00D34436" w:rsidRDefault="00D34436" w:rsidP="00DB41C0">
      <w:pPr>
        <w:sectPr w:rsidR="00D34436" w:rsidSect="000976E9">
          <w:type w:val="continuous"/>
          <w:pgSz w:w="11906" w:h="16838"/>
          <w:pgMar w:top="1417" w:right="1417" w:bottom="1417" w:left="1417" w:header="708" w:footer="708" w:gutter="0"/>
          <w:cols w:space="708"/>
          <w:rtlGutter/>
          <w:docGrid w:linePitch="360"/>
        </w:sectPr>
      </w:pPr>
    </w:p>
    <w:p w:rsidR="00D34436" w:rsidRPr="001B6E48" w:rsidRDefault="00D34436" w:rsidP="008873B1">
      <w:pPr>
        <w:jc w:val="both"/>
        <w:rPr>
          <w:lang w:val="nl-BE"/>
        </w:rPr>
      </w:pPr>
      <w:r>
        <w:rPr>
          <w:spacing w:val="-3"/>
        </w:rPr>
        <w:t xml:space="preserve">In aansluiting op het eerder reeds verstrekte gecoördineerd antwoord volgt hierbij de informatie met betrekking tot de bevoegdheden van mevrouw Ingrid </w:t>
      </w:r>
      <w:r>
        <w:t>Lieten, Viceminister-president van de Vlaamse Regering en Vlaams minister van Innovatie, Overheidsinvesteringen, Media en Armoedebestrijding.</w:t>
      </w:r>
    </w:p>
    <w:p w:rsidR="00D34436" w:rsidRDefault="00D34436" w:rsidP="008873B1">
      <w:pPr>
        <w:pStyle w:val="StandaardSV"/>
        <w:tabs>
          <w:tab w:val="left" w:pos="284"/>
          <w:tab w:val="center" w:pos="4253"/>
          <w:tab w:val="right" w:pos="8278"/>
        </w:tabs>
        <w:ind w:left="284" w:hanging="284"/>
      </w:pPr>
    </w:p>
    <w:p w:rsidR="00D34436" w:rsidRPr="00410332" w:rsidRDefault="00D34436" w:rsidP="00160BEA">
      <w:pPr>
        <w:jc w:val="both"/>
        <w:rPr>
          <w:b/>
          <w:szCs w:val="22"/>
          <w:u w:val="single"/>
        </w:rPr>
      </w:pPr>
      <w:r w:rsidRPr="00410332">
        <w:rPr>
          <w:b/>
          <w:szCs w:val="22"/>
          <w:u w:val="single"/>
        </w:rPr>
        <w:t>Vanuit het beleidsdomein Wetenschap, Innovatie en Economisch Overheidsinstrumentarium</w:t>
      </w:r>
      <w:r>
        <w:rPr>
          <w:b/>
          <w:szCs w:val="22"/>
          <w:u w:val="single"/>
        </w:rPr>
        <w:t xml:space="preserve"> (EWI)</w:t>
      </w:r>
    </w:p>
    <w:p w:rsidR="00D34436" w:rsidRPr="00410332" w:rsidRDefault="00D34436" w:rsidP="00160BEA">
      <w:pPr>
        <w:jc w:val="both"/>
        <w:rPr>
          <w:szCs w:val="22"/>
        </w:rPr>
      </w:pPr>
    </w:p>
    <w:p w:rsidR="00D34436" w:rsidRDefault="00D34436" w:rsidP="00160BEA">
      <w:pPr>
        <w:pStyle w:val="ListParagraph"/>
        <w:numPr>
          <w:ilvl w:val="0"/>
          <w:numId w:val="15"/>
        </w:numPr>
        <w:spacing w:after="0" w:line="240" w:lineRule="auto"/>
        <w:contextualSpacing w:val="0"/>
        <w:jc w:val="both"/>
        <w:rPr>
          <w:rFonts w:ascii="Times New Roman" w:hAnsi="Times New Roman"/>
        </w:rPr>
      </w:pPr>
      <w:r w:rsidRPr="00410332">
        <w:rPr>
          <w:rFonts w:ascii="Times New Roman" w:hAnsi="Times New Roman"/>
          <w:lang w:val="nl-NL"/>
        </w:rPr>
        <w:t>B</w:t>
      </w:r>
      <w:r w:rsidRPr="00410332">
        <w:rPr>
          <w:rFonts w:ascii="Times New Roman" w:hAnsi="Times New Roman"/>
        </w:rPr>
        <w:t>innen het domein Wetenschap en Innovatie worden tal van acties uitgevoerd die een effect hebben op de thema’s van het gelijkekansenbeleid maar daar niet uitsluitend of specifiek op gericht zijn of die passen binnen de reguliere opdrachten en geen specifieke financiering vereisen. Het is dus niet evident om op deze vraag te antwoorden in absolute en zelfs relatieve cijfers. Een ongenuanceerd cijfer kan een verkeerd beeld geven. Vandaar dat ik graag een meer uitgebreid en genuanceerd antwoord geef.</w:t>
      </w:r>
    </w:p>
    <w:p w:rsidR="00D34436" w:rsidRDefault="00D34436" w:rsidP="002838C0">
      <w:pPr>
        <w:pStyle w:val="ListParagraph"/>
        <w:spacing w:after="0" w:line="240" w:lineRule="auto"/>
        <w:ind w:left="360"/>
        <w:contextualSpacing w:val="0"/>
        <w:jc w:val="both"/>
        <w:rPr>
          <w:rFonts w:ascii="Times New Roman" w:hAnsi="Times New Roman"/>
        </w:rPr>
      </w:pPr>
    </w:p>
    <w:p w:rsidR="00D34436" w:rsidRDefault="00D34436" w:rsidP="00160BEA">
      <w:pPr>
        <w:ind w:left="360"/>
        <w:jc w:val="both"/>
        <w:rPr>
          <w:szCs w:val="22"/>
        </w:rPr>
      </w:pPr>
      <w:r w:rsidRPr="00410332">
        <w:rPr>
          <w:szCs w:val="22"/>
        </w:rPr>
        <w:t>Zo staat het Departement EWI in voor de basisfinanciering in het kader van het Programma Steunpunten voor Beleidsrelevant Onderzoek. Het Steunpunt Gelijkekansenbeleid</w:t>
      </w:r>
      <w:r>
        <w:rPr>
          <w:szCs w:val="22"/>
        </w:rPr>
        <w:t>,</w:t>
      </w:r>
      <w:r w:rsidRPr="00410332">
        <w:rPr>
          <w:szCs w:val="22"/>
        </w:rPr>
        <w:t xml:space="preserve"> waarin de betreffende onderwerpen systematisch aan bod komen, wordt op die manier voor 60% gefinancierd door het Departement EWI. Het is echter onmogelijk om een cijfer te plakken op exact hoeveel middelen er specifiek naar de in de vraag vermelde onderwerpen gaan bij het onderzoek. Voorts stelt de beheersovereenkomst met alle steunpunten dat elk steunpunt zich ertoe engageert om de genderdimensie en, ruimer, de diversiteitsdimensie, in te bouwen in het wetenschappelijk onderzoek, daar waar het relevant is om het effect te onderzoeken van oplossingen en acties op verschillende doelgroepen. Daar waar het relevant is, engageert het Steunpunt zich ertoe de nodige wetenschappelijke ondersteuning te geven voor de doelstellingen die in het kader van de Open Coördinatiemethode (OCM) met de functioneel bevoegde minister zijn afgesproken. In deze zin vormen deze elementen een continu aandachtspunt bij het onderzoek van elk steunpunt. Opnieuw is het onmogelijk een specifiek cijfer te plakken op de precieze besteding van de middelen.</w:t>
      </w:r>
    </w:p>
    <w:p w:rsidR="00D34436" w:rsidRPr="00410332" w:rsidRDefault="00D34436" w:rsidP="00160BEA">
      <w:pPr>
        <w:ind w:left="360"/>
        <w:jc w:val="both"/>
        <w:rPr>
          <w:szCs w:val="22"/>
        </w:rPr>
      </w:pPr>
    </w:p>
    <w:p w:rsidR="00D34436" w:rsidRDefault="00D34436" w:rsidP="00160BEA">
      <w:pPr>
        <w:ind w:left="360"/>
        <w:jc w:val="both"/>
        <w:rPr>
          <w:szCs w:val="22"/>
        </w:rPr>
      </w:pPr>
      <w:r w:rsidRPr="00410332">
        <w:rPr>
          <w:szCs w:val="22"/>
        </w:rPr>
        <w:t xml:space="preserve">Indien we een betere gender-balans willen bekomen in de onderzoekerspopulatie, dient de onderzoekersloopbaan aantrekkelijker gemaakt te worden. Een transparantere loopbaan, betere randvoorwaarden bij mobiliteit en betere arbeidsomstandigheden dragen hiertoe bij. Ik kan hierover vermelden dat er in 2008 </w:t>
      </w:r>
      <w:r>
        <w:rPr>
          <w:szCs w:val="22"/>
        </w:rPr>
        <w:t xml:space="preserve">een bedrag van </w:t>
      </w:r>
      <w:r w:rsidRPr="00410332">
        <w:rPr>
          <w:szCs w:val="22"/>
        </w:rPr>
        <w:t>8.000.000 euro was voorzien voor een actieplan rond deze thema’s. Dit budget is besteed aan harmonisering van de doctoraatsbeurzen en tenure track mandaten (waarbij een vaste benoeming volgt indien de mandaathouder voldoet aan duidelijke, vooraf bepaalde benoemingscriteria). Verder kan ik nog vermelden dat er in 2008 ook 5.500 euro werd voorzien voor de opmaak en verspreiding van de Equality Guide. Deze gids, waaraan vijf Vlaamse universiteiten hebben meegewerkt, bevat HR-instrumenten voor gelijke kansen aan universiteiten en daarbuiten.</w:t>
      </w:r>
    </w:p>
    <w:p w:rsidR="00D34436" w:rsidRPr="00410332" w:rsidRDefault="00D34436" w:rsidP="00160BEA">
      <w:pPr>
        <w:ind w:left="360"/>
        <w:jc w:val="both"/>
        <w:rPr>
          <w:szCs w:val="22"/>
        </w:rPr>
      </w:pPr>
    </w:p>
    <w:p w:rsidR="00D34436" w:rsidRPr="00410332" w:rsidRDefault="00D34436" w:rsidP="00160BEA">
      <w:pPr>
        <w:ind w:left="360"/>
        <w:jc w:val="both"/>
        <w:rPr>
          <w:szCs w:val="22"/>
        </w:rPr>
      </w:pPr>
      <w:r w:rsidRPr="00410332">
        <w:rPr>
          <w:szCs w:val="22"/>
        </w:rPr>
        <w:t>In 2010 werd een formeel Actieplan Onderzoekers opgesteld waarin bestaande acties werden gebundeld. Voor dit actieplan werd geen aparte financiering voorzien maar er worden wel specifieke maatregelen in opgenomen rond onderzoeksloopbanen. Er werden in 2011 een aantal werkgroepen opgezet met experten rond mobiliteit en het sociaal statuut van onderzoekers.</w:t>
      </w:r>
    </w:p>
    <w:p w:rsidR="00D34436" w:rsidRPr="00410332" w:rsidRDefault="00D34436" w:rsidP="00160BEA">
      <w:pPr>
        <w:ind w:left="360"/>
        <w:jc w:val="both"/>
        <w:rPr>
          <w:szCs w:val="22"/>
        </w:rPr>
      </w:pPr>
    </w:p>
    <w:p w:rsidR="00D34436" w:rsidRDefault="00D34436" w:rsidP="00160BEA">
      <w:pPr>
        <w:ind w:left="360"/>
        <w:jc w:val="both"/>
        <w:rPr>
          <w:szCs w:val="22"/>
        </w:rPr>
      </w:pPr>
      <w:r w:rsidRPr="00410332">
        <w:rPr>
          <w:szCs w:val="22"/>
        </w:rPr>
        <w:t xml:space="preserve">Bij de begrotingscontrole in 2011 werd een structureel bedrag van 3.500.000 euro jaarlijks toegevoegd aan de BOF-Tenure Track mandaten. Met deze verhoging van de BOF-middelen wil ik een zeer specifiek doel bereiken, namelijk het aandeel vrouwelijk onderzoekers in het universitaire personeelsbestand verhogen. Ondertussen heb ik juridisch advies ingewonnen over de mogelijkheid om positieve actie te nemen in dat verband. De hoofdconclusie van dit advies is dat het mogelijk is, mits inachtname van de rechtspraak van het Hof van Justitie terzake, </w:t>
      </w:r>
      <w:r>
        <w:rPr>
          <w:szCs w:val="22"/>
        </w:rPr>
        <w:t xml:space="preserve">om </w:t>
      </w:r>
      <w:r w:rsidRPr="00410332">
        <w:rPr>
          <w:szCs w:val="22"/>
        </w:rPr>
        <w:t>een voorrangsregeling uit te werken voor vrouwelijke onderzoekers. Concreet zal ik dit beleids</w:t>
      </w:r>
      <w:r>
        <w:rPr>
          <w:szCs w:val="22"/>
        </w:rPr>
        <w:t>-</w:t>
      </w:r>
      <w:r w:rsidRPr="00410332">
        <w:rPr>
          <w:szCs w:val="22"/>
        </w:rPr>
        <w:t>voornemen invulling geven in het nieuwe BOF-besluit.</w:t>
      </w:r>
    </w:p>
    <w:p w:rsidR="00D34436" w:rsidRPr="00410332" w:rsidRDefault="00D34436" w:rsidP="00160BEA">
      <w:pPr>
        <w:ind w:left="360"/>
        <w:jc w:val="both"/>
        <w:rPr>
          <w:szCs w:val="22"/>
        </w:rPr>
      </w:pPr>
    </w:p>
    <w:p w:rsidR="00D34436" w:rsidRDefault="00D34436" w:rsidP="00160BEA">
      <w:pPr>
        <w:ind w:left="360"/>
        <w:jc w:val="both"/>
        <w:rPr>
          <w:szCs w:val="22"/>
        </w:rPr>
      </w:pPr>
      <w:r w:rsidRPr="00410332">
        <w:rPr>
          <w:szCs w:val="22"/>
        </w:rPr>
        <w:t xml:space="preserve">Wat betreft het beleid in wetenschapscommunicatie en de popularisering van wetenschap, technologie en innovatie wordt in verschillende projecten specifiek aandacht gevraagd voor vrouwen en vrouwelijke rolmodellen. Een van die projecten is “De Wereld aan je voeten”. Dit project doet jongeren nadenken over hun bijdrage aan de maatschappij en de rol van wetenschap, technologie en ondernemen in onze globaliserende wereld. Het helpt meer concreet de leerlingen van de derde graad secundair onderwijs (ASO en TSO) bewust een studiekeuze te maken. Er wordt specifiek aandacht gegeven aan meisjes en wetenschap onder meer door een expliciete doelstelling rond het inzetten van vrouwelijke rolmodellen. Het project is een samenwerking tussen </w:t>
      </w:r>
      <w:r>
        <w:rPr>
          <w:szCs w:val="22"/>
        </w:rPr>
        <w:t xml:space="preserve">het </w:t>
      </w:r>
      <w:r w:rsidRPr="00410332">
        <w:rPr>
          <w:szCs w:val="22"/>
        </w:rPr>
        <w:t xml:space="preserve">beleidsdomeinen Economie, Wetenschap en Innovatie en </w:t>
      </w:r>
      <w:r>
        <w:rPr>
          <w:szCs w:val="22"/>
        </w:rPr>
        <w:t xml:space="preserve">het beleidsdomein </w:t>
      </w:r>
      <w:r w:rsidRPr="00410332">
        <w:rPr>
          <w:szCs w:val="22"/>
        </w:rPr>
        <w:t xml:space="preserve">Onderwijs en Vorming. Over de drie gevraagde jaren tot juni 2011 werd 488.100 euro voorzien vanuit het Departement EWI. Vanuit de andere partners werd respectievelijk 434.000 euro voorzien (Departement Onderwijs en Vorming) en 270.000 euro (Agentschap </w:t>
      </w:r>
      <w:r>
        <w:rPr>
          <w:szCs w:val="22"/>
        </w:rPr>
        <w:t>O</w:t>
      </w:r>
      <w:r w:rsidRPr="00410332">
        <w:rPr>
          <w:szCs w:val="22"/>
        </w:rPr>
        <w:t>ndernemen). De Koninklijke Vlaamse Ingenieursvereniging vzw (KVIV) neemt de projectleiding voor haar rekening. Het project werd met één jaar verlengd tot juni 2012. Vanuit het departement EWI werd hiervoor 150.000 euro voorzien.</w:t>
      </w:r>
    </w:p>
    <w:p w:rsidR="00D34436" w:rsidRPr="00410332" w:rsidRDefault="00D34436" w:rsidP="00160BEA">
      <w:pPr>
        <w:ind w:left="360"/>
        <w:jc w:val="both"/>
        <w:rPr>
          <w:szCs w:val="22"/>
        </w:rPr>
      </w:pPr>
    </w:p>
    <w:p w:rsidR="00D34436" w:rsidRDefault="00D34436" w:rsidP="00160BEA">
      <w:pPr>
        <w:ind w:left="360"/>
        <w:jc w:val="both"/>
        <w:rPr>
          <w:szCs w:val="22"/>
        </w:rPr>
      </w:pPr>
      <w:r w:rsidRPr="00410332">
        <w:rPr>
          <w:szCs w:val="22"/>
        </w:rPr>
        <w:t>Een andere actie uit het wetenschapscommunicatiebeleid die vermeld wordt in het actieplan, is het ondersteunen van de Vlaamse Olympiades voor Natuurwetenschappen, Wiskunde, Frans, Geografie en Latijn. Voor de vijf Olympiades samen wordt jaarlijks 204.000 euro voorzien vanuit het Departement EWI. Dit initiatief werd opgenomen in het gelijkekansenplan omdat vanaf 2008 het bijhouden van genderopgesplitste statistieken opgenomen werd als performantie-indicator in de subsidieovereenkomsten. Voordien hadden we geen zicht op de genderverdeling onder de deelnemers en de winnaars.</w:t>
      </w:r>
    </w:p>
    <w:p w:rsidR="00D34436" w:rsidRPr="00410332" w:rsidRDefault="00D34436" w:rsidP="00160BEA">
      <w:pPr>
        <w:ind w:left="360"/>
        <w:jc w:val="both"/>
        <w:rPr>
          <w:szCs w:val="22"/>
        </w:rPr>
      </w:pPr>
    </w:p>
    <w:p w:rsidR="00D34436" w:rsidRDefault="00D34436" w:rsidP="00160BEA">
      <w:pPr>
        <w:ind w:left="360"/>
        <w:jc w:val="both"/>
        <w:rPr>
          <w:szCs w:val="22"/>
        </w:rPr>
      </w:pPr>
      <w:r w:rsidRPr="00410332">
        <w:rPr>
          <w:szCs w:val="22"/>
        </w:rPr>
        <w:t xml:space="preserve">Het </w:t>
      </w:r>
      <w:r>
        <w:rPr>
          <w:szCs w:val="22"/>
        </w:rPr>
        <w:t>I</w:t>
      </w:r>
      <w:r w:rsidRPr="00410332">
        <w:rPr>
          <w:szCs w:val="22"/>
        </w:rPr>
        <w:t>nstituut voor Samenleving en Technologie (IST), verbonden aan het Vlaams Parlement, lanceerde in 2010 het initiatief “Gender en Technologie”. Met de publicatie van een essaybundel en de organisatie van een conferentie wou het IST een eerste verkenning uitvoeren van het globale thema “gender en wetenschap/technologie” en dit thema in Vlaanderen onder de aandacht brengen. Er werd een stuurgroep opgericht waarin experten op het vlak van genderstudies en van wetenschap en innovatie zetelen, die mee hielpen bepalen op welke wijze de verschillende thema’s verder geconcretiseerd werden. De essaybundel werd in november 2011 op een conferentie in het Vlaams Parlement voorgesteld. Het Departement EWI heeft haar expertise ingezet in de stuurgroep van het project en zet zich in om de publicatie te promoten en verder te verspreiden om het debat aan te wakkeren rond deze problematiek. Maar er is in dit geval geen sprake van financiering.</w:t>
      </w:r>
    </w:p>
    <w:p w:rsidR="00D34436" w:rsidRPr="00410332" w:rsidRDefault="00D34436" w:rsidP="00160BEA">
      <w:pPr>
        <w:ind w:left="360"/>
        <w:jc w:val="both"/>
        <w:rPr>
          <w:szCs w:val="22"/>
        </w:rPr>
      </w:pPr>
    </w:p>
    <w:p w:rsidR="00D34436" w:rsidRDefault="00D34436" w:rsidP="00160BEA">
      <w:pPr>
        <w:ind w:left="360"/>
        <w:jc w:val="both"/>
        <w:rPr>
          <w:szCs w:val="22"/>
        </w:rPr>
      </w:pPr>
      <w:r>
        <w:rPr>
          <w:szCs w:val="22"/>
        </w:rPr>
        <w:t>V</w:t>
      </w:r>
      <w:r w:rsidRPr="00410332">
        <w:rPr>
          <w:szCs w:val="22"/>
        </w:rPr>
        <w:t xml:space="preserve">erschillende acties worden ook uitgevoerd binnen de reguliere subsidiekanalen. Zo voert het FWO </w:t>
      </w:r>
      <w:r>
        <w:rPr>
          <w:szCs w:val="22"/>
        </w:rPr>
        <w:t xml:space="preserve">(Fonds Wetenschappelijk Onderzoek) </w:t>
      </w:r>
      <w:r w:rsidRPr="00410332">
        <w:rPr>
          <w:szCs w:val="22"/>
        </w:rPr>
        <w:t xml:space="preserve">een doorgedreven gender- en diversiteitsbeleid in haar eigen werking en bij het toekennen van mandaten. Dit beleid sluit nauw aan bij de actieplannen in het kader van het gelijkekansenbeleid, maar hiervoor worden geen extra financiële middelen toegekend. Het IWT </w:t>
      </w:r>
      <w:r>
        <w:rPr>
          <w:szCs w:val="22"/>
        </w:rPr>
        <w:t>(</w:t>
      </w:r>
      <w:r w:rsidRPr="002838C0">
        <w:rPr>
          <w:szCs w:val="22"/>
        </w:rPr>
        <w:t xml:space="preserve">Agentschap voor Innovatie door Wetenschap en Technologie) </w:t>
      </w:r>
      <w:r w:rsidRPr="00410332">
        <w:rPr>
          <w:szCs w:val="22"/>
        </w:rPr>
        <w:t>streeft, door continue aandacht voor meer gendergelijkheid, naar het verhogen van het percentage vrouwelijke deskundigen in de panels voor de specialisatiebeurzen.</w:t>
      </w:r>
    </w:p>
    <w:p w:rsidR="00D34436" w:rsidRPr="00410332" w:rsidRDefault="00D34436" w:rsidP="00160BEA">
      <w:pPr>
        <w:ind w:left="360"/>
        <w:jc w:val="both"/>
        <w:rPr>
          <w:szCs w:val="22"/>
        </w:rPr>
      </w:pPr>
    </w:p>
    <w:p w:rsidR="00D34436" w:rsidRPr="00410332" w:rsidRDefault="00D34436" w:rsidP="00160BEA">
      <w:pPr>
        <w:ind w:left="360"/>
        <w:jc w:val="both"/>
        <w:rPr>
          <w:szCs w:val="22"/>
        </w:rPr>
      </w:pPr>
      <w:r>
        <w:rPr>
          <w:szCs w:val="22"/>
        </w:rPr>
        <w:t>D</w:t>
      </w:r>
      <w:r w:rsidRPr="00410332">
        <w:rPr>
          <w:szCs w:val="22"/>
        </w:rPr>
        <w:t>it zijn heel wat acties die worden genomen in het kader van het gelijkekansenbeleid binnen mijn bevoegdheidsdomein maar waar het moeilijk is om een bruikbaar cijfer op te plakken. De acties leveren uiteraard wel een nuttige bijdrage aan het beleid. Alle acties die vermeld worden in het actieplan Gelijke Kansen hebben een looptijd van 2 jaar. Begin 2013 zal er dus een evaluatie gebeuren van alle actiefiches.</w:t>
      </w:r>
    </w:p>
    <w:p w:rsidR="00D34436" w:rsidRDefault="00D34436" w:rsidP="00160BEA">
      <w:pPr>
        <w:jc w:val="both"/>
        <w:rPr>
          <w:szCs w:val="22"/>
        </w:rPr>
      </w:pPr>
    </w:p>
    <w:p w:rsidR="00D34436" w:rsidRPr="00410332" w:rsidRDefault="00D34436" w:rsidP="00160BEA">
      <w:pPr>
        <w:pStyle w:val="ListParagraph"/>
        <w:numPr>
          <w:ilvl w:val="0"/>
          <w:numId w:val="15"/>
        </w:numPr>
        <w:spacing w:after="0" w:line="240" w:lineRule="auto"/>
        <w:contextualSpacing w:val="0"/>
        <w:jc w:val="both"/>
        <w:rPr>
          <w:rFonts w:ascii="Times New Roman" w:hAnsi="Times New Roman"/>
        </w:rPr>
      </w:pPr>
      <w:r w:rsidRPr="00410332">
        <w:rPr>
          <w:rFonts w:ascii="Times New Roman" w:hAnsi="Times New Roman"/>
        </w:rPr>
        <w:t xml:space="preserve">Zie </w:t>
      </w:r>
      <w:r>
        <w:rPr>
          <w:rFonts w:ascii="Times New Roman" w:hAnsi="Times New Roman"/>
        </w:rPr>
        <w:t>het reeds verstrekte gecoördineerd antwoord</w:t>
      </w:r>
      <w:r w:rsidRPr="00410332">
        <w:rPr>
          <w:rFonts w:ascii="Times New Roman" w:hAnsi="Times New Roman"/>
        </w:rPr>
        <w:t>.</w:t>
      </w:r>
      <w:bookmarkStart w:id="6" w:name="_GoBack"/>
      <w:bookmarkEnd w:id="6"/>
    </w:p>
    <w:p w:rsidR="00D34436" w:rsidRDefault="00D34436" w:rsidP="00160BEA">
      <w:pPr>
        <w:jc w:val="both"/>
        <w:rPr>
          <w:szCs w:val="22"/>
        </w:rPr>
      </w:pPr>
    </w:p>
    <w:p w:rsidR="00D34436" w:rsidRPr="00410332" w:rsidRDefault="00D34436" w:rsidP="00160BEA">
      <w:pPr>
        <w:spacing w:after="200" w:line="276" w:lineRule="auto"/>
        <w:jc w:val="both"/>
        <w:rPr>
          <w:b/>
          <w:szCs w:val="22"/>
          <w:u w:val="single"/>
        </w:rPr>
      </w:pPr>
      <w:r w:rsidRPr="00410332">
        <w:rPr>
          <w:b/>
          <w:szCs w:val="22"/>
          <w:u w:val="single"/>
        </w:rPr>
        <w:t>Vanuit het beleidsdomein Media</w:t>
      </w:r>
    </w:p>
    <w:p w:rsidR="00D34436" w:rsidRPr="00410332" w:rsidRDefault="00D34436" w:rsidP="00160BEA">
      <w:pPr>
        <w:pStyle w:val="ListNumber"/>
        <w:tabs>
          <w:tab w:val="clear" w:pos="357"/>
          <w:tab w:val="num" w:pos="0"/>
        </w:tabs>
        <w:ind w:left="0" w:firstLine="0"/>
        <w:jc w:val="both"/>
        <w:rPr>
          <w:szCs w:val="22"/>
        </w:rPr>
      </w:pPr>
      <w:r w:rsidRPr="00410332">
        <w:rPr>
          <w:szCs w:val="22"/>
        </w:rPr>
        <w:t>Er kunnen geen afzonderlijke budgetten worden toegewezen aan de verschillende acties. Er wordt echter veel aandacht besteed aan de uitvoering ervan</w:t>
      </w:r>
      <w:r>
        <w:rPr>
          <w:szCs w:val="22"/>
        </w:rPr>
        <w:t>.</w:t>
      </w:r>
    </w:p>
    <w:p w:rsidR="00D34436" w:rsidRPr="00410332" w:rsidRDefault="00D34436" w:rsidP="00160BEA">
      <w:pPr>
        <w:pStyle w:val="ListNumber"/>
        <w:tabs>
          <w:tab w:val="clear" w:pos="357"/>
        </w:tabs>
        <w:ind w:left="0" w:firstLine="0"/>
        <w:jc w:val="both"/>
        <w:rPr>
          <w:szCs w:val="22"/>
        </w:rPr>
      </w:pPr>
    </w:p>
    <w:p w:rsidR="00D34436" w:rsidRDefault="00D34436" w:rsidP="00160BEA">
      <w:pPr>
        <w:pStyle w:val="ListNumber"/>
        <w:tabs>
          <w:tab w:val="clear" w:pos="357"/>
          <w:tab w:val="num" w:pos="0"/>
        </w:tabs>
        <w:ind w:left="0" w:firstLine="0"/>
        <w:jc w:val="both"/>
        <w:rPr>
          <w:szCs w:val="22"/>
        </w:rPr>
      </w:pPr>
      <w:r w:rsidRPr="00410332">
        <w:rPr>
          <w:szCs w:val="22"/>
        </w:rPr>
        <w:t>Wat het OCM-proces m.b.t. het thema ‘handicap’ betreft, werd op 2 december 2011 een doelstellingenkader bepaald door de Vlaamse Regering. Dat zal in 2012 vertaald worden naar actieplannen. Voor het thema 'toegankelijkheid van informatie' dienen nog doelstellingen en actieplannen te worden uitgewerkt (zie in dat verband ook het antwoord op de schriftelijke vraag dd. 27/10/2011 van D. Godderis-T'Jonck). Vermits er momenteel nog geen OCM-actieplannen m.b.t. de thema’s ‘handicap’ en ‘toegankelijkheid van informatie’ lopen, kan er van een besteding van budgetten in het kader van de realisatie ervan, u</w:t>
      </w:r>
      <w:r>
        <w:rPr>
          <w:szCs w:val="22"/>
        </w:rPr>
        <w:t>iteraard nog geen sprake zijn.</w:t>
      </w:r>
    </w:p>
    <w:p w:rsidR="00D34436" w:rsidRDefault="00D34436" w:rsidP="00160BEA">
      <w:pPr>
        <w:pStyle w:val="ListNumber"/>
        <w:tabs>
          <w:tab w:val="clear" w:pos="357"/>
          <w:tab w:val="num" w:pos="0"/>
        </w:tabs>
        <w:ind w:left="0" w:firstLine="0"/>
        <w:jc w:val="both"/>
        <w:rPr>
          <w:szCs w:val="22"/>
        </w:rPr>
      </w:pPr>
    </w:p>
    <w:p w:rsidR="00D34436" w:rsidRPr="00410332" w:rsidRDefault="00D34436" w:rsidP="00160BEA">
      <w:pPr>
        <w:jc w:val="both"/>
        <w:rPr>
          <w:szCs w:val="22"/>
        </w:rPr>
      </w:pPr>
      <w:r w:rsidRPr="00410332">
        <w:rPr>
          <w:szCs w:val="22"/>
        </w:rPr>
        <w:t xml:space="preserve">Gedurende </w:t>
      </w:r>
      <w:r>
        <w:rPr>
          <w:szCs w:val="22"/>
        </w:rPr>
        <w:t>deze</w:t>
      </w:r>
      <w:r w:rsidRPr="00410332">
        <w:rPr>
          <w:szCs w:val="22"/>
        </w:rPr>
        <w:t xml:space="preserve"> legislatuur werden aan de VMMa en de Vlaamse regionale televisieomroepen (m.n. ATV, AVS, RTV, Ring TV, ROB TV, TV Oost, TV Limburg, Focus TV, WTV en TV Brussel) specifieke subsidies toegekend met betrekking tot het ondertitelen van nieuwsprogramma’s ten behoeve van doven en slechthorenden.</w:t>
      </w:r>
    </w:p>
    <w:p w:rsidR="00D34436" w:rsidRPr="00410332" w:rsidRDefault="00D34436" w:rsidP="00160BEA">
      <w:pPr>
        <w:jc w:val="both"/>
        <w:rPr>
          <w:szCs w:val="22"/>
        </w:rPr>
      </w:pPr>
      <w:r w:rsidRPr="00410332">
        <w:rPr>
          <w:szCs w:val="22"/>
        </w:rPr>
        <w:t>Voor de VRT worden hiervoor echter geen afzonderlijke middelen toegekend, gezien dit deel uitmaakt van de beheersovereenkomst.</w:t>
      </w:r>
    </w:p>
    <w:p w:rsidR="00D34436" w:rsidRPr="00410332" w:rsidRDefault="00D34436" w:rsidP="00160BEA">
      <w:pPr>
        <w:jc w:val="both"/>
        <w:rPr>
          <w:szCs w:val="22"/>
        </w:rPr>
      </w:pPr>
    </w:p>
    <w:p w:rsidR="00D34436" w:rsidRPr="00410332" w:rsidRDefault="00D34436" w:rsidP="00160BEA">
      <w:pPr>
        <w:pStyle w:val="ListParagraph"/>
        <w:numPr>
          <w:ilvl w:val="0"/>
          <w:numId w:val="16"/>
        </w:numPr>
        <w:spacing w:after="0" w:line="240" w:lineRule="auto"/>
        <w:ind w:left="426" w:hanging="426"/>
        <w:contextualSpacing w:val="0"/>
        <w:jc w:val="both"/>
        <w:rPr>
          <w:rFonts w:ascii="Times New Roman" w:hAnsi="Times New Roman"/>
        </w:rPr>
      </w:pPr>
      <w:r w:rsidRPr="00410332">
        <w:rPr>
          <w:rFonts w:ascii="Times New Roman" w:hAnsi="Times New Roman"/>
        </w:rPr>
        <w:t>In 2009, 2010 en 2011 werd hiervoor aan de VMMa telkenmale steun toegekend, onder voorbehoud van goedkeuring door de Europese Commissie, ten bedrage van 462.000 euro in 2009, 361.909 euro in 2010 en 359.874,76 euro in 2011.</w:t>
      </w:r>
    </w:p>
    <w:p w:rsidR="00D34436" w:rsidRPr="00410332" w:rsidRDefault="00D34436" w:rsidP="00160BEA">
      <w:pPr>
        <w:jc w:val="both"/>
        <w:rPr>
          <w:szCs w:val="22"/>
        </w:rPr>
      </w:pPr>
    </w:p>
    <w:p w:rsidR="00D34436" w:rsidRPr="00410332" w:rsidRDefault="00D34436" w:rsidP="00160BEA">
      <w:pPr>
        <w:pStyle w:val="ListParagraph"/>
        <w:numPr>
          <w:ilvl w:val="0"/>
          <w:numId w:val="16"/>
        </w:numPr>
        <w:spacing w:after="0" w:line="240" w:lineRule="auto"/>
        <w:ind w:left="426" w:hanging="426"/>
        <w:contextualSpacing w:val="0"/>
        <w:jc w:val="both"/>
        <w:rPr>
          <w:rFonts w:ascii="Times New Roman" w:hAnsi="Times New Roman"/>
        </w:rPr>
      </w:pPr>
      <w:r w:rsidRPr="00410332">
        <w:rPr>
          <w:rFonts w:ascii="Times New Roman" w:hAnsi="Times New Roman"/>
        </w:rPr>
        <w:t>Aan elke Vlaamse regionale televisieomroep werd in dit kader zowel voor 2009, 2010 als 2011 een subsidie van 50.000 euro toegekend voor gespecialiseerde medewerkers voor de ondertiteling van televisieprogramma’s ten behoeve van doven en slechthorenden. Omdat RTV twee regio’s bedient, werd aan RTV een subsidie van 75.000 euro toegekend.</w:t>
      </w:r>
    </w:p>
    <w:p w:rsidR="00D34436" w:rsidRPr="00410332" w:rsidRDefault="00D34436" w:rsidP="00160BEA">
      <w:pPr>
        <w:pStyle w:val="ListNumber"/>
        <w:tabs>
          <w:tab w:val="clear" w:pos="357"/>
        </w:tabs>
        <w:jc w:val="both"/>
        <w:rPr>
          <w:szCs w:val="22"/>
        </w:rPr>
      </w:pPr>
    </w:p>
    <w:p w:rsidR="00D34436" w:rsidRPr="00410332" w:rsidRDefault="00D34436" w:rsidP="00160BEA">
      <w:pPr>
        <w:jc w:val="both"/>
        <w:rPr>
          <w:b/>
          <w:szCs w:val="22"/>
          <w:u w:val="single"/>
        </w:rPr>
      </w:pPr>
      <w:r w:rsidRPr="00410332">
        <w:rPr>
          <w:b/>
          <w:szCs w:val="22"/>
          <w:u w:val="single"/>
        </w:rPr>
        <w:t>Vanuit het beleidsdomein Coördinatie van het armoedebestrijdingsbeleid</w:t>
      </w:r>
    </w:p>
    <w:p w:rsidR="00D34436" w:rsidRPr="00410332" w:rsidRDefault="00D34436" w:rsidP="00160BEA">
      <w:pPr>
        <w:jc w:val="both"/>
        <w:rPr>
          <w:szCs w:val="22"/>
        </w:rPr>
      </w:pPr>
    </w:p>
    <w:p w:rsidR="00D34436" w:rsidRDefault="00D34436" w:rsidP="00160BEA">
      <w:pPr>
        <w:pStyle w:val="StandaardSV"/>
        <w:numPr>
          <w:ilvl w:val="0"/>
          <w:numId w:val="17"/>
        </w:numPr>
        <w:tabs>
          <w:tab w:val="clear" w:pos="720"/>
          <w:tab w:val="num" w:pos="360"/>
        </w:tabs>
        <w:ind w:left="360"/>
      </w:pPr>
      <w:r>
        <w:t>Het armoedebestrijdingsbeleid is per definitie een gelijkekansenbeleid. Armoede is immers veel meer dan onvoldoende financiële middelen hebben. Het is een geheel van uitsluitings-mechanismen op sociaal en maatschappelijk vlak. Ik verwijs daarom naar de acties die in het Vlaams Actieplan Armoedebestrijding zijn opgenomen.</w:t>
      </w:r>
    </w:p>
    <w:p w:rsidR="00D34436" w:rsidRDefault="00D34436" w:rsidP="00160BEA">
      <w:pPr>
        <w:pStyle w:val="StandaardSV"/>
      </w:pPr>
    </w:p>
    <w:p w:rsidR="00D34436" w:rsidRDefault="00D34436" w:rsidP="00160BEA">
      <w:pPr>
        <w:pStyle w:val="StandaardSV"/>
        <w:numPr>
          <w:ilvl w:val="0"/>
          <w:numId w:val="17"/>
        </w:numPr>
        <w:tabs>
          <w:tab w:val="clear" w:pos="720"/>
          <w:tab w:val="num" w:pos="360"/>
        </w:tabs>
        <w:ind w:left="360"/>
      </w:pPr>
      <w:r>
        <w:t>Met betrekking tot de toegankelijkheid van informatie heb ik in 2009 reeds het initiatief genomen om de beleidsnota armoedebestrijding te laten vertalen in een voor de doelgroep meer toegankelijke taal. Voor deze vertaling, inclusief een aangepaste lay-out, werd een opdracht uitgeschreven voor een bedrag van 12.500 euro. Deze vertaling is nog steeds gratis te verkrijgen via de Vlaamse Infolijn en de publicatiedatabank van de Vlaamse overheid.</w:t>
      </w:r>
    </w:p>
    <w:p w:rsidR="00D34436" w:rsidRDefault="00D34436" w:rsidP="00830C5B">
      <w:pPr>
        <w:pStyle w:val="StandaardSV"/>
        <w:ind w:left="360"/>
      </w:pPr>
      <w:r w:rsidRPr="00677933">
        <w:t>Daarnaast heb ik</w:t>
      </w:r>
      <w:r>
        <w:t xml:space="preserve"> in 2010 en 2011</w:t>
      </w:r>
      <w:r w:rsidRPr="00677933">
        <w:t xml:space="preserve"> het project</w:t>
      </w:r>
      <w:r>
        <w:t xml:space="preserve"> ondersteund</w:t>
      </w:r>
      <w:r w:rsidRPr="00677933">
        <w:t xml:space="preserve"> van de Koning Boudewijnstichting met betrekking tot een meer toegankelijke communicatie van de Vlaamse administratie naar maatschappelijk zwakkere groepen. Hieraan werden evenwel vanuit mijn begroting als minister voor armoedebestrijding geen middelen besteed.</w:t>
      </w:r>
    </w:p>
    <w:p w:rsidR="00D34436" w:rsidRDefault="00D34436" w:rsidP="008873B1">
      <w:pPr>
        <w:pStyle w:val="StandaardSV"/>
        <w:tabs>
          <w:tab w:val="left" w:pos="284"/>
          <w:tab w:val="center" w:pos="4253"/>
          <w:tab w:val="right" w:pos="8278"/>
        </w:tabs>
        <w:ind w:left="284" w:hanging="284"/>
      </w:pPr>
    </w:p>
    <w:p w:rsidR="00D34436" w:rsidRDefault="00D34436" w:rsidP="008873B1">
      <w:pPr>
        <w:pStyle w:val="StandaardSV"/>
        <w:tabs>
          <w:tab w:val="left" w:pos="284"/>
          <w:tab w:val="center" w:pos="4253"/>
          <w:tab w:val="right" w:pos="8278"/>
        </w:tabs>
        <w:ind w:left="284" w:hanging="284"/>
      </w:pPr>
    </w:p>
    <w:p w:rsidR="00D34436" w:rsidRPr="00170D79" w:rsidRDefault="00D34436" w:rsidP="008873B1">
      <w:pPr>
        <w:tabs>
          <w:tab w:val="left" w:pos="1276"/>
          <w:tab w:val="left" w:pos="1843"/>
        </w:tabs>
        <w:jc w:val="both"/>
        <w:rPr>
          <w:rFonts w:ascii="Times New Roman Vet" w:hAnsi="Times New Roman Vet"/>
          <w:b/>
          <w:smallCaps/>
          <w:color w:val="FF0000"/>
        </w:rPr>
      </w:pPr>
      <w:r>
        <w:rPr>
          <w:rFonts w:ascii="Times New Roman Vet" w:hAnsi="Times New Roman Vet"/>
          <w:b/>
          <w:smallCaps/>
          <w:color w:val="FF0000"/>
        </w:rPr>
        <w:br w:type="page"/>
        <w:t>bijlage</w:t>
      </w:r>
    </w:p>
    <w:p w:rsidR="00D34436" w:rsidRDefault="00D34436" w:rsidP="008873B1">
      <w:pPr>
        <w:tabs>
          <w:tab w:val="left" w:pos="1276"/>
          <w:tab w:val="left" w:pos="1843"/>
        </w:tabs>
        <w:jc w:val="both"/>
      </w:pPr>
    </w:p>
    <w:p w:rsidR="00D34436" w:rsidRDefault="00D34436" w:rsidP="008873B1">
      <w:pPr>
        <w:tabs>
          <w:tab w:val="left" w:pos="1276"/>
          <w:tab w:val="left" w:pos="1843"/>
        </w:tabs>
        <w:jc w:val="both"/>
      </w:pPr>
      <w:r>
        <w:t>Horizontaal Gelijkekansenbeleid - financiering</w:t>
      </w:r>
    </w:p>
    <w:sectPr w:rsidR="00D3443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7FC5F84"/>
    <w:lvl w:ilvl="0">
      <w:start w:val="1"/>
      <w:numFmt w:val="decimal"/>
      <w:lvlText w:val="%1."/>
      <w:lvlJc w:val="left"/>
      <w:pPr>
        <w:tabs>
          <w:tab w:val="num" w:pos="360"/>
        </w:tabs>
        <w:ind w:left="360" w:hanging="360"/>
      </w:pPr>
      <w:rPr>
        <w:rFonts w:cs="Times New Roman"/>
      </w:rPr>
    </w:lvl>
  </w:abstractNum>
  <w:abstractNum w:abstractNumId="1">
    <w:nsid w:val="01FC4F14"/>
    <w:multiLevelType w:val="hybridMultilevel"/>
    <w:tmpl w:val="A24A996E"/>
    <w:lvl w:ilvl="0" w:tplc="2DCC6B24">
      <w:start w:val="1"/>
      <w:numFmt w:val="decimal"/>
      <w:lvlText w:val="%1."/>
      <w:lvlJc w:val="left"/>
      <w:pPr>
        <w:ind w:left="1778"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05F41B04"/>
    <w:multiLevelType w:val="hybridMultilevel"/>
    <w:tmpl w:val="2C82EFE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8950009"/>
    <w:multiLevelType w:val="hybridMultilevel"/>
    <w:tmpl w:val="7040B38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1909142E"/>
    <w:multiLevelType w:val="hybridMultilevel"/>
    <w:tmpl w:val="C00E785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25F5E8F"/>
    <w:multiLevelType w:val="hybridMultilevel"/>
    <w:tmpl w:val="EEF25370"/>
    <w:lvl w:ilvl="0" w:tplc="0813000F">
      <w:start w:val="1"/>
      <w:numFmt w:val="decimal"/>
      <w:lvlText w:val="%1."/>
      <w:lvlJc w:val="left"/>
      <w:pPr>
        <w:ind w:left="759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499C1A55"/>
    <w:multiLevelType w:val="hybridMultilevel"/>
    <w:tmpl w:val="C214329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7">
    <w:nsid w:val="4F2B5B59"/>
    <w:multiLevelType w:val="hybridMultilevel"/>
    <w:tmpl w:val="AD8C6EBE"/>
    <w:lvl w:ilvl="0" w:tplc="CF84AB5E">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97522E3"/>
    <w:multiLevelType w:val="hybridMultilevel"/>
    <w:tmpl w:val="3508FD32"/>
    <w:lvl w:ilvl="0" w:tplc="0413000F">
      <w:start w:val="1"/>
      <w:numFmt w:val="decimal"/>
      <w:lvlText w:val="%1."/>
      <w:lvlJc w:val="left"/>
      <w:pPr>
        <w:tabs>
          <w:tab w:val="num" w:pos="360"/>
        </w:tabs>
        <w:ind w:left="360" w:hanging="360"/>
      </w:pPr>
      <w:rPr>
        <w:rFonts w:cs="Times New Roman"/>
      </w:rPr>
    </w:lvl>
    <w:lvl w:ilvl="1" w:tplc="57E09F7E">
      <w:numFmt w:val="bullet"/>
      <w:lvlText w:val="-"/>
      <w:lvlJc w:val="left"/>
      <w:pPr>
        <w:tabs>
          <w:tab w:val="num" w:pos="5322"/>
        </w:tabs>
        <w:ind w:left="5322" w:hanging="360"/>
      </w:pPr>
      <w:rPr>
        <w:rFonts w:ascii="Arial" w:eastAsia="Times New Roman" w:hAnsi="Aria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0">
    <w:nsid w:val="68C21734"/>
    <w:multiLevelType w:val="hybridMultilevel"/>
    <w:tmpl w:val="52AE53E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nsid w:val="70105689"/>
    <w:multiLevelType w:val="hybridMultilevel"/>
    <w:tmpl w:val="CB90041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74B51454"/>
    <w:multiLevelType w:val="hybridMultilevel"/>
    <w:tmpl w:val="369EDDB4"/>
    <w:lvl w:ilvl="0" w:tplc="08130001">
      <w:start w:val="1"/>
      <w:numFmt w:val="bullet"/>
      <w:lvlText w:val=""/>
      <w:lvlJc w:val="left"/>
      <w:pPr>
        <w:ind w:left="4755" w:hanging="360"/>
      </w:pPr>
      <w:rPr>
        <w:rFonts w:ascii="Symbol" w:hAnsi="Symbol" w:hint="default"/>
      </w:rPr>
    </w:lvl>
    <w:lvl w:ilvl="1" w:tplc="08130003">
      <w:start w:val="1"/>
      <w:numFmt w:val="bullet"/>
      <w:lvlText w:val="o"/>
      <w:lvlJc w:val="left"/>
      <w:pPr>
        <w:ind w:left="5475" w:hanging="360"/>
      </w:pPr>
      <w:rPr>
        <w:rFonts w:ascii="Courier New" w:hAnsi="Courier New" w:hint="default"/>
      </w:rPr>
    </w:lvl>
    <w:lvl w:ilvl="2" w:tplc="08130005">
      <w:start w:val="1"/>
      <w:numFmt w:val="bullet"/>
      <w:lvlText w:val=""/>
      <w:lvlJc w:val="left"/>
      <w:pPr>
        <w:ind w:left="6195" w:hanging="360"/>
      </w:pPr>
      <w:rPr>
        <w:rFonts w:ascii="Wingdings" w:hAnsi="Wingdings" w:hint="default"/>
      </w:rPr>
    </w:lvl>
    <w:lvl w:ilvl="3" w:tplc="08130001">
      <w:start w:val="1"/>
      <w:numFmt w:val="bullet"/>
      <w:lvlText w:val=""/>
      <w:lvlJc w:val="left"/>
      <w:pPr>
        <w:ind w:left="6915" w:hanging="360"/>
      </w:pPr>
      <w:rPr>
        <w:rFonts w:ascii="Symbol" w:hAnsi="Symbol" w:hint="default"/>
      </w:rPr>
    </w:lvl>
    <w:lvl w:ilvl="4" w:tplc="08130003">
      <w:start w:val="1"/>
      <w:numFmt w:val="bullet"/>
      <w:lvlText w:val="o"/>
      <w:lvlJc w:val="left"/>
      <w:pPr>
        <w:ind w:left="7635" w:hanging="360"/>
      </w:pPr>
      <w:rPr>
        <w:rFonts w:ascii="Courier New" w:hAnsi="Courier New" w:hint="default"/>
      </w:rPr>
    </w:lvl>
    <w:lvl w:ilvl="5" w:tplc="08130005">
      <w:start w:val="1"/>
      <w:numFmt w:val="bullet"/>
      <w:lvlText w:val=""/>
      <w:lvlJc w:val="left"/>
      <w:pPr>
        <w:ind w:left="8355" w:hanging="360"/>
      </w:pPr>
      <w:rPr>
        <w:rFonts w:ascii="Wingdings" w:hAnsi="Wingdings" w:hint="default"/>
      </w:rPr>
    </w:lvl>
    <w:lvl w:ilvl="6" w:tplc="08130001">
      <w:start w:val="1"/>
      <w:numFmt w:val="bullet"/>
      <w:lvlText w:val=""/>
      <w:lvlJc w:val="left"/>
      <w:pPr>
        <w:ind w:left="9075" w:hanging="360"/>
      </w:pPr>
      <w:rPr>
        <w:rFonts w:ascii="Symbol" w:hAnsi="Symbol" w:hint="default"/>
      </w:rPr>
    </w:lvl>
    <w:lvl w:ilvl="7" w:tplc="08130003">
      <w:start w:val="1"/>
      <w:numFmt w:val="bullet"/>
      <w:lvlText w:val="o"/>
      <w:lvlJc w:val="left"/>
      <w:pPr>
        <w:ind w:left="9795" w:hanging="360"/>
      </w:pPr>
      <w:rPr>
        <w:rFonts w:ascii="Courier New" w:hAnsi="Courier New" w:hint="default"/>
      </w:rPr>
    </w:lvl>
    <w:lvl w:ilvl="8" w:tplc="08130005">
      <w:start w:val="1"/>
      <w:numFmt w:val="bullet"/>
      <w:lvlText w:val=""/>
      <w:lvlJc w:val="left"/>
      <w:pPr>
        <w:ind w:left="1051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4"/>
  </w:num>
  <w:num w:numId="8">
    <w:abstractNumId w:val="7"/>
  </w:num>
  <w:num w:numId="9">
    <w:abstractNumId w:val="8"/>
  </w:num>
  <w:num w:numId="10">
    <w:abstractNumId w:val="5"/>
  </w:num>
  <w:num w:numId="11">
    <w:abstractNumId w:val="1"/>
  </w:num>
  <w:num w:numId="12">
    <w:abstractNumId w:val="11"/>
  </w:num>
  <w:num w:numId="13">
    <w:abstractNumId w:val="3"/>
  </w:num>
  <w:num w:numId="14">
    <w:abstractNumId w:val="10"/>
  </w:num>
  <w:num w:numId="15">
    <w:abstractNumId w:val="6"/>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2492F"/>
    <w:rsid w:val="000547B1"/>
    <w:rsid w:val="000865DB"/>
    <w:rsid w:val="000976E9"/>
    <w:rsid w:val="000A1CF3"/>
    <w:rsid w:val="000C2FF7"/>
    <w:rsid w:val="000C4E8C"/>
    <w:rsid w:val="000F3532"/>
    <w:rsid w:val="000F751C"/>
    <w:rsid w:val="001232A0"/>
    <w:rsid w:val="00160BEA"/>
    <w:rsid w:val="00162A0B"/>
    <w:rsid w:val="00170D79"/>
    <w:rsid w:val="001936B8"/>
    <w:rsid w:val="001B2135"/>
    <w:rsid w:val="001B6E48"/>
    <w:rsid w:val="001C7DBC"/>
    <w:rsid w:val="001F29CC"/>
    <w:rsid w:val="001F2C34"/>
    <w:rsid w:val="001F7390"/>
    <w:rsid w:val="00210C07"/>
    <w:rsid w:val="002619E3"/>
    <w:rsid w:val="00266E3B"/>
    <w:rsid w:val="00276B8B"/>
    <w:rsid w:val="002838C0"/>
    <w:rsid w:val="00294981"/>
    <w:rsid w:val="00314A24"/>
    <w:rsid w:val="00326A58"/>
    <w:rsid w:val="00326BD3"/>
    <w:rsid w:val="00344932"/>
    <w:rsid w:val="0036763D"/>
    <w:rsid w:val="003C5804"/>
    <w:rsid w:val="003D4C70"/>
    <w:rsid w:val="003E5481"/>
    <w:rsid w:val="004075E7"/>
    <w:rsid w:val="00410332"/>
    <w:rsid w:val="0041554A"/>
    <w:rsid w:val="004E2833"/>
    <w:rsid w:val="004F2BDA"/>
    <w:rsid w:val="00535788"/>
    <w:rsid w:val="0054487E"/>
    <w:rsid w:val="00566C53"/>
    <w:rsid w:val="005900AD"/>
    <w:rsid w:val="005A27B4"/>
    <w:rsid w:val="005C6DEE"/>
    <w:rsid w:val="005E38CA"/>
    <w:rsid w:val="005E4AA4"/>
    <w:rsid w:val="0060266A"/>
    <w:rsid w:val="00625934"/>
    <w:rsid w:val="0063138E"/>
    <w:rsid w:val="006548DD"/>
    <w:rsid w:val="00660C9A"/>
    <w:rsid w:val="00661838"/>
    <w:rsid w:val="006632D5"/>
    <w:rsid w:val="00676FBD"/>
    <w:rsid w:val="00677933"/>
    <w:rsid w:val="006A1B67"/>
    <w:rsid w:val="006B4954"/>
    <w:rsid w:val="006B5BAA"/>
    <w:rsid w:val="006C7C72"/>
    <w:rsid w:val="006F4990"/>
    <w:rsid w:val="006F4AA9"/>
    <w:rsid w:val="0071248C"/>
    <w:rsid w:val="00712C47"/>
    <w:rsid w:val="00721D85"/>
    <w:rsid w:val="007252C7"/>
    <w:rsid w:val="007474BA"/>
    <w:rsid w:val="00785A0D"/>
    <w:rsid w:val="007D7168"/>
    <w:rsid w:val="007F08D2"/>
    <w:rsid w:val="007F3C50"/>
    <w:rsid w:val="007F60A8"/>
    <w:rsid w:val="00830C5B"/>
    <w:rsid w:val="008346AE"/>
    <w:rsid w:val="008873B1"/>
    <w:rsid w:val="00894185"/>
    <w:rsid w:val="008A713D"/>
    <w:rsid w:val="008B3BFA"/>
    <w:rsid w:val="008D30FA"/>
    <w:rsid w:val="008D5DB4"/>
    <w:rsid w:val="009233F2"/>
    <w:rsid w:val="009347E0"/>
    <w:rsid w:val="00970425"/>
    <w:rsid w:val="009A7D32"/>
    <w:rsid w:val="009D5139"/>
    <w:rsid w:val="009D7043"/>
    <w:rsid w:val="009F434E"/>
    <w:rsid w:val="00A332E9"/>
    <w:rsid w:val="00A42280"/>
    <w:rsid w:val="00A428A0"/>
    <w:rsid w:val="00A56A0C"/>
    <w:rsid w:val="00A651F3"/>
    <w:rsid w:val="00A76EC9"/>
    <w:rsid w:val="00A804C0"/>
    <w:rsid w:val="00B45EB2"/>
    <w:rsid w:val="00B5305A"/>
    <w:rsid w:val="00B60F0E"/>
    <w:rsid w:val="00BD7256"/>
    <w:rsid w:val="00BE425A"/>
    <w:rsid w:val="00BF4B71"/>
    <w:rsid w:val="00C0707D"/>
    <w:rsid w:val="00C1768E"/>
    <w:rsid w:val="00C254D6"/>
    <w:rsid w:val="00C87932"/>
    <w:rsid w:val="00D34436"/>
    <w:rsid w:val="00D50F51"/>
    <w:rsid w:val="00D71D99"/>
    <w:rsid w:val="00D754F2"/>
    <w:rsid w:val="00DA1610"/>
    <w:rsid w:val="00DB41C0"/>
    <w:rsid w:val="00DC4DB6"/>
    <w:rsid w:val="00DD4121"/>
    <w:rsid w:val="00DF24A7"/>
    <w:rsid w:val="00DF3592"/>
    <w:rsid w:val="00DF59D3"/>
    <w:rsid w:val="00E02C20"/>
    <w:rsid w:val="00E148F1"/>
    <w:rsid w:val="00E31F4D"/>
    <w:rsid w:val="00E55200"/>
    <w:rsid w:val="00E60DF0"/>
    <w:rsid w:val="00EA1A2A"/>
    <w:rsid w:val="00EF57A3"/>
    <w:rsid w:val="00F369E3"/>
    <w:rsid w:val="00F71FF5"/>
    <w:rsid w:val="00F97ADB"/>
    <w:rsid w:val="00FA29D6"/>
    <w:rsid w:val="00FB18BD"/>
    <w:rsid w:val="00FB2252"/>
    <w:rsid w:val="00FD132E"/>
    <w:rsid w:val="00FD5BF4"/>
    <w:rsid w:val="00FE5406"/>
    <w:rsid w:val="00FF13F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9233F2"/>
    <w:pPr>
      <w:jc w:val="both"/>
    </w:pPr>
    <w:rPr>
      <w:szCs w:val="20"/>
    </w:rPr>
  </w:style>
  <w:style w:type="paragraph" w:styleId="ListParagraph">
    <w:name w:val="List Paragraph"/>
    <w:basedOn w:val="Normal"/>
    <w:uiPriority w:val="99"/>
    <w:qFormat/>
    <w:rsid w:val="008D30FA"/>
    <w:pPr>
      <w:spacing w:after="200" w:line="276" w:lineRule="auto"/>
      <w:ind w:left="720"/>
      <w:contextualSpacing/>
    </w:pPr>
    <w:rPr>
      <w:rFonts w:ascii="Calibri" w:hAnsi="Calibri"/>
      <w:szCs w:val="22"/>
      <w:lang w:val="nl-BE" w:eastAsia="en-US"/>
    </w:rPr>
  </w:style>
  <w:style w:type="character" w:customStyle="1" w:styleId="StandaardSVChar">
    <w:name w:val="Standaard SV Char"/>
    <w:basedOn w:val="DefaultParagraphFont"/>
    <w:link w:val="StandaardSV"/>
    <w:uiPriority w:val="99"/>
    <w:locked/>
    <w:rsid w:val="00B5305A"/>
    <w:rPr>
      <w:rFonts w:cs="Times New Roman"/>
      <w:sz w:val="22"/>
      <w:lang w:val="nl-NL" w:eastAsia="nl-NL"/>
    </w:rPr>
  </w:style>
  <w:style w:type="paragraph" w:styleId="ListNumber">
    <w:name w:val="List Number"/>
    <w:basedOn w:val="Normal"/>
    <w:uiPriority w:val="99"/>
    <w:rsid w:val="00B5305A"/>
    <w:pPr>
      <w:tabs>
        <w:tab w:val="num" w:pos="357"/>
      </w:tabs>
      <w:suppressAutoHyphens/>
      <w:ind w:left="357" w:hanging="357"/>
    </w:pPr>
    <w:rPr>
      <w:lang w:eastAsia="ar-SA"/>
    </w:rPr>
  </w:style>
  <w:style w:type="paragraph" w:customStyle="1" w:styleId="SVTitel">
    <w:name w:val="SV Titel"/>
    <w:basedOn w:val="Normal"/>
    <w:uiPriority w:val="99"/>
    <w:rsid w:val="00B5305A"/>
    <w:pPr>
      <w:jc w:val="both"/>
    </w:pPr>
    <w:rPr>
      <w:i/>
      <w:szCs w:val="20"/>
    </w:rPr>
  </w:style>
  <w:style w:type="character" w:customStyle="1" w:styleId="st1">
    <w:name w:val="st1"/>
    <w:basedOn w:val="DefaultParagraphFont"/>
    <w:uiPriority w:val="99"/>
    <w:rsid w:val="002838C0"/>
    <w:rPr>
      <w:rFonts w:cs="Times New Roman"/>
    </w:rPr>
  </w:style>
</w:styles>
</file>

<file path=word/webSettings.xml><?xml version="1.0" encoding="utf-8"?>
<w:webSettings xmlns:r="http://schemas.openxmlformats.org/officeDocument/2006/relationships" xmlns:w="http://schemas.openxmlformats.org/wordprocessingml/2006/main">
  <w:divs>
    <w:div w:id="1887063086">
      <w:marLeft w:val="0"/>
      <w:marRight w:val="0"/>
      <w:marTop w:val="0"/>
      <w:marBottom w:val="0"/>
      <w:divBdr>
        <w:top w:val="none" w:sz="0" w:space="0" w:color="auto"/>
        <w:left w:val="none" w:sz="0" w:space="0" w:color="auto"/>
        <w:bottom w:val="none" w:sz="0" w:space="0" w:color="auto"/>
        <w:right w:val="none" w:sz="0" w:space="0" w:color="auto"/>
      </w:divBdr>
    </w:div>
    <w:div w:id="1887063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4</Pages>
  <Words>1726</Words>
  <Characters>9494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2012-01-09T09:02:00Z</cp:lastPrinted>
  <dcterms:created xsi:type="dcterms:W3CDTF">2012-01-25T10:14:00Z</dcterms:created>
  <dcterms:modified xsi:type="dcterms:W3CDTF">2012-01-26T09:06:00Z</dcterms:modified>
</cp:coreProperties>
</file>