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33BF9" w:rsidRPr="00DD4121" w:rsidRDefault="00933BF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geert bourgeois</w:t>
      </w:r>
      <w:r>
        <w:rPr>
          <w:szCs w:val="22"/>
        </w:rPr>
        <w:fldChar w:fldCharType="end"/>
      </w:r>
      <w:bookmarkEnd w:id="0"/>
    </w:p>
    <w:bookmarkStart w:id="1" w:name="Text2"/>
    <w:p w:rsidR="00933BF9" w:rsidRDefault="00933BF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933BF9" w:rsidRPr="00015BF7" w:rsidRDefault="00933BF9" w:rsidP="000976E9">
      <w:pPr>
        <w:pStyle w:val="A-TitelMinister"/>
      </w:pPr>
      <w:r>
        <w:t>vlaams minister van bestuurszaken, binnenlands bestuur, inburgering, toerisme en vlaamse rand</w:t>
      </w:r>
      <w:r>
        <w:fldChar w:fldCharType="end"/>
      </w:r>
      <w:bookmarkEnd w:id="1"/>
    </w:p>
    <w:p w:rsidR="00933BF9" w:rsidRPr="00015BF7" w:rsidRDefault="00933BF9" w:rsidP="000976E9">
      <w:pPr>
        <w:rPr>
          <w:szCs w:val="22"/>
        </w:rPr>
      </w:pPr>
    </w:p>
    <w:p w:rsidR="00933BF9" w:rsidRPr="00DB41C0" w:rsidRDefault="00933BF9" w:rsidP="000976E9">
      <w:pPr>
        <w:pStyle w:val="A-Lijn"/>
      </w:pPr>
    </w:p>
    <w:p w:rsidR="00933BF9" w:rsidRDefault="00933BF9" w:rsidP="000976E9">
      <w:pPr>
        <w:pStyle w:val="A-Type"/>
        <w:sectPr w:rsidR="00933BF9">
          <w:pgSz w:w="11906" w:h="16838"/>
          <w:pgMar w:top="1417" w:right="1417" w:bottom="1417" w:left="1417" w:header="708" w:footer="708" w:gutter="0"/>
          <w:cols w:space="708"/>
          <w:rtlGutter/>
          <w:docGrid w:linePitch="360"/>
        </w:sectPr>
      </w:pPr>
    </w:p>
    <w:p w:rsidR="00933BF9" w:rsidRDefault="00933BF9" w:rsidP="000976E9">
      <w:pPr>
        <w:pStyle w:val="A-Type"/>
        <w:sectPr w:rsidR="00933BF9"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933BF9" w:rsidRPr="00326A58" w:rsidRDefault="00933BF9"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194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933BF9" w:rsidRDefault="00933BF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933BF9" w:rsidRPr="00015BF7" w:rsidRDefault="00933BF9" w:rsidP="000976E9">
      <w:pPr>
        <w:rPr>
          <w:szCs w:val="22"/>
        </w:rPr>
      </w:pPr>
    </w:p>
    <w:p w:rsidR="00933BF9" w:rsidRPr="00DB41C0" w:rsidRDefault="00933BF9" w:rsidP="000976E9">
      <w:pPr>
        <w:pStyle w:val="A-Lijn"/>
      </w:pPr>
    </w:p>
    <w:p w:rsidR="00933BF9" w:rsidRPr="00DB41C0" w:rsidRDefault="00933BF9" w:rsidP="000976E9">
      <w:pPr>
        <w:pStyle w:val="A-Lijn"/>
      </w:pPr>
    </w:p>
    <w:p w:rsidR="00933BF9" w:rsidRDefault="00933BF9" w:rsidP="00DB41C0">
      <w:pPr>
        <w:sectPr w:rsidR="00933BF9" w:rsidSect="000976E9">
          <w:type w:val="continuous"/>
          <w:pgSz w:w="11906" w:h="16838"/>
          <w:pgMar w:top="1417" w:right="1417" w:bottom="1417" w:left="1417" w:header="708" w:footer="708" w:gutter="0"/>
          <w:cols w:space="708"/>
          <w:rtlGutter/>
          <w:docGrid w:linePitch="360"/>
        </w:sectPr>
      </w:pPr>
    </w:p>
    <w:p w:rsidR="00933BF9" w:rsidRDefault="00933BF9" w:rsidP="00E532DE">
      <w:pPr>
        <w:numPr>
          <w:ilvl w:val="0"/>
          <w:numId w:val="7"/>
        </w:numPr>
        <w:tabs>
          <w:tab w:val="left" w:pos="567"/>
        </w:tabs>
        <w:jc w:val="both"/>
      </w:pPr>
      <w:r>
        <w:t xml:space="preserve">Er zijn geen ambtelijke samenwerkingsvormen tussen het team </w:t>
      </w:r>
      <w:r w:rsidRPr="003D167F">
        <w:rPr>
          <w:i/>
        </w:rPr>
        <w:t>Coördinatie Vlaamse Rand</w:t>
      </w:r>
      <w:r>
        <w:t xml:space="preserve"> van het departement Diensten voor het Algemeen Regeringsbeleid (DAR) enerzijds en de Vlaamse Gemeenschapscommissie (VGC) anderzijds.</w:t>
      </w:r>
    </w:p>
    <w:p w:rsidR="00933BF9" w:rsidRDefault="00933BF9" w:rsidP="00B619DA">
      <w:pPr>
        <w:tabs>
          <w:tab w:val="left" w:pos="567"/>
        </w:tabs>
        <w:ind w:left="567"/>
        <w:jc w:val="both"/>
      </w:pPr>
    </w:p>
    <w:p w:rsidR="00933BF9" w:rsidRDefault="00933BF9" w:rsidP="00E532DE">
      <w:pPr>
        <w:tabs>
          <w:tab w:val="left" w:pos="567"/>
        </w:tabs>
        <w:ind w:left="360"/>
        <w:jc w:val="both"/>
      </w:pPr>
      <w:r>
        <w:t xml:space="preserve">Zoals reeds is uiteengezet in het antwoord op uw schriftelijke vraag nr. 512 van 12 juli 2011 behoort, naast het team </w:t>
      </w:r>
      <w:r w:rsidRPr="003D167F">
        <w:rPr>
          <w:i/>
        </w:rPr>
        <w:t>Coördinatie Vlaamse Rand</w:t>
      </w:r>
      <w:r>
        <w:rPr>
          <w:i/>
        </w:rPr>
        <w:t xml:space="preserve">, </w:t>
      </w:r>
      <w:r>
        <w:t xml:space="preserve">ook het team </w:t>
      </w:r>
      <w:r w:rsidRPr="003D167F">
        <w:rPr>
          <w:i/>
        </w:rPr>
        <w:t>Coördinatie Brussel</w:t>
      </w:r>
      <w:r>
        <w:t xml:space="preserve"> - dat onder de bevoegdheid valt van minister Pascal Smet - tot het departement DAR. Zij ressorteren structureel zelfs onder dezelfde afdeling. Op die manier kan bij de uitwerking van het beleid inzake de Vlaamse Rand rekening gehouden worden met aandachtspunten vanuit Brussel, en omgekeerd.</w:t>
      </w:r>
    </w:p>
    <w:p w:rsidR="00933BF9" w:rsidRDefault="00933BF9" w:rsidP="007B75B9">
      <w:pPr>
        <w:tabs>
          <w:tab w:val="left" w:pos="567"/>
        </w:tabs>
        <w:ind w:left="567" w:hanging="567"/>
        <w:jc w:val="both"/>
      </w:pPr>
    </w:p>
    <w:p w:rsidR="00933BF9" w:rsidRDefault="00933BF9" w:rsidP="00E532DE">
      <w:pPr>
        <w:numPr>
          <w:ilvl w:val="0"/>
          <w:numId w:val="7"/>
        </w:numPr>
        <w:tabs>
          <w:tab w:val="left" w:pos="567"/>
        </w:tabs>
        <w:jc w:val="both"/>
      </w:pPr>
      <w:r>
        <w:t>Ikzelf ben in de Vlaamse Regering bevoegd voor de coördinatie van het beleid dat de Vlaamse overheid voert in de Vlaamse Rand.</w:t>
      </w:r>
    </w:p>
    <w:p w:rsidR="00933BF9" w:rsidRDefault="00933BF9" w:rsidP="006806AB">
      <w:pPr>
        <w:tabs>
          <w:tab w:val="left" w:pos="567"/>
        </w:tabs>
        <w:ind w:left="567"/>
        <w:jc w:val="both"/>
      </w:pPr>
    </w:p>
    <w:p w:rsidR="00933BF9" w:rsidRDefault="00933BF9" w:rsidP="00E532DE">
      <w:pPr>
        <w:tabs>
          <w:tab w:val="left" w:pos="567"/>
        </w:tabs>
        <w:ind w:left="360"/>
        <w:jc w:val="both"/>
      </w:pPr>
      <w:r>
        <w:t xml:space="preserve">Mijn collega Pascal Smet is bevoegd voor de coördinatie van het beleid met betrekking tot Brussel-Hoofdstad en is namens de Vlaamse Regering ook belast met het toezicht op de VGC. </w:t>
      </w:r>
      <w:r w:rsidRPr="00C32371">
        <w:t>Tevens is hij door de Vlaamse Regering aangewezen om als Brussels lid van de Vlaamse Regering de vergaderingen van het College van de Vlaamse Gemeenschapscommissie met raadgevende stem bij te wonen, zoals bepaald in artikel 76 van de bijzondere wet van 12 januari 1989 met betrekking tot de Brusselse instellingen.</w:t>
      </w:r>
    </w:p>
    <w:p w:rsidR="00933BF9" w:rsidRDefault="00933BF9" w:rsidP="00E532DE">
      <w:pPr>
        <w:ind w:left="360"/>
        <w:jc w:val="both"/>
      </w:pPr>
    </w:p>
    <w:p w:rsidR="00933BF9" w:rsidRDefault="00933BF9" w:rsidP="00E532DE">
      <w:pPr>
        <w:ind w:left="360"/>
        <w:jc w:val="both"/>
      </w:pPr>
      <w:r>
        <w:t>Het behoort dus niet tot mijn bevoegdheid om structureel te overleggen met het College van de VGC. Het overleg over gemeenschappelijke beleidsinitiatieven inzake gemeenschapsmateries met betrekking tot Brussel en de Vlaamse Rand vindt plaats in de schoot van de Vlaamse Regering.</w:t>
      </w:r>
    </w:p>
    <w:p w:rsidR="00933BF9" w:rsidRDefault="00933BF9" w:rsidP="00E532DE">
      <w:pPr>
        <w:ind w:left="360"/>
        <w:jc w:val="both"/>
      </w:pPr>
    </w:p>
    <w:p w:rsidR="00933BF9" w:rsidRDefault="00933BF9" w:rsidP="00E532DE">
      <w:pPr>
        <w:ind w:left="360"/>
        <w:jc w:val="both"/>
      </w:pPr>
      <w:r>
        <w:t>Elk beleidsdomein van de Vlaamse administratie heeft ook (voor zover relevant) een vertegenwoordiger in de Task Force Brussel, zowel als in het Coördinatieplatform Vlaams Strategisch Gebied rond Brussel (VSGB), zodat er vanuit die beide fora ook afstemming is op ambtelijk niveau met het inhoudelijk bevoegde departement en/of agentschap. Van daaruit kan, waar nuttig of nodig, samenwerking met de VGC worden opgezet.</w:t>
      </w:r>
    </w:p>
    <w:p w:rsidR="00933BF9" w:rsidRDefault="00933BF9" w:rsidP="00F5469E">
      <w:pPr>
        <w:jc w:val="both"/>
      </w:pPr>
    </w:p>
    <w:p w:rsidR="00933BF9" w:rsidRDefault="00933BF9" w:rsidP="00E532DE">
      <w:pPr>
        <w:numPr>
          <w:ilvl w:val="0"/>
          <w:numId w:val="7"/>
        </w:numPr>
        <w:tabs>
          <w:tab w:val="left" w:pos="567"/>
        </w:tabs>
        <w:jc w:val="both"/>
      </w:pPr>
      <w:r>
        <w:t>Er is evenmin structureel beleidsoverleg tussen de vzw ‘de Rand’ en de VGC. Het spreekt echter vanzelf dat de vzw ‘de Rand’, wanneer dat voor bepaalde projecten of initiatieven nuttig of nodig is, streeft naar samenwerking met de diensten of medewerkers van de VGC, en vice versa.</w:t>
      </w:r>
    </w:p>
    <w:p w:rsidR="00933BF9" w:rsidRDefault="00933BF9" w:rsidP="00F80B37">
      <w:pPr>
        <w:tabs>
          <w:tab w:val="left" w:pos="567"/>
        </w:tabs>
        <w:ind w:left="567"/>
        <w:jc w:val="both"/>
      </w:pPr>
    </w:p>
    <w:p w:rsidR="00933BF9" w:rsidRDefault="00933BF9" w:rsidP="00E532DE">
      <w:pPr>
        <w:tabs>
          <w:tab w:val="left" w:pos="567"/>
        </w:tabs>
        <w:ind w:left="360"/>
        <w:jc w:val="both"/>
      </w:pPr>
      <w:r>
        <w:t>Zo heeft de vzw ‘de Rand’ samengewerkt met de taalondersteuners van de VGC voor een studiedag inzake expertise-uitwisseling met betrekking tot taalstimulering voor kinderen in hun vrije tijd (in jeugdtheater Bronks op 25 maart 2011).</w:t>
      </w:r>
    </w:p>
    <w:p w:rsidR="00933BF9" w:rsidRDefault="00933BF9" w:rsidP="00E532DE">
      <w:pPr>
        <w:tabs>
          <w:tab w:val="left" w:pos="567"/>
        </w:tabs>
        <w:ind w:left="360"/>
        <w:jc w:val="both"/>
      </w:pPr>
    </w:p>
    <w:p w:rsidR="00933BF9" w:rsidRDefault="00933BF9" w:rsidP="00E532DE">
      <w:pPr>
        <w:tabs>
          <w:tab w:val="left" w:pos="567"/>
        </w:tabs>
        <w:ind w:left="360"/>
        <w:jc w:val="both"/>
      </w:pPr>
      <w:r>
        <w:t>Ook zijn de voorzitter en de directeur van de vzw ‘de Rand’ al gehoord door de adviescommissie cultuur van de VGC (op 6 september 2011) en zijn er ad hoc samenwerkings-projecten tussen Brusselse gemeenschapscentra en gemeenschapscentra van vzw ‘de Rand’. De ondersteunings</w:t>
      </w:r>
      <w:r>
        <w:softHyphen/>
        <w:t xml:space="preserve">materialen die vzw ‘de Rand’ ontwikkelt (bvb. de DVD’s voor sportclubs en voor jeugdwerk) worden </w:t>
      </w:r>
      <w:bookmarkStart w:id="6" w:name="_GoBack"/>
      <w:bookmarkEnd w:id="6"/>
      <w:r>
        <w:t>ook ter beschikking gesteld van de VGC.</w:t>
      </w:r>
    </w:p>
    <w:p w:rsidR="00933BF9" w:rsidRDefault="00933BF9" w:rsidP="00F5469E">
      <w:pPr>
        <w:tabs>
          <w:tab w:val="left" w:pos="567"/>
        </w:tabs>
        <w:jc w:val="both"/>
      </w:pPr>
    </w:p>
    <w:p w:rsidR="00933BF9" w:rsidRPr="00C32371" w:rsidRDefault="00933BF9" w:rsidP="00E532DE">
      <w:pPr>
        <w:numPr>
          <w:ilvl w:val="0"/>
          <w:numId w:val="7"/>
        </w:numPr>
        <w:tabs>
          <w:tab w:val="left" w:pos="567"/>
        </w:tabs>
        <w:jc w:val="both"/>
      </w:pPr>
      <w:r>
        <w:t>Rekening houdend met het bovenstaande geef ik de voorkeur aan een verdere samenwerking ad hoc zoals die in het verleden werd ontwikkeld. Dit biedt ook de meeste flexibiliteit en laat toe de juiste mensen bij de juiste initiatieven te betrekken op de meest efficiënte manier. Via de hoger vermelde kanalen en bevoegdheden zijn er voldoende mogelijkheden om samenwerkings-behoeften tijdig te detecteren.</w:t>
      </w:r>
    </w:p>
    <w:sectPr w:rsidR="00933BF9" w:rsidRPr="00C3237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1DA9"/>
    <w:multiLevelType w:val="hybridMultilevel"/>
    <w:tmpl w:val="50ECC6EE"/>
    <w:lvl w:ilvl="0" w:tplc="EE524A2E">
      <w:start w:val="1"/>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CAC7884"/>
    <w:multiLevelType w:val="hybridMultilevel"/>
    <w:tmpl w:val="C714EE28"/>
    <w:lvl w:ilvl="0" w:tplc="0813000F">
      <w:start w:val="1"/>
      <w:numFmt w:val="decimal"/>
      <w:lvlText w:val="%1."/>
      <w:lvlJc w:val="left"/>
      <w:pPr>
        <w:ind w:left="2345" w:hanging="360"/>
      </w:pPr>
      <w:rPr>
        <w:rFonts w:cs="Times New Roman" w:hint="default"/>
      </w:rPr>
    </w:lvl>
    <w:lvl w:ilvl="1" w:tplc="08130019" w:tentative="1">
      <w:start w:val="1"/>
      <w:numFmt w:val="lowerLetter"/>
      <w:lvlText w:val="%2."/>
      <w:lvlJc w:val="left"/>
      <w:pPr>
        <w:ind w:left="3065" w:hanging="360"/>
      </w:pPr>
      <w:rPr>
        <w:rFonts w:cs="Times New Roman"/>
      </w:rPr>
    </w:lvl>
    <w:lvl w:ilvl="2" w:tplc="0813001B" w:tentative="1">
      <w:start w:val="1"/>
      <w:numFmt w:val="lowerRoman"/>
      <w:lvlText w:val="%3."/>
      <w:lvlJc w:val="right"/>
      <w:pPr>
        <w:ind w:left="3785" w:hanging="180"/>
      </w:pPr>
      <w:rPr>
        <w:rFonts w:cs="Times New Roman"/>
      </w:rPr>
    </w:lvl>
    <w:lvl w:ilvl="3" w:tplc="0813000F" w:tentative="1">
      <w:start w:val="1"/>
      <w:numFmt w:val="decimal"/>
      <w:lvlText w:val="%4."/>
      <w:lvlJc w:val="left"/>
      <w:pPr>
        <w:ind w:left="4505" w:hanging="360"/>
      </w:pPr>
      <w:rPr>
        <w:rFonts w:cs="Times New Roman"/>
      </w:rPr>
    </w:lvl>
    <w:lvl w:ilvl="4" w:tplc="08130019" w:tentative="1">
      <w:start w:val="1"/>
      <w:numFmt w:val="lowerLetter"/>
      <w:lvlText w:val="%5."/>
      <w:lvlJc w:val="left"/>
      <w:pPr>
        <w:ind w:left="5225" w:hanging="360"/>
      </w:pPr>
      <w:rPr>
        <w:rFonts w:cs="Times New Roman"/>
      </w:rPr>
    </w:lvl>
    <w:lvl w:ilvl="5" w:tplc="0813001B" w:tentative="1">
      <w:start w:val="1"/>
      <w:numFmt w:val="lowerRoman"/>
      <w:lvlText w:val="%6."/>
      <w:lvlJc w:val="right"/>
      <w:pPr>
        <w:ind w:left="5945" w:hanging="180"/>
      </w:pPr>
      <w:rPr>
        <w:rFonts w:cs="Times New Roman"/>
      </w:rPr>
    </w:lvl>
    <w:lvl w:ilvl="6" w:tplc="0813000F" w:tentative="1">
      <w:start w:val="1"/>
      <w:numFmt w:val="decimal"/>
      <w:lvlText w:val="%7."/>
      <w:lvlJc w:val="left"/>
      <w:pPr>
        <w:ind w:left="6665" w:hanging="360"/>
      </w:pPr>
      <w:rPr>
        <w:rFonts w:cs="Times New Roman"/>
      </w:rPr>
    </w:lvl>
    <w:lvl w:ilvl="7" w:tplc="08130019" w:tentative="1">
      <w:start w:val="1"/>
      <w:numFmt w:val="lowerLetter"/>
      <w:lvlText w:val="%8."/>
      <w:lvlJc w:val="left"/>
      <w:pPr>
        <w:ind w:left="7385" w:hanging="360"/>
      </w:pPr>
      <w:rPr>
        <w:rFonts w:cs="Times New Roman"/>
      </w:rPr>
    </w:lvl>
    <w:lvl w:ilvl="8" w:tplc="0813001B" w:tentative="1">
      <w:start w:val="1"/>
      <w:numFmt w:val="lowerRoman"/>
      <w:lvlText w:val="%9."/>
      <w:lvlJc w:val="right"/>
      <w:pPr>
        <w:ind w:left="8105" w:hanging="180"/>
      </w:pPr>
      <w:rPr>
        <w:rFonts w:cs="Times New Roman"/>
      </w:rPr>
    </w:lvl>
  </w:abstractNum>
  <w:abstractNum w:abstractNumId="2">
    <w:nsid w:val="2F0D4258"/>
    <w:multiLevelType w:val="hybridMultilevel"/>
    <w:tmpl w:val="51B8570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408B6071"/>
    <w:multiLevelType w:val="hybridMultilevel"/>
    <w:tmpl w:val="797E4E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480C4A96"/>
    <w:multiLevelType w:val="hybridMultilevel"/>
    <w:tmpl w:val="5A9689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5"/>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05E89"/>
    <w:rsid w:val="00015BF7"/>
    <w:rsid w:val="0006614B"/>
    <w:rsid w:val="000865DB"/>
    <w:rsid w:val="000976E9"/>
    <w:rsid w:val="000A42AB"/>
    <w:rsid w:val="000C4E8C"/>
    <w:rsid w:val="000F3532"/>
    <w:rsid w:val="0011548D"/>
    <w:rsid w:val="00167754"/>
    <w:rsid w:val="001A409B"/>
    <w:rsid w:val="001B6E48"/>
    <w:rsid w:val="001F47B0"/>
    <w:rsid w:val="001F7390"/>
    <w:rsid w:val="00210C07"/>
    <w:rsid w:val="002471F8"/>
    <w:rsid w:val="002508B6"/>
    <w:rsid w:val="00266E3B"/>
    <w:rsid w:val="00276ECF"/>
    <w:rsid w:val="00292FC6"/>
    <w:rsid w:val="002A2D40"/>
    <w:rsid w:val="002B59FF"/>
    <w:rsid w:val="002D474F"/>
    <w:rsid w:val="002F41F8"/>
    <w:rsid w:val="00326A58"/>
    <w:rsid w:val="00343457"/>
    <w:rsid w:val="00393857"/>
    <w:rsid w:val="003B60DD"/>
    <w:rsid w:val="003C15D5"/>
    <w:rsid w:val="003D167F"/>
    <w:rsid w:val="00447113"/>
    <w:rsid w:val="00460A4D"/>
    <w:rsid w:val="004A609A"/>
    <w:rsid w:val="004B40A1"/>
    <w:rsid w:val="004E2833"/>
    <w:rsid w:val="00564BD8"/>
    <w:rsid w:val="00566C53"/>
    <w:rsid w:val="005858D2"/>
    <w:rsid w:val="005900AD"/>
    <w:rsid w:val="005A2B67"/>
    <w:rsid w:val="005E0939"/>
    <w:rsid w:val="005E38CA"/>
    <w:rsid w:val="00610360"/>
    <w:rsid w:val="0063138E"/>
    <w:rsid w:val="006548DD"/>
    <w:rsid w:val="006806AB"/>
    <w:rsid w:val="006C6AE7"/>
    <w:rsid w:val="0071248C"/>
    <w:rsid w:val="007252C7"/>
    <w:rsid w:val="007379D6"/>
    <w:rsid w:val="00742415"/>
    <w:rsid w:val="007474BA"/>
    <w:rsid w:val="007659B4"/>
    <w:rsid w:val="00785A0D"/>
    <w:rsid w:val="007B75B9"/>
    <w:rsid w:val="007D22A9"/>
    <w:rsid w:val="007E70B6"/>
    <w:rsid w:val="007F60A8"/>
    <w:rsid w:val="008346AE"/>
    <w:rsid w:val="00852C00"/>
    <w:rsid w:val="00887A47"/>
    <w:rsid w:val="00894185"/>
    <w:rsid w:val="008A4053"/>
    <w:rsid w:val="008A713D"/>
    <w:rsid w:val="008D5DB4"/>
    <w:rsid w:val="00933BF9"/>
    <w:rsid w:val="009347E0"/>
    <w:rsid w:val="00944702"/>
    <w:rsid w:val="00963B41"/>
    <w:rsid w:val="009C5EF8"/>
    <w:rsid w:val="009D7043"/>
    <w:rsid w:val="00A22BBE"/>
    <w:rsid w:val="00A41D00"/>
    <w:rsid w:val="00A42280"/>
    <w:rsid w:val="00A54A51"/>
    <w:rsid w:val="00A76EC9"/>
    <w:rsid w:val="00A804C0"/>
    <w:rsid w:val="00A82D06"/>
    <w:rsid w:val="00A9444A"/>
    <w:rsid w:val="00AA4D27"/>
    <w:rsid w:val="00B45283"/>
    <w:rsid w:val="00B45EB2"/>
    <w:rsid w:val="00B5266C"/>
    <w:rsid w:val="00B60F0E"/>
    <w:rsid w:val="00B619DA"/>
    <w:rsid w:val="00B65831"/>
    <w:rsid w:val="00B742D3"/>
    <w:rsid w:val="00BC1D26"/>
    <w:rsid w:val="00BE425A"/>
    <w:rsid w:val="00BF5596"/>
    <w:rsid w:val="00BF7D12"/>
    <w:rsid w:val="00C00B50"/>
    <w:rsid w:val="00C04087"/>
    <w:rsid w:val="00C0707D"/>
    <w:rsid w:val="00C17119"/>
    <w:rsid w:val="00C32371"/>
    <w:rsid w:val="00C54FD7"/>
    <w:rsid w:val="00C5508D"/>
    <w:rsid w:val="00C65672"/>
    <w:rsid w:val="00CE2B11"/>
    <w:rsid w:val="00D03D73"/>
    <w:rsid w:val="00D42A93"/>
    <w:rsid w:val="00D71D99"/>
    <w:rsid w:val="00D754F2"/>
    <w:rsid w:val="00DA26F3"/>
    <w:rsid w:val="00DB41C0"/>
    <w:rsid w:val="00DC4DB6"/>
    <w:rsid w:val="00DD19EF"/>
    <w:rsid w:val="00DD4121"/>
    <w:rsid w:val="00E20467"/>
    <w:rsid w:val="00E234D5"/>
    <w:rsid w:val="00E26F77"/>
    <w:rsid w:val="00E31F4D"/>
    <w:rsid w:val="00E40684"/>
    <w:rsid w:val="00E532DE"/>
    <w:rsid w:val="00E55200"/>
    <w:rsid w:val="00E61CAF"/>
    <w:rsid w:val="00E645E4"/>
    <w:rsid w:val="00E75830"/>
    <w:rsid w:val="00EB1C2D"/>
    <w:rsid w:val="00EF29D2"/>
    <w:rsid w:val="00EF2D1C"/>
    <w:rsid w:val="00F05F4D"/>
    <w:rsid w:val="00F369E3"/>
    <w:rsid w:val="00F4268C"/>
    <w:rsid w:val="00F53740"/>
    <w:rsid w:val="00F5469E"/>
    <w:rsid w:val="00F55224"/>
    <w:rsid w:val="00F76E39"/>
    <w:rsid w:val="00F80B37"/>
    <w:rsid w:val="00FA0FC7"/>
    <w:rsid w:val="00FA29D6"/>
    <w:rsid w:val="00FA2D9B"/>
    <w:rsid w:val="00FB3D24"/>
    <w:rsid w:val="00FD5BF4"/>
    <w:rsid w:val="00FE3306"/>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C5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000C5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000C53"/>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00C5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B45283"/>
    <w:pPr>
      <w:jc w:val="both"/>
    </w:pPr>
    <w:rPr>
      <w:szCs w:val="20"/>
    </w:rPr>
  </w:style>
  <w:style w:type="paragraph" w:styleId="ListParagraph">
    <w:name w:val="List Paragraph"/>
    <w:basedOn w:val="Normal"/>
    <w:uiPriority w:val="99"/>
    <w:qFormat/>
    <w:rsid w:val="00B45283"/>
    <w:pPr>
      <w:spacing w:after="200" w:line="276" w:lineRule="auto"/>
      <w:ind w:left="720"/>
      <w:contextualSpacing/>
    </w:pPr>
    <w:rPr>
      <w:rFonts w:ascii="Calibri" w:hAnsi="Calibri"/>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563</Words>
  <Characters>3098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2012-01-23T16:20:00Z</cp:lastPrinted>
  <dcterms:created xsi:type="dcterms:W3CDTF">2012-01-24T09:10:00Z</dcterms:created>
  <dcterms:modified xsi:type="dcterms:W3CDTF">2012-01-26T08:39:00Z</dcterms:modified>
</cp:coreProperties>
</file>