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D38A4" w:rsidRPr="00DD4121" w:rsidRDefault="000D38A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0D38A4" w:rsidRPr="00015BF7" w:rsidRDefault="000D38A4"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0D38A4" w:rsidRPr="00015BF7" w:rsidRDefault="000D38A4" w:rsidP="000976E9">
      <w:pPr>
        <w:rPr>
          <w:szCs w:val="22"/>
        </w:rPr>
      </w:pPr>
    </w:p>
    <w:p w:rsidR="000D38A4" w:rsidRPr="00DB41C0" w:rsidRDefault="000D38A4" w:rsidP="000976E9">
      <w:pPr>
        <w:pStyle w:val="A-Lijn"/>
      </w:pPr>
    </w:p>
    <w:p w:rsidR="000D38A4" w:rsidRDefault="000D38A4" w:rsidP="000976E9">
      <w:pPr>
        <w:pStyle w:val="A-Type"/>
        <w:sectPr w:rsidR="000D38A4">
          <w:pgSz w:w="11906" w:h="16838"/>
          <w:pgMar w:top="1417" w:right="1417" w:bottom="1417" w:left="1417" w:header="708" w:footer="708" w:gutter="0"/>
          <w:cols w:space="708"/>
          <w:rtlGutter/>
          <w:docGrid w:linePitch="360"/>
        </w:sectPr>
      </w:pPr>
    </w:p>
    <w:p w:rsidR="000D38A4" w:rsidRDefault="000D38A4" w:rsidP="003B45FE">
      <w:pPr>
        <w:pStyle w:val="A-Type"/>
        <w:outlineLvl w:val="0"/>
        <w:sectPr w:rsidR="000D38A4"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0D38A4" w:rsidRPr="00326A58" w:rsidRDefault="000D38A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117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0D38A4" w:rsidRDefault="000D38A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katrien schryvers</w:t>
      </w:r>
      <w:r w:rsidRPr="009D7043">
        <w:rPr>
          <w:rStyle w:val="AntwoordNaamMinisterChar"/>
          <w:sz w:val="22"/>
        </w:rPr>
        <w:fldChar w:fldCharType="end"/>
      </w:r>
    </w:p>
    <w:p w:rsidR="000D38A4" w:rsidRPr="00015BF7" w:rsidRDefault="000D38A4" w:rsidP="000976E9">
      <w:pPr>
        <w:rPr>
          <w:szCs w:val="22"/>
        </w:rPr>
      </w:pPr>
    </w:p>
    <w:p w:rsidR="000D38A4" w:rsidRPr="00DB41C0" w:rsidRDefault="000D38A4" w:rsidP="000976E9">
      <w:pPr>
        <w:pStyle w:val="A-Lijn"/>
      </w:pPr>
    </w:p>
    <w:p w:rsidR="000D38A4" w:rsidRPr="00DB41C0" w:rsidRDefault="000D38A4" w:rsidP="000976E9">
      <w:pPr>
        <w:pStyle w:val="A-Lijn"/>
      </w:pPr>
    </w:p>
    <w:p w:rsidR="000D38A4" w:rsidRDefault="000D38A4" w:rsidP="00DB41C0">
      <w:pPr>
        <w:sectPr w:rsidR="000D38A4" w:rsidSect="000976E9">
          <w:type w:val="continuous"/>
          <w:pgSz w:w="11906" w:h="16838"/>
          <w:pgMar w:top="1417" w:right="1417" w:bottom="1417" w:left="1417" w:header="708" w:footer="708" w:gutter="0"/>
          <w:cols w:space="708"/>
          <w:rtlGutter/>
          <w:docGrid w:linePitch="360"/>
        </w:sectPr>
      </w:pPr>
    </w:p>
    <w:p w:rsidR="000D38A4" w:rsidRDefault="000D38A4" w:rsidP="0080192D">
      <w:pPr>
        <w:pStyle w:val="ListParagraph"/>
        <w:spacing w:line="120" w:lineRule="atLeast"/>
        <w:ind w:left="284" w:hanging="284"/>
        <w:jc w:val="both"/>
        <w:rPr>
          <w:sz w:val="22"/>
          <w:szCs w:val="22"/>
        </w:rPr>
      </w:pPr>
      <w:r w:rsidRPr="008E23BC">
        <w:rPr>
          <w:sz w:val="22"/>
          <w:szCs w:val="22"/>
        </w:rPr>
        <w:t>1.</w:t>
      </w:r>
      <w:r>
        <w:rPr>
          <w:sz w:val="22"/>
          <w:szCs w:val="22"/>
        </w:rPr>
        <w:t xml:space="preserve"> </w:t>
      </w:r>
      <w:r w:rsidRPr="002B744C">
        <w:rPr>
          <w:sz w:val="22"/>
          <w:szCs w:val="22"/>
        </w:rPr>
        <w:t xml:space="preserve">Er zijn momenteel minstens 5 instanties die een </w:t>
      </w:r>
      <w:r>
        <w:rPr>
          <w:sz w:val="22"/>
          <w:szCs w:val="22"/>
        </w:rPr>
        <w:t xml:space="preserve">dergelijke </w:t>
      </w:r>
      <w:r w:rsidRPr="002B744C">
        <w:rPr>
          <w:sz w:val="22"/>
          <w:szCs w:val="22"/>
        </w:rPr>
        <w:t>registratie uitvoeren en/of registratiegegevens verwerken</w:t>
      </w:r>
      <w:r>
        <w:rPr>
          <w:sz w:val="22"/>
          <w:szCs w:val="22"/>
        </w:rPr>
        <w:t>:</w:t>
      </w:r>
    </w:p>
    <w:p w:rsidR="000D38A4" w:rsidRPr="002B744C" w:rsidRDefault="000D38A4" w:rsidP="0080192D">
      <w:pPr>
        <w:pStyle w:val="ListParagraph"/>
        <w:spacing w:line="120" w:lineRule="atLeast"/>
        <w:ind w:left="284" w:hanging="284"/>
        <w:jc w:val="both"/>
        <w:rPr>
          <w:sz w:val="22"/>
          <w:szCs w:val="22"/>
        </w:rPr>
      </w:pPr>
    </w:p>
    <w:p w:rsidR="000D38A4" w:rsidRPr="002B744C" w:rsidRDefault="000D38A4" w:rsidP="0080192D">
      <w:pPr>
        <w:pStyle w:val="ListParagraph"/>
        <w:spacing w:line="240" w:lineRule="exact"/>
        <w:ind w:left="284"/>
        <w:jc w:val="both"/>
        <w:rPr>
          <w:sz w:val="22"/>
          <w:szCs w:val="22"/>
        </w:rPr>
      </w:pPr>
      <w:r w:rsidRPr="002B744C">
        <w:rPr>
          <w:sz w:val="22"/>
          <w:szCs w:val="22"/>
        </w:rPr>
        <w:t xml:space="preserve">(1) Kind en Gezin heeft een databestand (IKAROS tot 2010; MIRAGE vanaf 2011) van pasgeborenen </w:t>
      </w:r>
      <w:r>
        <w:rPr>
          <w:sz w:val="22"/>
          <w:szCs w:val="22"/>
        </w:rPr>
        <w:t>van wie</w:t>
      </w:r>
      <w:r w:rsidRPr="002B744C">
        <w:rPr>
          <w:sz w:val="22"/>
          <w:szCs w:val="22"/>
        </w:rPr>
        <w:t xml:space="preserve"> de ouders een beroep doen op Kind en Gezin. Hieruit worden zwangerschapsduur bij geboorte, geboortegewicht, geslacht, of het </w:t>
      </w:r>
      <w:r>
        <w:rPr>
          <w:sz w:val="22"/>
          <w:szCs w:val="22"/>
        </w:rPr>
        <w:t xml:space="preserve">al dan niet </w:t>
      </w:r>
      <w:r w:rsidRPr="002B744C">
        <w:rPr>
          <w:sz w:val="22"/>
          <w:szCs w:val="22"/>
        </w:rPr>
        <w:t>een meerlingzwangerschap betreft, of er al dan niet borstvoeding werd gegeven en een aantal andere gegevens opgenomen. Deze bestanden worden</w:t>
      </w:r>
      <w:r>
        <w:rPr>
          <w:sz w:val="22"/>
          <w:szCs w:val="22"/>
        </w:rPr>
        <w:t>,</w:t>
      </w:r>
      <w:r w:rsidRPr="002B744C">
        <w:rPr>
          <w:sz w:val="22"/>
          <w:szCs w:val="22"/>
        </w:rPr>
        <w:t xml:space="preserve"> bijvoorbeeld</w:t>
      </w:r>
      <w:r>
        <w:rPr>
          <w:sz w:val="22"/>
          <w:szCs w:val="22"/>
        </w:rPr>
        <w:t>,</w:t>
      </w:r>
      <w:r w:rsidRPr="002B744C">
        <w:rPr>
          <w:sz w:val="22"/>
          <w:szCs w:val="22"/>
        </w:rPr>
        <w:t xml:space="preserve"> gebruikt om vooruit te berekenen wat het aantal jonge kinderen zal zijn (bevolkingsprojecties,</w:t>
      </w:r>
      <w:r>
        <w:rPr>
          <w:sz w:val="22"/>
          <w:szCs w:val="22"/>
        </w:rPr>
        <w:t xml:space="preserve"> </w:t>
      </w:r>
      <w:r w:rsidRPr="002B744C">
        <w:rPr>
          <w:sz w:val="22"/>
          <w:szCs w:val="22"/>
        </w:rPr>
        <w:t xml:space="preserve">bijvoorbeeld: </w:t>
      </w:r>
      <w:hyperlink r:id="rId7" w:history="1">
        <w:r w:rsidRPr="002B744C">
          <w:rPr>
            <w:rStyle w:val="Hyperlink"/>
            <w:sz w:val="22"/>
            <w:szCs w:val="22"/>
          </w:rPr>
          <w:t>http://www.kindengezin.be/img/vooruitberekening-2009-2015.pdf</w:t>
        </w:r>
      </w:hyperlink>
      <w:r w:rsidRPr="002B744C">
        <w:rPr>
          <w:sz w:val="22"/>
          <w:szCs w:val="22"/>
        </w:rPr>
        <w:t>)</w:t>
      </w:r>
      <w:r>
        <w:rPr>
          <w:sz w:val="22"/>
          <w:szCs w:val="22"/>
        </w:rPr>
        <w:t>.</w:t>
      </w:r>
    </w:p>
    <w:p w:rsidR="000D38A4" w:rsidRPr="002B744C" w:rsidRDefault="000D38A4" w:rsidP="0080192D">
      <w:pPr>
        <w:pStyle w:val="ListParagraph"/>
        <w:spacing w:line="240" w:lineRule="exact"/>
        <w:ind w:left="284" w:hanging="284"/>
        <w:jc w:val="both"/>
        <w:rPr>
          <w:rFonts w:ascii="Calibri" w:hAnsi="Calibri" w:cs="Calibri"/>
          <w:sz w:val="22"/>
          <w:szCs w:val="22"/>
        </w:rPr>
      </w:pPr>
    </w:p>
    <w:p w:rsidR="000D38A4" w:rsidRDefault="000D38A4" w:rsidP="0080192D">
      <w:pPr>
        <w:pStyle w:val="ListParagraph"/>
        <w:spacing w:line="240" w:lineRule="exact"/>
        <w:ind w:left="284" w:hanging="284"/>
        <w:rPr>
          <w:sz w:val="22"/>
          <w:szCs w:val="22"/>
        </w:rPr>
      </w:pPr>
      <w:r w:rsidRPr="002B744C">
        <w:rPr>
          <w:rFonts w:ascii="Calibri" w:hAnsi="Calibri" w:cs="Calibri"/>
          <w:sz w:val="22"/>
          <w:szCs w:val="22"/>
        </w:rPr>
        <w:t xml:space="preserve"> </w:t>
      </w:r>
      <w:r>
        <w:rPr>
          <w:rFonts w:ascii="Calibri" w:hAnsi="Calibri" w:cs="Calibri"/>
          <w:sz w:val="22"/>
          <w:szCs w:val="22"/>
        </w:rPr>
        <w:tab/>
      </w:r>
      <w:r w:rsidRPr="002B744C">
        <w:rPr>
          <w:sz w:val="22"/>
          <w:szCs w:val="22"/>
        </w:rPr>
        <w:t>(2) Het Studiecentrum Perinatale Epidemiologie (SPE) beschikt over anonieme gegevens van kinderen geboren in de kraamklinieken. (</w:t>
      </w:r>
      <w:hyperlink r:id="rId8" w:history="1">
        <w:r w:rsidRPr="0015210B">
          <w:rPr>
            <w:rStyle w:val="Hyperlink"/>
            <w:sz w:val="22"/>
            <w:szCs w:val="22"/>
          </w:rPr>
          <w:t>Het jaarlijks rapport</w:t>
        </w:r>
      </w:hyperlink>
      <w:r w:rsidRPr="002B744C">
        <w:rPr>
          <w:sz w:val="22"/>
          <w:szCs w:val="22"/>
        </w:rPr>
        <w:t xml:space="preserve"> van geboortes in 2010 is beschikbaar</w:t>
      </w:r>
      <w:r>
        <w:rPr>
          <w:sz w:val="22"/>
          <w:szCs w:val="22"/>
        </w:rPr>
        <w:t>)</w:t>
      </w:r>
    </w:p>
    <w:p w:rsidR="000D38A4" w:rsidRPr="002B744C" w:rsidRDefault="000D38A4" w:rsidP="0080192D">
      <w:pPr>
        <w:pStyle w:val="ListParagraph"/>
        <w:spacing w:line="240" w:lineRule="exact"/>
        <w:ind w:left="284"/>
        <w:rPr>
          <w:bCs/>
          <w:color w:val="000000"/>
          <w:kern w:val="36"/>
          <w:sz w:val="22"/>
          <w:szCs w:val="22"/>
        </w:rPr>
      </w:pPr>
      <w:r w:rsidRPr="002B744C">
        <w:rPr>
          <w:sz w:val="22"/>
          <w:szCs w:val="22"/>
        </w:rPr>
        <w:t xml:space="preserve">Het betreft data over bevallingen in kraamklinieken in Vlaanderen. Het SPE slaagt er al een aantal jaren in 100% van deze bevallingen te registreren. Het SPE registreert de plaats van geboorte en niet de woonplaats van de moeder. De gegevens zijn ten vroegste 6 maanden na het einde van elk jaar ter beschikking. Het Vlaams Agentschap Zorg en Gezondheid (VAZG), dat de SPE-werking in hoofdzaak financiert (naast de bijdrage van de beide mandaterende verenigingen, de VVOG en de VVK) beschikt over een kern van medewerkers en bezorgt demografische en sterftecijfers in hechte samenwerking met het SPE. Het VAZG geeft op hun </w:t>
      </w:r>
      <w:hyperlink r:id="rId9" w:history="1">
        <w:r w:rsidRPr="0015210B">
          <w:rPr>
            <w:rStyle w:val="Hyperlink"/>
            <w:sz w:val="22"/>
            <w:szCs w:val="22"/>
          </w:rPr>
          <w:t>website</w:t>
        </w:r>
      </w:hyperlink>
      <w:r w:rsidRPr="002B744C">
        <w:rPr>
          <w:sz w:val="22"/>
          <w:szCs w:val="22"/>
        </w:rPr>
        <w:t xml:space="preserve"> schematisch weer hoe zij al deze gegevens in kaart brengen</w:t>
      </w:r>
      <w:r>
        <w:rPr>
          <w:sz w:val="22"/>
          <w:szCs w:val="22"/>
        </w:rPr>
        <w:t>.</w:t>
      </w:r>
    </w:p>
    <w:p w:rsidR="000D38A4" w:rsidRPr="002B744C" w:rsidRDefault="000D38A4" w:rsidP="0080192D">
      <w:pPr>
        <w:pStyle w:val="ListParagraph"/>
        <w:spacing w:line="240" w:lineRule="exact"/>
        <w:ind w:left="284" w:hanging="284"/>
        <w:jc w:val="both"/>
        <w:rPr>
          <w:bCs/>
          <w:color w:val="000000"/>
          <w:kern w:val="36"/>
          <w:sz w:val="22"/>
          <w:szCs w:val="22"/>
        </w:rPr>
      </w:pPr>
    </w:p>
    <w:p w:rsidR="000D38A4" w:rsidRPr="002B744C" w:rsidRDefault="000D38A4" w:rsidP="0080192D">
      <w:pPr>
        <w:pStyle w:val="ListParagraph"/>
        <w:spacing w:line="240" w:lineRule="exact"/>
        <w:ind w:left="284"/>
        <w:jc w:val="both"/>
        <w:rPr>
          <w:sz w:val="22"/>
          <w:szCs w:val="22"/>
        </w:rPr>
      </w:pPr>
      <w:r w:rsidRPr="002B744C">
        <w:rPr>
          <w:sz w:val="22"/>
          <w:szCs w:val="22"/>
        </w:rPr>
        <w:t>Onder impuls van Prof. Yvon Englert hebben Waalse collegae ondertussen het CEpiP opgericht dat de werkwijze en datalijsten van SPE punctueel heeft overgenomen.</w:t>
      </w:r>
    </w:p>
    <w:p w:rsidR="000D38A4" w:rsidRPr="002B744C" w:rsidRDefault="000D38A4" w:rsidP="0080192D">
      <w:pPr>
        <w:pStyle w:val="ListParagraph"/>
        <w:spacing w:line="240" w:lineRule="exact"/>
        <w:ind w:left="284" w:hanging="284"/>
        <w:jc w:val="both"/>
        <w:rPr>
          <w:sz w:val="22"/>
          <w:szCs w:val="22"/>
        </w:rPr>
      </w:pPr>
    </w:p>
    <w:p w:rsidR="000D38A4" w:rsidRDefault="000D38A4" w:rsidP="0080192D">
      <w:pPr>
        <w:spacing w:line="240" w:lineRule="exact"/>
        <w:ind w:left="284"/>
        <w:jc w:val="both"/>
        <w:rPr>
          <w:szCs w:val="22"/>
        </w:rPr>
      </w:pPr>
      <w:r w:rsidRPr="002B744C">
        <w:rPr>
          <w:szCs w:val="22"/>
        </w:rPr>
        <w:t>In 2010 hebben alle Vlaamse kraamklinieken uit het Vlaams Gewest alsook het UZ</w:t>
      </w:r>
      <w:r>
        <w:rPr>
          <w:szCs w:val="22"/>
        </w:rPr>
        <w:t xml:space="preserve"> </w:t>
      </w:r>
      <w:r w:rsidRPr="002B744C">
        <w:rPr>
          <w:szCs w:val="22"/>
        </w:rPr>
        <w:t xml:space="preserve">Brussel aan de registratie deelgenomen en daarnaast beschikt het SPE over gegevens van 629 thuisbevallingen. In </w:t>
      </w:r>
      <w:r w:rsidRPr="002B744C">
        <w:rPr>
          <w:color w:val="000000"/>
          <w:szCs w:val="22"/>
          <w:lang w:eastAsia="nl-BE"/>
        </w:rPr>
        <w:t xml:space="preserve">2010 zijn er 69.924 </w:t>
      </w:r>
      <w:r w:rsidRPr="002B744C">
        <w:rPr>
          <w:color w:val="000000"/>
          <w:szCs w:val="22"/>
        </w:rPr>
        <w:t xml:space="preserve">baby’s geboren. Dit zijn er </w:t>
      </w:r>
      <w:r w:rsidRPr="002B744C">
        <w:rPr>
          <w:color w:val="000000"/>
          <w:szCs w:val="22"/>
          <w:lang w:eastAsia="nl-BE"/>
        </w:rPr>
        <w:t>1.150 meer dan in 2009.</w:t>
      </w:r>
      <w:r w:rsidRPr="002B744C">
        <w:rPr>
          <w:color w:val="000000"/>
          <w:szCs w:val="22"/>
        </w:rPr>
        <w:t xml:space="preserve"> Het totaal aantal moeders dat beviel van een baby met geboortegewicht van 500 gram bedraagt 68 606</w:t>
      </w:r>
      <w:r w:rsidRPr="002B744C">
        <w:rPr>
          <w:szCs w:val="22"/>
        </w:rPr>
        <w:t xml:space="preserve">. </w:t>
      </w:r>
    </w:p>
    <w:p w:rsidR="000D38A4" w:rsidRDefault="000D38A4" w:rsidP="0080192D">
      <w:pPr>
        <w:spacing w:line="240" w:lineRule="exact"/>
        <w:ind w:left="284"/>
        <w:jc w:val="both"/>
        <w:rPr>
          <w:color w:val="000000"/>
          <w:szCs w:val="22"/>
          <w:lang w:eastAsia="nl-BE"/>
        </w:rPr>
      </w:pPr>
      <w:r w:rsidRPr="002B744C">
        <w:rPr>
          <w:szCs w:val="22"/>
        </w:rPr>
        <w:t>7,2 % van de vrouwen beviel vroegtijdig</w:t>
      </w:r>
      <w:r>
        <w:rPr>
          <w:szCs w:val="22"/>
        </w:rPr>
        <w:t>,</w:t>
      </w:r>
      <w:r w:rsidRPr="002B744C">
        <w:rPr>
          <w:szCs w:val="22"/>
        </w:rPr>
        <w:t xml:space="preserve"> 6,2 % (n</w:t>
      </w:r>
      <w:r>
        <w:rPr>
          <w:szCs w:val="22"/>
        </w:rPr>
        <w:t xml:space="preserve"> </w:t>
      </w:r>
      <w:r w:rsidRPr="002B744C">
        <w:rPr>
          <w:szCs w:val="22"/>
        </w:rPr>
        <w:t>=</w:t>
      </w:r>
      <w:r>
        <w:rPr>
          <w:szCs w:val="22"/>
        </w:rPr>
        <w:t xml:space="preserve"> </w:t>
      </w:r>
      <w:r w:rsidRPr="002B744C">
        <w:rPr>
          <w:szCs w:val="22"/>
        </w:rPr>
        <w:t>4239) bevielen toen ze tussen 32 en 36 weken zwanger waren en 1 % (</w:t>
      </w:r>
      <w:r>
        <w:rPr>
          <w:szCs w:val="22"/>
        </w:rPr>
        <w:t xml:space="preserve">n </w:t>
      </w:r>
      <w:r w:rsidRPr="002B744C">
        <w:rPr>
          <w:szCs w:val="22"/>
        </w:rPr>
        <w:t>=</w:t>
      </w:r>
      <w:r>
        <w:rPr>
          <w:szCs w:val="22"/>
        </w:rPr>
        <w:t xml:space="preserve"> </w:t>
      </w:r>
      <w:r w:rsidRPr="002B744C">
        <w:rPr>
          <w:szCs w:val="22"/>
        </w:rPr>
        <w:t xml:space="preserve">731) beviel voor 32 weken. </w:t>
      </w:r>
      <w:r w:rsidRPr="002B744C">
        <w:rPr>
          <w:color w:val="000000"/>
          <w:szCs w:val="22"/>
          <w:lang w:eastAsia="nl-BE"/>
        </w:rPr>
        <w:t xml:space="preserve">Vergelijken we deze gegevens met die van 2001 dan blijkt dat ook in 2001 </w:t>
      </w:r>
      <w:r>
        <w:rPr>
          <w:color w:val="000000"/>
          <w:szCs w:val="22"/>
          <w:lang w:eastAsia="nl-BE"/>
        </w:rPr>
        <w:t xml:space="preserve">dat </w:t>
      </w:r>
      <w:r w:rsidRPr="002B744C">
        <w:rPr>
          <w:color w:val="000000"/>
          <w:szCs w:val="22"/>
          <w:lang w:eastAsia="nl-BE"/>
        </w:rPr>
        <w:t xml:space="preserve">7,2% van alle baby’s preterm (&lt;37 weken en 1% extreem prematuur (&lt; 32 weken) geboren was. </w:t>
      </w:r>
    </w:p>
    <w:p w:rsidR="000D38A4" w:rsidRPr="002B744C" w:rsidRDefault="000D38A4" w:rsidP="0080192D">
      <w:pPr>
        <w:spacing w:line="240" w:lineRule="exact"/>
        <w:ind w:left="284"/>
        <w:jc w:val="both"/>
        <w:rPr>
          <w:szCs w:val="22"/>
        </w:rPr>
      </w:pPr>
      <w:r w:rsidRPr="002B744C">
        <w:rPr>
          <w:szCs w:val="22"/>
        </w:rPr>
        <w:t>Kinderen met een laag geboortegewicht vertegenwoordi</w:t>
      </w:r>
      <w:r>
        <w:rPr>
          <w:szCs w:val="22"/>
        </w:rPr>
        <w:t>gen 6,8 % van alle pasgeborenen.</w:t>
      </w:r>
      <w:r w:rsidRPr="002B744C">
        <w:rPr>
          <w:szCs w:val="22"/>
        </w:rPr>
        <w:t xml:space="preserve"> 5,6 % heeft een geboortegewicht tussen 1500 en 2499 gram en 1,2 % heeft een geboortegewicht tussen 500 en 1499 gram. </w:t>
      </w:r>
      <w:r w:rsidRPr="002B744C">
        <w:rPr>
          <w:color w:val="000000"/>
          <w:szCs w:val="22"/>
          <w:lang w:eastAsia="nl-BE"/>
        </w:rPr>
        <w:t>Het percentage laag geboortegewicht (&lt;2.500g) kende een subtiele dating van 7% in 2001 naar</w:t>
      </w:r>
      <w:r>
        <w:rPr>
          <w:color w:val="000000"/>
          <w:szCs w:val="22"/>
          <w:lang w:eastAsia="nl-BE"/>
        </w:rPr>
        <w:t xml:space="preserve"> </w:t>
      </w:r>
      <w:r w:rsidRPr="002B744C">
        <w:rPr>
          <w:color w:val="000000"/>
          <w:szCs w:val="22"/>
          <w:lang w:eastAsia="nl-BE"/>
        </w:rPr>
        <w:t>6,8% in 2010.</w:t>
      </w:r>
      <w:r>
        <w:rPr>
          <w:color w:val="000000"/>
          <w:szCs w:val="22"/>
          <w:lang w:eastAsia="nl-BE"/>
        </w:rPr>
        <w:t xml:space="preserve"> </w:t>
      </w:r>
      <w:r w:rsidRPr="002B744C">
        <w:rPr>
          <w:color w:val="000000"/>
          <w:szCs w:val="22"/>
          <w:lang w:eastAsia="nl-BE"/>
        </w:rPr>
        <w:t xml:space="preserve">Het percentage baby’s met extreem laag geboortegewicht nam daarentegen even subtiel toe van 1,1% in 2001 tot 1,2% in 2010. Vroeggeboorte en laag geboortegewicht zijn verantwoordelijk voor driekwart van de perinatale sterfte. </w:t>
      </w:r>
      <w:r w:rsidRPr="002B744C">
        <w:rPr>
          <w:szCs w:val="22"/>
        </w:rPr>
        <w:t>Op blz. 15 en 16 van bovenvermeld rapport van SPE (</w:t>
      </w:r>
      <w:r w:rsidRPr="002B744C">
        <w:rPr>
          <w:color w:val="000000"/>
          <w:szCs w:val="22"/>
          <w:lang w:eastAsia="nl-BE"/>
        </w:rPr>
        <w:t xml:space="preserve">Cammu e.a.,2011, Perinatale activiteiten in Vlaanderen 2010) </w:t>
      </w:r>
      <w:r w:rsidRPr="002B744C">
        <w:rPr>
          <w:szCs w:val="22"/>
        </w:rPr>
        <w:t xml:space="preserve">en op de </w:t>
      </w:r>
      <w:hyperlink r:id="rId10" w:history="1">
        <w:r w:rsidRPr="0015210B">
          <w:rPr>
            <w:rStyle w:val="Hyperlink"/>
            <w:szCs w:val="22"/>
          </w:rPr>
          <w:t>website</w:t>
        </w:r>
      </w:hyperlink>
      <w:r w:rsidRPr="002B744C">
        <w:rPr>
          <w:szCs w:val="22"/>
        </w:rPr>
        <w:t xml:space="preserve"> van Vlaams Agentschap Zorg en Gezondheid zijn meer gedetailleerde gegevens te vinden.</w:t>
      </w:r>
    </w:p>
    <w:p w:rsidR="000D38A4" w:rsidRPr="002B744C" w:rsidRDefault="000D38A4" w:rsidP="0080192D">
      <w:pPr>
        <w:pStyle w:val="ListParagraph"/>
        <w:spacing w:line="240" w:lineRule="exact"/>
        <w:ind w:left="284" w:hanging="284"/>
        <w:jc w:val="both"/>
        <w:rPr>
          <w:sz w:val="22"/>
          <w:szCs w:val="22"/>
        </w:rPr>
      </w:pPr>
    </w:p>
    <w:p w:rsidR="000D38A4" w:rsidRPr="002B744C" w:rsidRDefault="000D38A4" w:rsidP="0080192D">
      <w:pPr>
        <w:pStyle w:val="ListParagraph"/>
        <w:spacing w:line="240" w:lineRule="exact"/>
        <w:ind w:left="284"/>
        <w:jc w:val="both"/>
        <w:rPr>
          <w:sz w:val="22"/>
          <w:szCs w:val="22"/>
        </w:rPr>
      </w:pPr>
      <w:r w:rsidRPr="002B744C">
        <w:rPr>
          <w:sz w:val="22"/>
          <w:szCs w:val="22"/>
        </w:rPr>
        <w:t>Ter info: IKAROS en MIRAGE databestanden van Kind en Gezin zijn niet gekoppeld aan de bestanden van het Studiecentrum voor Perinatale Epidemiologie (SPE).</w:t>
      </w:r>
    </w:p>
    <w:p w:rsidR="000D38A4" w:rsidRPr="002B744C" w:rsidRDefault="000D38A4" w:rsidP="0080192D">
      <w:pPr>
        <w:pStyle w:val="ListParagraph"/>
        <w:spacing w:line="120" w:lineRule="atLeast"/>
        <w:ind w:left="284" w:hanging="284"/>
        <w:jc w:val="both"/>
        <w:rPr>
          <w:sz w:val="22"/>
          <w:szCs w:val="22"/>
        </w:rPr>
      </w:pPr>
    </w:p>
    <w:p w:rsidR="000D38A4" w:rsidRPr="002B744C" w:rsidRDefault="000D38A4" w:rsidP="0080192D">
      <w:pPr>
        <w:pStyle w:val="ListParagraph"/>
        <w:spacing w:line="240" w:lineRule="exact"/>
        <w:ind w:left="284"/>
        <w:jc w:val="both"/>
        <w:rPr>
          <w:sz w:val="22"/>
          <w:szCs w:val="22"/>
        </w:rPr>
      </w:pPr>
      <w:r w:rsidRPr="002B744C">
        <w:rPr>
          <w:sz w:val="22"/>
          <w:szCs w:val="22"/>
        </w:rPr>
        <w:t xml:space="preserve">(3) Jaarlijks worden in België zo’n 120.000 geboortes geregistreerd. In het kader van de verwerking van de geboortekennisgeving ontwikkelde </w:t>
      </w:r>
      <w:hyperlink r:id="rId11" w:history="1">
        <w:r w:rsidRPr="00CA4453">
          <w:rPr>
            <w:rStyle w:val="Hyperlink"/>
            <w:sz w:val="22"/>
            <w:szCs w:val="22"/>
          </w:rPr>
          <w:t>Fedict</w:t>
        </w:r>
      </w:hyperlink>
      <w:r w:rsidRPr="002B744C">
        <w:rPr>
          <w:sz w:val="22"/>
          <w:szCs w:val="22"/>
        </w:rPr>
        <w:t xml:space="preserve"> een toepassing met het oog op een optimalisering van de gegevensuitwisseling tussen alle actoren die zijn betrokken bij de verwerking van de geboortekennisgeving: </w:t>
      </w:r>
      <w:hyperlink r:id="rId12" w:history="1">
        <w:r w:rsidRPr="00CA4453">
          <w:rPr>
            <w:rStyle w:val="Hyperlink"/>
            <w:sz w:val="22"/>
            <w:szCs w:val="22"/>
          </w:rPr>
          <w:t>eBirth</w:t>
        </w:r>
      </w:hyperlink>
      <w:r w:rsidRPr="002B744C">
        <w:rPr>
          <w:rStyle w:val="Strong"/>
          <w:b w:val="0"/>
          <w:bCs/>
          <w:sz w:val="22"/>
          <w:szCs w:val="22"/>
        </w:rPr>
        <w:t>. Deze toepassing maakt elektronische en beveiligde uitwisseling mogelijk tussen artsen, vroedvrouwen, ambtenaren burgerlijke stand, Gemeenschappen en federale administraties</w:t>
      </w:r>
      <w:r w:rsidRPr="002B744C">
        <w:rPr>
          <w:rStyle w:val="Strong"/>
          <w:bCs/>
          <w:sz w:val="22"/>
          <w:szCs w:val="22"/>
        </w:rPr>
        <w:t xml:space="preserve">. </w:t>
      </w:r>
      <w:r w:rsidRPr="002B744C">
        <w:rPr>
          <w:sz w:val="22"/>
          <w:szCs w:val="22"/>
        </w:rPr>
        <w:t xml:space="preserve">Het initiatief tot de kennisgeving (geboorteattest en bevallingsbericht) wordt genomen door zorgverleners die assisteren bij bevallingen, zowel binnen kraamklinieken als thuis of in geboortehuizen. Zij geven de geboorte aan door de identificatie van de moeder en het kind voor echt te verklaren en door een reeks medische inlichtingen met betrekking tot de geboorte in te vullen op het formulier Model I, dat moet worden overgemaakt aan de diensten van de Burgerlijke Stand in de geboorteplaats </w:t>
      </w:r>
    </w:p>
    <w:p w:rsidR="000D38A4" w:rsidRDefault="000D38A4" w:rsidP="0080192D">
      <w:pPr>
        <w:pStyle w:val="ListParagraph"/>
        <w:spacing w:line="240" w:lineRule="exact"/>
        <w:ind w:left="284" w:hanging="284"/>
        <w:jc w:val="both"/>
      </w:pPr>
    </w:p>
    <w:p w:rsidR="000D38A4" w:rsidRPr="002B744C" w:rsidRDefault="000D38A4" w:rsidP="0080192D">
      <w:pPr>
        <w:autoSpaceDE w:val="0"/>
        <w:autoSpaceDN w:val="0"/>
        <w:adjustRightInd w:val="0"/>
        <w:spacing w:line="240" w:lineRule="exact"/>
        <w:ind w:left="284"/>
        <w:jc w:val="both"/>
        <w:rPr>
          <w:szCs w:val="22"/>
        </w:rPr>
      </w:pPr>
      <w:r w:rsidRPr="002B744C">
        <w:rPr>
          <w:szCs w:val="22"/>
        </w:rPr>
        <w:t xml:space="preserve">Ter informatie melden we dat in Vlaanderen  alle pasgeboren kinderen de kans krijgen gescreend te worden op 11 aangeboren aandoeningen tussen dag 3 en dag 5 na de geboorte (de zogenaamde hielprik). In kader van de reorganisatie van deze neonatale screening zal vanaf 1 januari 2012 </w:t>
      </w:r>
      <w:r>
        <w:rPr>
          <w:szCs w:val="22"/>
        </w:rPr>
        <w:t xml:space="preserve">een </w:t>
      </w:r>
      <w:r w:rsidRPr="002B744C">
        <w:rPr>
          <w:szCs w:val="22"/>
        </w:rPr>
        <w:t>beheersovereenkomst worden afgesloten met twee organisaties met terreinwerking voor het Vlaams Bevolkingsonderzoek naar Aangeboren Aandoeningen bij pasgeborenen op een bloedstaal. Deze organisaties zullen instaan voor de uitvoering van het bevolkingsonderzoek. Naar aanleiding van deze reorganisatie zullen alle gegevens over de screening van 11 aangeboren aandoeningen worden opgenomen in een registratiebestand, gebruik makend van de modaliteiten en mogelijkheden van eBirth. Het gaat om de 11 metabole en endocriene aandoeningen die zijn opgegeven in het draaiboek ‘Vlaams bevolkingsonderzoek naar aangeboren aandoeningen’.</w:t>
      </w:r>
    </w:p>
    <w:p w:rsidR="000D38A4" w:rsidRPr="002B744C" w:rsidRDefault="000D38A4" w:rsidP="0080192D">
      <w:pPr>
        <w:autoSpaceDE w:val="0"/>
        <w:autoSpaceDN w:val="0"/>
        <w:adjustRightInd w:val="0"/>
        <w:spacing w:line="240" w:lineRule="exact"/>
        <w:ind w:hanging="284"/>
        <w:jc w:val="both"/>
        <w:rPr>
          <w:szCs w:val="22"/>
        </w:rPr>
      </w:pPr>
    </w:p>
    <w:p w:rsidR="000D38A4" w:rsidRPr="002B744C" w:rsidRDefault="000D38A4" w:rsidP="0080192D">
      <w:pPr>
        <w:autoSpaceDE w:val="0"/>
        <w:autoSpaceDN w:val="0"/>
        <w:adjustRightInd w:val="0"/>
        <w:spacing w:line="240" w:lineRule="exact"/>
        <w:ind w:left="284" w:hanging="12"/>
        <w:jc w:val="both"/>
        <w:rPr>
          <w:szCs w:val="22"/>
        </w:rPr>
      </w:pPr>
      <w:r w:rsidRPr="002B744C">
        <w:rPr>
          <w:szCs w:val="22"/>
          <w:lang w:eastAsia="zh-CN"/>
        </w:rPr>
        <w:t xml:space="preserve">Het is de bedoeling dat de toekomstige organisaties met terreinwerking o.a. alle screeningsresultaten (niet alleen de niet-afwijkende resultaten) en – waarden bijhouden. Dit is essentieel voor een goede kwaliteitsbewaking van het bevolkingsonderzoek en een continue opvolging van de participatie. Dit register kan in de toekomst mogelijk via e-health gekoppeld worden aan de medische dossiers, waarbij behandelende artsen van de patiënt toelating kunnen krijgen om deze informatie te raadplegen. Er wordt op termijn ook een koppeling van dit register voorzien met het op te richten register voor zeldzame ziekten (cfr. Belgisch Plan voor zeldzame ziekten) waarin alle diagnoses en opvolging m.b.t. zeldzame ziekten zullen opgenomen worden. </w:t>
      </w:r>
    </w:p>
    <w:p w:rsidR="000D38A4" w:rsidRPr="002B744C" w:rsidRDefault="000D38A4" w:rsidP="0080192D">
      <w:pPr>
        <w:pStyle w:val="ListParagraph"/>
        <w:spacing w:line="120" w:lineRule="atLeast"/>
        <w:ind w:left="360" w:hanging="284"/>
        <w:jc w:val="both"/>
        <w:rPr>
          <w:sz w:val="22"/>
          <w:szCs w:val="22"/>
        </w:rPr>
      </w:pPr>
    </w:p>
    <w:p w:rsidR="000D38A4" w:rsidRPr="002B744C" w:rsidRDefault="000D38A4" w:rsidP="0080192D">
      <w:pPr>
        <w:pStyle w:val="Heading1"/>
        <w:spacing w:before="0" w:after="100" w:afterAutospacing="1" w:line="240" w:lineRule="exact"/>
        <w:ind w:left="272"/>
        <w:jc w:val="both"/>
        <w:rPr>
          <w:rStyle w:val="Hyperlink"/>
          <w:rFonts w:ascii="Times New Roman" w:hAnsi="Times New Roman" w:cs="Arial"/>
          <w:sz w:val="22"/>
          <w:szCs w:val="22"/>
        </w:rPr>
      </w:pPr>
      <w:r w:rsidRPr="002B744C">
        <w:rPr>
          <w:rFonts w:ascii="Times New Roman" w:hAnsi="Times New Roman"/>
          <w:b w:val="0"/>
          <w:sz w:val="22"/>
          <w:szCs w:val="22"/>
        </w:rPr>
        <w:t xml:space="preserve">(4) </w:t>
      </w:r>
      <w:r w:rsidRPr="002B744C">
        <w:rPr>
          <w:rFonts w:ascii="Times New Roman" w:hAnsi="Times New Roman"/>
          <w:b w:val="0"/>
          <w:sz w:val="22"/>
          <w:szCs w:val="22"/>
        </w:rPr>
        <w:tab/>
      </w:r>
      <w:hyperlink r:id="rId13" w:history="1">
        <w:r w:rsidRPr="00CA4453">
          <w:rPr>
            <w:rStyle w:val="Hyperlink"/>
            <w:rFonts w:ascii="Times New Roman" w:hAnsi="Times New Roman" w:cs="Arial"/>
            <w:b w:val="0"/>
            <w:sz w:val="22"/>
            <w:szCs w:val="22"/>
          </w:rPr>
          <w:t>De Algemene Directie Statistiek en Economische Informatie</w:t>
        </w:r>
      </w:hyperlink>
      <w:r w:rsidRPr="002B744C">
        <w:rPr>
          <w:rFonts w:ascii="Times New Roman" w:hAnsi="Times New Roman"/>
          <w:b w:val="0"/>
          <w:sz w:val="22"/>
          <w:szCs w:val="22"/>
        </w:rPr>
        <w:t xml:space="preserve"> (ADSEI)</w:t>
      </w:r>
      <w:r w:rsidRPr="002B744C">
        <w:rPr>
          <w:rFonts w:ascii="Times New Roman" w:hAnsi="Times New Roman"/>
          <w:sz w:val="22"/>
          <w:szCs w:val="22"/>
        </w:rPr>
        <w:t xml:space="preserve"> </w:t>
      </w:r>
      <w:r w:rsidRPr="002B744C">
        <w:rPr>
          <w:rFonts w:ascii="Times New Roman" w:hAnsi="Times New Roman"/>
          <w:b w:val="0"/>
          <w:sz w:val="22"/>
          <w:szCs w:val="22"/>
        </w:rPr>
        <w:t xml:space="preserve">beschikt over </w:t>
      </w:r>
      <w:r w:rsidRPr="002B744C">
        <w:rPr>
          <w:rFonts w:ascii="Times New Roman" w:hAnsi="Times New Roman"/>
          <w:b w:val="0"/>
          <w:sz w:val="22"/>
          <w:szCs w:val="22"/>
          <w:lang w:eastAsia="nl-BE"/>
        </w:rPr>
        <w:t xml:space="preserve">gegevens over de bevolkingsstructuur. Sinds 1988 zijn deze afkomstig uit het Rijksregister. In het Rijksregister wordt voornamelijk de informatie uit de gemeentelijke bevolkingsregisters gecentraliseerd. In de </w:t>
      </w:r>
      <w:hyperlink r:id="rId14" w:history="1">
        <w:r w:rsidRPr="00CA4453">
          <w:rPr>
            <w:rStyle w:val="Hyperlink"/>
            <w:rFonts w:ascii="Times New Roman" w:hAnsi="Times New Roman" w:cs="Arial"/>
            <w:b w:val="0"/>
            <w:sz w:val="22"/>
            <w:szCs w:val="22"/>
            <w:lang w:eastAsia="nl-BE"/>
          </w:rPr>
          <w:t>structuurstatistieken</w:t>
        </w:r>
      </w:hyperlink>
      <w:r w:rsidRPr="002B744C">
        <w:rPr>
          <w:rFonts w:ascii="Times New Roman" w:hAnsi="Times New Roman"/>
          <w:b w:val="0"/>
          <w:sz w:val="22"/>
          <w:szCs w:val="22"/>
          <w:lang w:eastAsia="nl-BE"/>
        </w:rPr>
        <w:t xml:space="preserve"> worden alle personen opgenomen die op de referentiedatum (1 januari of 1 juli van elk jaar) zijn ingeschreven in één van de gemeenten van België</w:t>
      </w:r>
      <w:r>
        <w:rPr>
          <w:rFonts w:ascii="Times New Roman" w:hAnsi="Times New Roman"/>
          <w:b w:val="0"/>
          <w:sz w:val="22"/>
          <w:szCs w:val="22"/>
          <w:lang w:eastAsia="nl-BE"/>
        </w:rPr>
        <w:t>.</w:t>
      </w:r>
      <w:r w:rsidRPr="002B744C">
        <w:rPr>
          <w:rFonts w:ascii="Times New Roman" w:hAnsi="Times New Roman"/>
          <w:b w:val="0"/>
          <w:sz w:val="22"/>
          <w:szCs w:val="22"/>
          <w:lang w:eastAsia="nl-BE"/>
        </w:rPr>
        <w:t xml:space="preserve"> De </w:t>
      </w:r>
      <w:hyperlink r:id="rId15" w:history="1">
        <w:r w:rsidRPr="00CA4453">
          <w:rPr>
            <w:rStyle w:val="Hyperlink"/>
            <w:rFonts w:ascii="Times New Roman" w:hAnsi="Times New Roman" w:cs="Arial"/>
            <w:b w:val="0"/>
            <w:sz w:val="22"/>
            <w:szCs w:val="22"/>
            <w:lang w:eastAsia="nl-BE"/>
          </w:rPr>
          <w:t>Studiedienst</w:t>
        </w:r>
      </w:hyperlink>
      <w:r w:rsidRPr="002B744C">
        <w:rPr>
          <w:rFonts w:ascii="Times New Roman" w:hAnsi="Times New Roman"/>
          <w:b w:val="0"/>
          <w:sz w:val="22"/>
          <w:szCs w:val="22"/>
          <w:lang w:eastAsia="nl-BE"/>
        </w:rPr>
        <w:t xml:space="preserve"> van de Vlaamse Regering wendt deze data uit het Rijksregister aan om per gemeente overzichtelijke data aan te bieden</w:t>
      </w:r>
      <w:r>
        <w:rPr>
          <w:rFonts w:ascii="Times New Roman" w:hAnsi="Times New Roman"/>
          <w:b w:val="0"/>
          <w:sz w:val="22"/>
          <w:szCs w:val="22"/>
          <w:lang w:eastAsia="nl-BE"/>
        </w:rPr>
        <w:t>.</w:t>
      </w:r>
      <w:r w:rsidRPr="002B744C">
        <w:rPr>
          <w:rFonts w:ascii="Times New Roman" w:hAnsi="Times New Roman"/>
          <w:b w:val="0"/>
          <w:sz w:val="22"/>
          <w:szCs w:val="22"/>
          <w:lang w:eastAsia="nl-BE"/>
        </w:rPr>
        <w:t xml:space="preserve"> Deze cijfers zijn rechtstreeks raadpleegbaar via de kubus 'Aantal inwoners naar woonplaats, geslacht, leeftijd, nationaliteit en huishoudgrootte'. Het Vlaams Agentschap Zorg en Gezondheid maakt gebruik van </w:t>
      </w:r>
      <w:r>
        <w:rPr>
          <w:rFonts w:ascii="Times New Roman" w:hAnsi="Times New Roman"/>
          <w:b w:val="0"/>
          <w:sz w:val="22"/>
          <w:szCs w:val="22"/>
          <w:lang w:eastAsia="nl-BE"/>
        </w:rPr>
        <w:t>deze</w:t>
      </w:r>
      <w:r w:rsidRPr="002B744C">
        <w:rPr>
          <w:rFonts w:ascii="Times New Roman" w:hAnsi="Times New Roman"/>
          <w:b w:val="0"/>
          <w:sz w:val="22"/>
          <w:szCs w:val="22"/>
          <w:lang w:eastAsia="nl-BE"/>
        </w:rPr>
        <w:t xml:space="preserve"> gegevens van de studiedienst om per zorgregio het aantal geboortes en het aantal vroeggeboortes te berekenen (zie Tabel 2 en zie ook</w:t>
      </w:r>
      <w:r>
        <w:rPr>
          <w:rFonts w:ascii="Times New Roman" w:hAnsi="Times New Roman"/>
          <w:b w:val="0"/>
          <w:sz w:val="22"/>
          <w:szCs w:val="22"/>
          <w:lang w:eastAsia="nl-BE"/>
        </w:rPr>
        <w:t xml:space="preserve"> </w:t>
      </w:r>
      <w:hyperlink r:id="rId16" w:history="1">
        <w:r w:rsidRPr="00CA4453">
          <w:rPr>
            <w:rStyle w:val="Hyperlink"/>
            <w:rFonts w:ascii="Times New Roman" w:hAnsi="Times New Roman" w:cs="Arial"/>
            <w:b w:val="0"/>
            <w:sz w:val="22"/>
            <w:szCs w:val="22"/>
            <w:lang w:eastAsia="nl-BE"/>
          </w:rPr>
          <w:t>website zorg en gezondheid</w:t>
        </w:r>
      </w:hyperlink>
      <w:r>
        <w:rPr>
          <w:rFonts w:ascii="Times New Roman" w:hAnsi="Times New Roman"/>
          <w:b w:val="0"/>
          <w:sz w:val="22"/>
          <w:szCs w:val="22"/>
          <w:lang w:eastAsia="nl-BE"/>
        </w:rPr>
        <w:t>).</w:t>
      </w:r>
    </w:p>
    <w:p w:rsidR="000D38A4" w:rsidRPr="002B744C" w:rsidRDefault="000D38A4" w:rsidP="0080192D">
      <w:pPr>
        <w:shd w:val="clear" w:color="auto" w:fill="FFFFFF"/>
        <w:spacing w:line="120" w:lineRule="atLeast"/>
        <w:ind w:hanging="284"/>
        <w:rPr>
          <w:bCs/>
          <w:i/>
          <w:iCs/>
          <w:szCs w:val="22"/>
        </w:rPr>
      </w:pPr>
      <w:r w:rsidRPr="002B744C">
        <w:rPr>
          <w:color w:val="000000"/>
          <w:szCs w:val="22"/>
          <w:lang w:eastAsia="nl-BE"/>
        </w:rPr>
        <w:tab/>
      </w:r>
    </w:p>
    <w:p w:rsidR="000D38A4" w:rsidRPr="002B744C" w:rsidRDefault="000D38A4" w:rsidP="0080192D">
      <w:pPr>
        <w:pStyle w:val="ListParagraph"/>
        <w:spacing w:line="240" w:lineRule="exact"/>
        <w:ind w:left="284" w:hanging="12"/>
        <w:jc w:val="both"/>
        <w:rPr>
          <w:color w:val="666666"/>
          <w:sz w:val="22"/>
          <w:szCs w:val="22"/>
        </w:rPr>
      </w:pPr>
      <w:r w:rsidRPr="002B744C">
        <w:rPr>
          <w:sz w:val="22"/>
          <w:szCs w:val="22"/>
        </w:rPr>
        <w:t>(5) Meer gedetailleerde datasets over de outcome na vroeggeboorte (1500g) worden verzameld op federaal niveau via het ‘</w:t>
      </w:r>
      <w:hyperlink r:id="rId17" w:history="1">
        <w:r w:rsidRPr="00CA4453">
          <w:rPr>
            <w:rStyle w:val="Hyperlink"/>
            <w:bCs/>
            <w:kern w:val="36"/>
            <w:sz w:val="22"/>
            <w:szCs w:val="22"/>
          </w:rPr>
          <w:t>College van geneesheren voor de moeder en de pasgeborene’</w:t>
        </w:r>
      </w:hyperlink>
      <w:r w:rsidRPr="002B744C">
        <w:rPr>
          <w:b/>
          <w:bCs/>
          <w:kern w:val="36"/>
          <w:sz w:val="22"/>
          <w:szCs w:val="22"/>
        </w:rPr>
        <w:t xml:space="preserve">. </w:t>
      </w:r>
      <w:r w:rsidRPr="002B744C">
        <w:rPr>
          <w:bCs/>
          <w:kern w:val="36"/>
          <w:sz w:val="22"/>
          <w:szCs w:val="22"/>
        </w:rPr>
        <w:t xml:space="preserve">De </w:t>
      </w:r>
      <w:r w:rsidRPr="002B744C">
        <w:rPr>
          <w:sz w:val="22"/>
          <w:szCs w:val="22"/>
        </w:rPr>
        <w:t>taak van het College bestaat erin het kwaliteitsniveau in haar vakgebied vast te leggen en meer bepaald de externe evaluatie in alle domeinen van de neonatologie te organiseren. Dit in 2004 opgerichte College is de opvolger van het College voor intensieve neonatologie dat sinds 1999 bestond. Het bestaat uit twee afdelingen: afdeling neonatologie en afdeling materniteit</w:t>
      </w:r>
      <w:r>
        <w:rPr>
          <w:color w:val="666666"/>
          <w:sz w:val="22"/>
          <w:szCs w:val="22"/>
        </w:rPr>
        <w:t>.</w:t>
      </w:r>
    </w:p>
    <w:p w:rsidR="000D38A4" w:rsidRPr="002B744C" w:rsidRDefault="000D38A4" w:rsidP="0080192D">
      <w:pPr>
        <w:pStyle w:val="ListParagraph"/>
        <w:spacing w:line="240" w:lineRule="exact"/>
        <w:ind w:left="284" w:hanging="12"/>
        <w:jc w:val="both"/>
        <w:rPr>
          <w:sz w:val="22"/>
          <w:szCs w:val="22"/>
        </w:rPr>
      </w:pPr>
      <w:r w:rsidRPr="002B744C">
        <w:rPr>
          <w:sz w:val="22"/>
          <w:szCs w:val="22"/>
        </w:rPr>
        <w:t xml:space="preserve">Zij beschikken over een systematische registratie van allerlei indicatoren en klinische karakteristieken bij deze specifieke groep, met mogelijkheid om de ‘eigen’ gegevens te vergelijken met de nationale gemiddelden (voorzitter Dr. Haumont, St.-Pierre). </w:t>
      </w:r>
    </w:p>
    <w:p w:rsidR="000D38A4" w:rsidRDefault="000D38A4" w:rsidP="0080192D">
      <w:pPr>
        <w:ind w:left="284" w:hanging="284"/>
        <w:jc w:val="both"/>
        <w:rPr>
          <w:bCs/>
          <w:iCs/>
          <w:szCs w:val="22"/>
        </w:rPr>
      </w:pPr>
    </w:p>
    <w:p w:rsidR="000D38A4" w:rsidRDefault="000D38A4" w:rsidP="0080192D">
      <w:pPr>
        <w:ind w:left="284" w:hanging="284"/>
        <w:jc w:val="both"/>
        <w:rPr>
          <w:bCs/>
          <w:iCs/>
          <w:szCs w:val="22"/>
        </w:rPr>
      </w:pPr>
    </w:p>
    <w:p w:rsidR="000D38A4" w:rsidRDefault="000D38A4" w:rsidP="0080192D">
      <w:pPr>
        <w:ind w:left="284" w:hanging="284"/>
        <w:jc w:val="both"/>
        <w:rPr>
          <w:bCs/>
          <w:iCs/>
          <w:szCs w:val="22"/>
        </w:rPr>
      </w:pPr>
    </w:p>
    <w:p w:rsidR="000D38A4" w:rsidRDefault="000D38A4" w:rsidP="0080192D">
      <w:pPr>
        <w:ind w:left="284" w:hanging="284"/>
        <w:jc w:val="both"/>
        <w:rPr>
          <w:szCs w:val="22"/>
        </w:rPr>
      </w:pPr>
      <w:r w:rsidRPr="000036C4">
        <w:rPr>
          <w:bCs/>
          <w:iCs/>
          <w:szCs w:val="22"/>
        </w:rPr>
        <w:t>2.</w:t>
      </w:r>
      <w:r>
        <w:rPr>
          <w:bCs/>
          <w:iCs/>
          <w:szCs w:val="22"/>
        </w:rPr>
        <w:t xml:space="preserve"> </w:t>
      </w:r>
      <w:r w:rsidRPr="002B744C">
        <w:rPr>
          <w:szCs w:val="22"/>
        </w:rPr>
        <w:t xml:space="preserve">In </w:t>
      </w:r>
      <w:r>
        <w:rPr>
          <w:szCs w:val="22"/>
        </w:rPr>
        <w:t>onderstaande</w:t>
      </w:r>
      <w:r w:rsidRPr="002B744C">
        <w:rPr>
          <w:szCs w:val="22"/>
        </w:rPr>
        <w:t xml:space="preserve"> tabel 1 wordt op basis van de meest recent</w:t>
      </w:r>
      <w:r>
        <w:rPr>
          <w:szCs w:val="22"/>
        </w:rPr>
        <w:t xml:space="preserve">e </w:t>
      </w:r>
      <w:r w:rsidRPr="002B744C">
        <w:rPr>
          <w:szCs w:val="22"/>
        </w:rPr>
        <w:t xml:space="preserve">geboortegegevens waarover we konden beschikken, een schatting van het aantal vroeggeboortes per zorgregio/regionale stad en per 1.000 geboortes weergegeven. </w:t>
      </w:r>
    </w:p>
    <w:p w:rsidR="000D38A4" w:rsidRPr="002B744C" w:rsidRDefault="000D38A4" w:rsidP="0080192D">
      <w:pPr>
        <w:ind w:left="284" w:hanging="284"/>
        <w:jc w:val="both"/>
        <w:rPr>
          <w:rFonts w:ascii="Calibri" w:hAnsi="Calibri" w:cs="Calibri"/>
          <w:b/>
          <w:szCs w:val="22"/>
          <w:lang w:val="nl-BE"/>
        </w:rPr>
      </w:pPr>
    </w:p>
    <w:p w:rsidR="000D38A4" w:rsidRPr="002B744C" w:rsidRDefault="000D38A4" w:rsidP="0080192D">
      <w:pPr>
        <w:ind w:firstLine="284"/>
        <w:rPr>
          <w:rFonts w:ascii="Calibri" w:hAnsi="Calibri" w:cs="Calibri"/>
          <w:b/>
          <w:szCs w:val="22"/>
          <w:lang w:val="nl-BE"/>
        </w:rPr>
      </w:pPr>
      <w:r w:rsidRPr="002B744C">
        <w:rPr>
          <w:rFonts w:ascii="Calibri" w:hAnsi="Calibri" w:cs="Calibri"/>
          <w:b/>
          <w:szCs w:val="22"/>
          <w:lang w:val="nl-BE"/>
        </w:rPr>
        <w:t>Tabel 1 Schatting van het aantal vroeggeboortes per zorgregio en per 1000 geboortes.</w:t>
      </w:r>
    </w:p>
    <w:p w:rsidR="000D38A4" w:rsidRPr="002B744C" w:rsidRDefault="000D38A4" w:rsidP="0080192D">
      <w:pPr>
        <w:ind w:left="360" w:hanging="284"/>
        <w:jc w:val="both"/>
        <w:rPr>
          <w:rFonts w:ascii="Calibri" w:hAnsi="Calibri" w:cs="Calibri"/>
          <w:b/>
          <w:szCs w:val="22"/>
          <w:lang w:val="nl-BE"/>
        </w:rPr>
      </w:pPr>
    </w:p>
    <w:tbl>
      <w:tblPr>
        <w:tblW w:w="8520" w:type="dxa"/>
        <w:tblInd w:w="496" w:type="dxa"/>
        <w:tblCellMar>
          <w:left w:w="70" w:type="dxa"/>
          <w:right w:w="70" w:type="dxa"/>
        </w:tblCellMar>
        <w:tblLook w:val="00A0"/>
      </w:tblPr>
      <w:tblGrid>
        <w:gridCol w:w="1940"/>
        <w:gridCol w:w="1540"/>
        <w:gridCol w:w="1860"/>
        <w:gridCol w:w="1720"/>
        <w:gridCol w:w="1460"/>
      </w:tblGrid>
      <w:tr w:rsidR="000D38A4" w:rsidRPr="002B744C" w:rsidTr="00E80632">
        <w:trPr>
          <w:trHeight w:val="2835"/>
        </w:trPr>
        <w:tc>
          <w:tcPr>
            <w:tcW w:w="1940" w:type="dxa"/>
            <w:tcBorders>
              <w:top w:val="single" w:sz="8" w:space="0" w:color="auto"/>
              <w:left w:val="single" w:sz="8" w:space="0" w:color="auto"/>
              <w:bottom w:val="single" w:sz="8" w:space="0" w:color="auto"/>
              <w:right w:val="single" w:sz="4" w:space="0" w:color="auto"/>
            </w:tcBorders>
          </w:tcPr>
          <w:p w:rsidR="000D38A4" w:rsidRPr="002B744C" w:rsidRDefault="000D38A4" w:rsidP="0080192D">
            <w:pPr>
              <w:ind w:hanging="284"/>
              <w:rPr>
                <w:rFonts w:ascii="Calibri" w:hAnsi="Calibri" w:cs="Calibri"/>
                <w:b/>
                <w:bCs/>
                <w:color w:val="000000"/>
                <w:szCs w:val="22"/>
                <w:lang w:val="nl-BE" w:eastAsia="nl-BE"/>
              </w:rPr>
            </w:pPr>
            <w:r w:rsidRPr="002B744C">
              <w:rPr>
                <w:rFonts w:ascii="Calibri" w:hAnsi="Calibri" w:cs="Calibri"/>
                <w:b/>
                <w:bCs/>
                <w:color w:val="000000"/>
                <w:szCs w:val="22"/>
                <w:lang w:val="nl-BE" w:eastAsia="nl-BE"/>
              </w:rPr>
              <w:t>Zorgregio/</w:t>
            </w:r>
            <w:r w:rsidRPr="002B744C">
              <w:rPr>
                <w:rFonts w:ascii="Calibri" w:hAnsi="Calibri" w:cs="Calibri"/>
                <w:b/>
                <w:bCs/>
                <w:color w:val="000000"/>
                <w:szCs w:val="22"/>
                <w:lang w:val="nl-BE" w:eastAsia="nl-BE"/>
              </w:rPr>
              <w:br/>
              <w:t xml:space="preserve"> regionale stad</w:t>
            </w:r>
            <w:r w:rsidRPr="002B744C">
              <w:rPr>
                <w:rFonts w:ascii="Calibri" w:hAnsi="Calibri" w:cs="Calibri"/>
                <w:b/>
                <w:bCs/>
                <w:color w:val="000000"/>
                <w:szCs w:val="22"/>
                <w:lang w:val="nl-BE" w:eastAsia="nl-BE"/>
              </w:rPr>
              <w:br/>
            </w:r>
          </w:p>
          <w:p w:rsidR="000D38A4" w:rsidRPr="002B744C" w:rsidRDefault="000D38A4" w:rsidP="0080192D">
            <w:pPr>
              <w:ind w:hanging="284"/>
              <w:rPr>
                <w:rFonts w:ascii="Calibri" w:hAnsi="Calibri" w:cs="Calibri"/>
                <w:b/>
                <w:bCs/>
                <w:color w:val="000000"/>
                <w:szCs w:val="22"/>
                <w:lang w:val="nl-BE" w:eastAsia="nl-BE"/>
              </w:rPr>
            </w:pPr>
            <w:r w:rsidRPr="002B744C">
              <w:rPr>
                <w:rFonts w:ascii="Calibri" w:hAnsi="Calibri" w:cs="Calibri"/>
                <w:b/>
                <w:bCs/>
                <w:color w:val="000000"/>
                <w:szCs w:val="22"/>
                <w:lang w:val="nl-BE" w:eastAsia="nl-BE"/>
              </w:rPr>
              <w:t>Woonplaats</w:t>
            </w:r>
          </w:p>
        </w:tc>
        <w:tc>
          <w:tcPr>
            <w:tcW w:w="1540" w:type="dxa"/>
            <w:tcBorders>
              <w:top w:val="single" w:sz="8" w:space="0" w:color="auto"/>
              <w:left w:val="nil"/>
              <w:bottom w:val="single" w:sz="8" w:space="0" w:color="auto"/>
              <w:right w:val="single" w:sz="4" w:space="0" w:color="auto"/>
            </w:tcBorders>
          </w:tcPr>
          <w:p w:rsidR="000D38A4" w:rsidRPr="002B744C" w:rsidRDefault="000D38A4" w:rsidP="0080192D">
            <w:pPr>
              <w:ind w:hanging="284"/>
              <w:rPr>
                <w:rFonts w:ascii="Calibri" w:hAnsi="Calibri" w:cs="Calibri"/>
                <w:b/>
                <w:bCs/>
                <w:color w:val="000000"/>
                <w:szCs w:val="22"/>
                <w:lang w:val="nl-BE" w:eastAsia="nl-BE"/>
              </w:rPr>
            </w:pPr>
            <w:r w:rsidRPr="002B744C">
              <w:rPr>
                <w:rFonts w:ascii="Calibri" w:hAnsi="Calibri" w:cs="Calibri"/>
                <w:b/>
                <w:bCs/>
                <w:color w:val="000000"/>
                <w:szCs w:val="22"/>
                <w:lang w:val="nl-BE" w:eastAsia="nl-BE"/>
              </w:rPr>
              <w:t xml:space="preserve">Schatting  aantal geboortes </w:t>
            </w:r>
          </w:p>
          <w:p w:rsidR="000D38A4" w:rsidRPr="002B744C" w:rsidRDefault="000D38A4" w:rsidP="0080192D">
            <w:pPr>
              <w:ind w:hanging="284"/>
              <w:rPr>
                <w:rFonts w:ascii="Calibri" w:hAnsi="Calibri" w:cs="Calibri"/>
                <w:b/>
                <w:bCs/>
                <w:color w:val="000000"/>
                <w:szCs w:val="22"/>
                <w:lang w:val="nl-BE" w:eastAsia="nl-BE"/>
              </w:rPr>
            </w:pPr>
            <w:r w:rsidRPr="002B744C">
              <w:rPr>
                <w:rFonts w:ascii="Calibri" w:hAnsi="Calibri" w:cs="Calibri"/>
                <w:b/>
                <w:bCs/>
                <w:color w:val="000000"/>
                <w:szCs w:val="22"/>
                <w:lang w:val="nl-BE" w:eastAsia="nl-BE"/>
              </w:rPr>
              <w:t xml:space="preserve">per jaar </w:t>
            </w:r>
          </w:p>
          <w:p w:rsidR="000D38A4" w:rsidRPr="002B744C" w:rsidRDefault="000D38A4" w:rsidP="0080192D">
            <w:pPr>
              <w:ind w:hanging="284"/>
              <w:rPr>
                <w:rFonts w:ascii="Calibri" w:hAnsi="Calibri" w:cs="Calibri"/>
                <w:b/>
                <w:bCs/>
                <w:color w:val="000000"/>
                <w:szCs w:val="22"/>
                <w:lang w:val="nl-BE" w:eastAsia="nl-BE"/>
              </w:rPr>
            </w:pPr>
            <w:r w:rsidRPr="002B744C">
              <w:rPr>
                <w:rFonts w:ascii="Calibri" w:hAnsi="Calibri" w:cs="Calibri"/>
                <w:b/>
                <w:bCs/>
                <w:color w:val="000000"/>
                <w:szCs w:val="22"/>
                <w:lang w:val="nl-BE" w:eastAsia="nl-BE"/>
              </w:rPr>
              <w:t>(in 2007-2008, op basis van Rijksregister, NIS, VAZG)</w:t>
            </w:r>
            <w:r w:rsidRPr="002B744C">
              <w:rPr>
                <w:rFonts w:ascii="Calibri" w:hAnsi="Calibri" w:cs="Calibri"/>
                <w:b/>
                <w:bCs/>
                <w:color w:val="000000"/>
                <w:szCs w:val="22"/>
                <w:vertAlign w:val="superscript"/>
                <w:lang w:val="nl-BE" w:eastAsia="nl-BE"/>
              </w:rPr>
              <w:t>1</w:t>
            </w:r>
          </w:p>
        </w:tc>
        <w:tc>
          <w:tcPr>
            <w:tcW w:w="1860" w:type="dxa"/>
            <w:tcBorders>
              <w:top w:val="single" w:sz="8" w:space="0" w:color="auto"/>
              <w:left w:val="nil"/>
              <w:bottom w:val="single" w:sz="8" w:space="0" w:color="auto"/>
              <w:right w:val="single" w:sz="4" w:space="0" w:color="auto"/>
            </w:tcBorders>
          </w:tcPr>
          <w:p w:rsidR="000D38A4" w:rsidRPr="002B744C" w:rsidRDefault="000D38A4" w:rsidP="0080192D">
            <w:pPr>
              <w:ind w:hanging="284"/>
              <w:rPr>
                <w:rFonts w:ascii="Calibri" w:hAnsi="Calibri" w:cs="Calibri"/>
                <w:b/>
                <w:bCs/>
                <w:color w:val="000000"/>
                <w:szCs w:val="22"/>
                <w:lang w:val="nl-BE" w:eastAsia="nl-BE"/>
              </w:rPr>
            </w:pPr>
            <w:r w:rsidRPr="002B744C">
              <w:rPr>
                <w:rFonts w:ascii="Calibri" w:hAnsi="Calibri" w:cs="Calibri"/>
                <w:b/>
                <w:bCs/>
                <w:color w:val="000000"/>
                <w:szCs w:val="22"/>
                <w:lang w:val="nl-BE" w:eastAsia="nl-BE"/>
              </w:rPr>
              <w:t xml:space="preserve">Schatting aantal vroeggeboren  </w:t>
            </w:r>
            <w:r w:rsidRPr="002B744C">
              <w:rPr>
                <w:rFonts w:ascii="Calibri" w:hAnsi="Calibri" w:cs="Calibri"/>
                <w:b/>
                <w:bCs/>
                <w:color w:val="000000"/>
                <w:szCs w:val="22"/>
                <w:lang w:val="nl-BE" w:eastAsia="nl-BE"/>
              </w:rPr>
              <w:br/>
              <w:t xml:space="preserve">0-1 jarigen per jaar in 2007-2008  </w:t>
            </w:r>
            <w:r w:rsidRPr="002B744C">
              <w:rPr>
                <w:rFonts w:ascii="Calibri" w:hAnsi="Calibri" w:cs="Calibri"/>
                <w:b/>
                <w:bCs/>
                <w:color w:val="000000"/>
                <w:szCs w:val="22"/>
                <w:lang w:val="nl-BE" w:eastAsia="nl-BE"/>
              </w:rPr>
              <w:br/>
              <w:t xml:space="preserve">(op basis van gemiddeld  0,72 </w:t>
            </w:r>
            <w:r>
              <w:rPr>
                <w:rFonts w:ascii="Calibri" w:hAnsi="Calibri" w:cs="Calibri"/>
                <w:b/>
                <w:bCs/>
                <w:color w:val="000000"/>
                <w:szCs w:val="22"/>
                <w:lang w:val="nl-BE" w:eastAsia="nl-BE"/>
              </w:rPr>
              <w:t xml:space="preserve">vroeggeboortes </w:t>
            </w:r>
            <w:r w:rsidRPr="002B744C">
              <w:rPr>
                <w:rFonts w:ascii="Calibri" w:hAnsi="Calibri" w:cs="Calibri"/>
                <w:b/>
                <w:bCs/>
                <w:color w:val="000000"/>
                <w:szCs w:val="22"/>
                <w:lang w:val="nl-BE" w:eastAsia="nl-BE"/>
              </w:rPr>
              <w:t>per duizend geboortes</w:t>
            </w:r>
            <w:r>
              <w:rPr>
                <w:rFonts w:ascii="Calibri" w:hAnsi="Calibri" w:cs="Calibri"/>
                <w:b/>
                <w:bCs/>
                <w:color w:val="000000"/>
                <w:szCs w:val="22"/>
                <w:lang w:val="nl-BE" w:eastAsia="nl-BE"/>
              </w:rPr>
              <w:t>;</w:t>
            </w:r>
            <w:r w:rsidRPr="002B744C">
              <w:rPr>
                <w:rFonts w:ascii="Calibri" w:hAnsi="Calibri" w:cs="Calibri"/>
                <w:b/>
                <w:bCs/>
                <w:color w:val="000000"/>
                <w:szCs w:val="22"/>
                <w:lang w:val="nl-BE" w:eastAsia="nl-BE"/>
              </w:rPr>
              <w:t xml:space="preserve">  Cammu 2011 )</w:t>
            </w:r>
            <w:r w:rsidRPr="002B744C">
              <w:rPr>
                <w:rFonts w:ascii="Calibri" w:hAnsi="Calibri" w:cs="Calibri"/>
                <w:bCs/>
                <w:color w:val="000000"/>
                <w:sz w:val="18"/>
                <w:szCs w:val="18"/>
                <w:vertAlign w:val="superscript"/>
                <w:lang w:val="nl-BE" w:eastAsia="nl-BE"/>
              </w:rPr>
              <w:t>2</w:t>
            </w:r>
          </w:p>
        </w:tc>
        <w:tc>
          <w:tcPr>
            <w:tcW w:w="1720" w:type="dxa"/>
            <w:tcBorders>
              <w:top w:val="single" w:sz="8" w:space="0" w:color="auto"/>
              <w:left w:val="nil"/>
              <w:bottom w:val="single" w:sz="8" w:space="0" w:color="auto"/>
              <w:right w:val="single" w:sz="4" w:space="0" w:color="auto"/>
            </w:tcBorders>
          </w:tcPr>
          <w:p w:rsidR="000D38A4" w:rsidRPr="002B744C" w:rsidRDefault="000D38A4" w:rsidP="0080192D">
            <w:pPr>
              <w:ind w:hanging="284"/>
              <w:rPr>
                <w:rFonts w:ascii="Calibri" w:hAnsi="Calibri" w:cs="Calibri"/>
                <w:b/>
                <w:bCs/>
                <w:color w:val="000000"/>
                <w:szCs w:val="22"/>
                <w:lang w:val="nl-BE" w:eastAsia="nl-BE"/>
              </w:rPr>
            </w:pPr>
            <w:r w:rsidRPr="002B744C">
              <w:rPr>
                <w:rFonts w:ascii="Calibri" w:hAnsi="Calibri" w:cs="Calibri"/>
                <w:b/>
                <w:bCs/>
                <w:color w:val="000000"/>
                <w:szCs w:val="22"/>
                <w:lang w:val="nl-BE" w:eastAsia="nl-BE"/>
              </w:rPr>
              <w:t>Schatting aantal vroeggeboren   0-1 jarigen per 1000 geboortes van 01/05/08 tem 30/04/09</w:t>
            </w:r>
            <w:r w:rsidRPr="002B744C">
              <w:rPr>
                <w:rFonts w:ascii="Calibri" w:hAnsi="Calibri" w:cs="Calibri"/>
                <w:b/>
                <w:bCs/>
                <w:color w:val="000000"/>
                <w:szCs w:val="22"/>
                <w:lang w:val="nl-BE" w:eastAsia="nl-BE"/>
              </w:rPr>
              <w:br/>
              <w:t>(IKAROS 2008- 2009 data gekoppeld aan zorgregio)</w:t>
            </w:r>
            <w:r w:rsidRPr="002B744C">
              <w:rPr>
                <w:rFonts w:ascii="Calibri" w:hAnsi="Calibri" w:cs="Calibri"/>
                <w:bCs/>
                <w:color w:val="000000"/>
                <w:sz w:val="18"/>
                <w:szCs w:val="18"/>
                <w:vertAlign w:val="superscript"/>
                <w:lang w:val="nl-BE" w:eastAsia="nl-BE"/>
              </w:rPr>
              <w:t>3</w:t>
            </w:r>
            <w:r w:rsidRPr="002B744C">
              <w:rPr>
                <w:rFonts w:ascii="Calibri" w:hAnsi="Calibri" w:cs="Calibri"/>
                <w:b/>
                <w:bCs/>
                <w:color w:val="000000"/>
                <w:szCs w:val="22"/>
                <w:lang w:val="nl-BE" w:eastAsia="nl-BE"/>
              </w:rPr>
              <w:t xml:space="preserve"> </w:t>
            </w:r>
          </w:p>
        </w:tc>
        <w:tc>
          <w:tcPr>
            <w:tcW w:w="1460" w:type="dxa"/>
            <w:tcBorders>
              <w:top w:val="single" w:sz="8" w:space="0" w:color="auto"/>
              <w:left w:val="nil"/>
              <w:bottom w:val="single" w:sz="8" w:space="0" w:color="auto"/>
              <w:right w:val="single" w:sz="8" w:space="0" w:color="auto"/>
            </w:tcBorders>
          </w:tcPr>
          <w:p w:rsidR="000D38A4" w:rsidRPr="002B744C" w:rsidRDefault="000D38A4" w:rsidP="0080192D">
            <w:pPr>
              <w:ind w:hanging="284"/>
              <w:rPr>
                <w:rFonts w:ascii="Calibri" w:hAnsi="Calibri" w:cs="Calibri"/>
                <w:b/>
                <w:bCs/>
                <w:color w:val="000000"/>
                <w:szCs w:val="22"/>
                <w:lang w:val="nl-BE" w:eastAsia="nl-BE"/>
              </w:rPr>
            </w:pPr>
            <w:r w:rsidRPr="002B744C">
              <w:rPr>
                <w:rFonts w:ascii="Calibri" w:hAnsi="Calibri" w:cs="Calibri"/>
                <w:b/>
                <w:bCs/>
                <w:color w:val="000000"/>
                <w:szCs w:val="22"/>
                <w:lang w:val="nl-BE" w:eastAsia="nl-BE"/>
              </w:rPr>
              <w:t>Aangepaste</w:t>
            </w:r>
            <w:r w:rsidRPr="002B744C">
              <w:rPr>
                <w:rFonts w:ascii="Calibri" w:hAnsi="Calibri" w:cs="Calibri"/>
                <w:b/>
                <w:bCs/>
                <w:color w:val="000000"/>
                <w:szCs w:val="22"/>
                <w:lang w:val="nl-BE" w:eastAsia="nl-BE"/>
              </w:rPr>
              <w:br/>
              <w:t>schatting  aantal vroeg-</w:t>
            </w:r>
            <w:r w:rsidRPr="002B744C">
              <w:rPr>
                <w:rFonts w:ascii="Calibri" w:hAnsi="Calibri" w:cs="Calibri"/>
                <w:b/>
                <w:bCs/>
                <w:color w:val="000000"/>
                <w:szCs w:val="22"/>
                <w:lang w:val="nl-BE" w:eastAsia="nl-BE"/>
              </w:rPr>
              <w:br/>
              <w:t>geboren 0-1</w:t>
            </w:r>
            <w:r w:rsidRPr="002B744C">
              <w:rPr>
                <w:rFonts w:ascii="Calibri" w:hAnsi="Calibri" w:cs="Calibri"/>
                <w:b/>
                <w:bCs/>
                <w:color w:val="000000"/>
                <w:szCs w:val="22"/>
                <w:lang w:val="nl-BE" w:eastAsia="nl-BE"/>
              </w:rPr>
              <w:br/>
              <w:t xml:space="preserve">jarigen per jaar  in 2007-2008 </w:t>
            </w:r>
            <w:r w:rsidRPr="002B744C">
              <w:rPr>
                <w:rFonts w:ascii="Calibri" w:hAnsi="Calibri" w:cs="Calibri"/>
                <w:bCs/>
                <w:color w:val="000000"/>
                <w:sz w:val="18"/>
                <w:szCs w:val="18"/>
                <w:vertAlign w:val="superscript"/>
                <w:lang w:val="nl-BE" w:eastAsia="nl-BE"/>
              </w:rPr>
              <w:t>3</w:t>
            </w:r>
            <w:r w:rsidRPr="002B744C">
              <w:rPr>
                <w:rFonts w:ascii="Calibri" w:hAnsi="Calibri" w:cs="Calibri"/>
                <w:b/>
                <w:bCs/>
                <w:color w:val="000000"/>
                <w:szCs w:val="22"/>
                <w:lang w:val="nl-BE" w:eastAsia="nl-BE"/>
              </w:rPr>
              <w:t xml:space="preserve">  </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Antwerpen</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11408</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821,38</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0,75</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855,6</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Mechelen</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4550,5</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327,64</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0,56</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254,828</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Sint-Niklaas</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2644,5</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190,40</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0,68</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179,826</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Roeselare</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3928,5</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282,85</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0,60</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235,71</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Brusselse rand</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6202</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446,54</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0,73</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452,746</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Gent</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9942,5</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715,86</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0,85</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845,1125</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Kortrijk</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3314</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238,61</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0,55</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182,27</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Oostende</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1630,5</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117,40</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0,66</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107,613</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Aalst</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3571</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257,11</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0,52</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185,692</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Leuven</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5157,5</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371,34</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1,02</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526,065</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Turnhout</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4522,5</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325,62</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0,72</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325,62</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Brugge</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2922</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210,38</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1,01</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295,122</w:t>
            </w:r>
          </w:p>
        </w:tc>
      </w:tr>
      <w:tr w:rsidR="000D38A4" w:rsidRPr="002B744C" w:rsidTr="00E80632">
        <w:trPr>
          <w:trHeight w:val="300"/>
        </w:trPr>
        <w:tc>
          <w:tcPr>
            <w:tcW w:w="1940" w:type="dxa"/>
            <w:tcBorders>
              <w:top w:val="nil"/>
              <w:left w:val="single" w:sz="8"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Genk</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2585,5</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186,16</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1,03</w:t>
            </w:r>
          </w:p>
        </w:tc>
        <w:tc>
          <w:tcPr>
            <w:tcW w:w="1460" w:type="dxa"/>
            <w:tcBorders>
              <w:top w:val="nil"/>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266,3065</w:t>
            </w:r>
          </w:p>
        </w:tc>
      </w:tr>
      <w:tr w:rsidR="000D38A4" w:rsidRPr="002B744C" w:rsidTr="00E80632">
        <w:trPr>
          <w:trHeight w:val="315"/>
        </w:trPr>
        <w:tc>
          <w:tcPr>
            <w:tcW w:w="1940" w:type="dxa"/>
            <w:tcBorders>
              <w:top w:val="nil"/>
              <w:left w:val="single" w:sz="8" w:space="0" w:color="auto"/>
              <w:bottom w:val="single" w:sz="8"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RS: Hasselt</w:t>
            </w:r>
          </w:p>
        </w:tc>
        <w:tc>
          <w:tcPr>
            <w:tcW w:w="1540" w:type="dxa"/>
            <w:tcBorders>
              <w:top w:val="nil"/>
              <w:left w:val="nil"/>
              <w:bottom w:val="single" w:sz="8"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6036,5</w:t>
            </w:r>
          </w:p>
        </w:tc>
        <w:tc>
          <w:tcPr>
            <w:tcW w:w="1860" w:type="dxa"/>
            <w:tcBorders>
              <w:top w:val="nil"/>
              <w:left w:val="nil"/>
              <w:bottom w:val="single" w:sz="8"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434,63</w:t>
            </w:r>
          </w:p>
        </w:tc>
        <w:tc>
          <w:tcPr>
            <w:tcW w:w="1720" w:type="dxa"/>
            <w:tcBorders>
              <w:top w:val="nil"/>
              <w:left w:val="nil"/>
              <w:bottom w:val="single" w:sz="8"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0,62</w:t>
            </w:r>
          </w:p>
        </w:tc>
        <w:tc>
          <w:tcPr>
            <w:tcW w:w="1460" w:type="dxa"/>
            <w:tcBorders>
              <w:top w:val="nil"/>
              <w:left w:val="nil"/>
              <w:bottom w:val="nil"/>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374,263</w:t>
            </w:r>
          </w:p>
        </w:tc>
      </w:tr>
      <w:tr w:rsidR="000D38A4" w:rsidRPr="002B744C" w:rsidTr="00E80632">
        <w:trPr>
          <w:trHeight w:val="300"/>
        </w:trPr>
        <w:tc>
          <w:tcPr>
            <w:tcW w:w="1940" w:type="dxa"/>
            <w:tcBorders>
              <w:top w:val="nil"/>
              <w:left w:val="single" w:sz="4" w:space="0" w:color="auto"/>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Totaal</w:t>
            </w:r>
          </w:p>
        </w:tc>
        <w:tc>
          <w:tcPr>
            <w:tcW w:w="154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68415,5</w:t>
            </w:r>
          </w:p>
        </w:tc>
        <w:tc>
          <w:tcPr>
            <w:tcW w:w="1860" w:type="dxa"/>
            <w:tcBorders>
              <w:top w:val="nil"/>
              <w:left w:val="nil"/>
              <w:bottom w:val="single" w:sz="4" w:space="0" w:color="auto"/>
              <w:right w:val="single" w:sz="4"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4925,92</w:t>
            </w:r>
          </w:p>
        </w:tc>
        <w:tc>
          <w:tcPr>
            <w:tcW w:w="1720" w:type="dxa"/>
            <w:tcBorders>
              <w:top w:val="nil"/>
              <w:left w:val="nil"/>
              <w:bottom w:val="single" w:sz="4" w:space="0" w:color="auto"/>
              <w:right w:val="single" w:sz="4" w:space="0" w:color="auto"/>
            </w:tcBorders>
            <w:noWrap/>
            <w:vAlign w:val="bottom"/>
          </w:tcPr>
          <w:p w:rsidR="000D38A4" w:rsidRPr="002B744C" w:rsidRDefault="000D38A4" w:rsidP="0080192D">
            <w:pPr>
              <w:ind w:hanging="284"/>
              <w:rPr>
                <w:rFonts w:ascii="Calibri" w:hAnsi="Calibri" w:cs="Calibri"/>
                <w:color w:val="000000"/>
                <w:szCs w:val="22"/>
                <w:lang w:val="nl-BE" w:eastAsia="nl-BE"/>
              </w:rPr>
            </w:pPr>
            <w:r w:rsidRPr="002B744C">
              <w:rPr>
                <w:rFonts w:ascii="Calibri" w:hAnsi="Calibri" w:cs="Calibri"/>
                <w:color w:val="000000"/>
                <w:szCs w:val="22"/>
                <w:lang w:val="nl-BE" w:eastAsia="nl-BE"/>
              </w:rPr>
              <w:t> </w:t>
            </w:r>
          </w:p>
        </w:tc>
        <w:tc>
          <w:tcPr>
            <w:tcW w:w="1460" w:type="dxa"/>
            <w:tcBorders>
              <w:top w:val="single" w:sz="8" w:space="0" w:color="auto"/>
              <w:left w:val="nil"/>
              <w:bottom w:val="single" w:sz="4" w:space="0" w:color="auto"/>
              <w:right w:val="single" w:sz="8" w:space="0" w:color="auto"/>
            </w:tcBorders>
            <w:noWrap/>
            <w:vAlign w:val="bottom"/>
          </w:tcPr>
          <w:p w:rsidR="000D38A4" w:rsidRPr="002B744C" w:rsidRDefault="000D38A4" w:rsidP="0080192D">
            <w:pPr>
              <w:ind w:hanging="284"/>
              <w:jc w:val="right"/>
              <w:rPr>
                <w:rFonts w:ascii="Calibri" w:hAnsi="Calibri" w:cs="Calibri"/>
                <w:color w:val="000000"/>
                <w:szCs w:val="22"/>
                <w:lang w:val="nl-BE" w:eastAsia="nl-BE"/>
              </w:rPr>
            </w:pPr>
            <w:r w:rsidRPr="002B744C">
              <w:rPr>
                <w:rFonts w:ascii="Calibri" w:hAnsi="Calibri" w:cs="Calibri"/>
                <w:color w:val="000000"/>
                <w:szCs w:val="22"/>
                <w:lang w:val="nl-BE" w:eastAsia="nl-BE"/>
              </w:rPr>
              <w:t>5086,77</w:t>
            </w:r>
          </w:p>
        </w:tc>
      </w:tr>
    </w:tbl>
    <w:p w:rsidR="000D38A4" w:rsidRPr="002B744C" w:rsidRDefault="000D38A4" w:rsidP="0080192D">
      <w:pPr>
        <w:ind w:left="360" w:hanging="284"/>
        <w:jc w:val="both"/>
        <w:rPr>
          <w:rFonts w:ascii="Calibri" w:hAnsi="Calibri" w:cs="Calibri"/>
          <w:szCs w:val="22"/>
        </w:rPr>
      </w:pPr>
    </w:p>
    <w:p w:rsidR="000D38A4" w:rsidRPr="002B744C" w:rsidRDefault="000D38A4" w:rsidP="0080192D">
      <w:pPr>
        <w:ind w:left="644" w:hanging="284"/>
        <w:jc w:val="both"/>
        <w:rPr>
          <w:rFonts w:ascii="Calibri" w:hAnsi="Calibri" w:cs="Calibri"/>
          <w:color w:val="000000"/>
          <w:sz w:val="20"/>
          <w:szCs w:val="20"/>
        </w:rPr>
      </w:pPr>
      <w:r w:rsidRPr="002B744C">
        <w:rPr>
          <w:rFonts w:ascii="Calibri" w:hAnsi="Calibri" w:cs="Calibri"/>
          <w:sz w:val="20"/>
          <w:szCs w:val="20"/>
          <w:vertAlign w:val="superscript"/>
        </w:rPr>
        <w:t>1</w:t>
      </w:r>
      <w:r w:rsidRPr="002B744C">
        <w:rPr>
          <w:rFonts w:ascii="Calibri" w:hAnsi="Calibri" w:cs="Calibri"/>
          <w:sz w:val="20"/>
          <w:szCs w:val="20"/>
        </w:rPr>
        <w:t xml:space="preserve">Bron: </w:t>
      </w:r>
      <w:r w:rsidRPr="002B744C">
        <w:rPr>
          <w:rFonts w:ascii="Calibri" w:hAnsi="Calibri" w:cs="Calibri"/>
          <w:color w:val="000000"/>
          <w:sz w:val="20"/>
          <w:szCs w:val="20"/>
        </w:rPr>
        <w:t>Geboortecertificaten en sterftecertificaten zuigelingen -NIS bevolking, Vlaams Gewest, 2007-2008</w:t>
      </w:r>
    </w:p>
    <w:p w:rsidR="000D38A4" w:rsidRPr="002B744C" w:rsidRDefault="000D38A4" w:rsidP="0080192D">
      <w:pPr>
        <w:ind w:left="644" w:hanging="284"/>
        <w:jc w:val="both"/>
        <w:rPr>
          <w:rStyle w:val="Hyperlink"/>
          <w:rFonts w:ascii="Calibri" w:hAnsi="Calibri" w:cs="Calibri"/>
          <w:sz w:val="20"/>
          <w:szCs w:val="20"/>
        </w:rPr>
      </w:pPr>
      <w:hyperlink r:id="rId18" w:history="1">
        <w:r w:rsidRPr="002B744C">
          <w:rPr>
            <w:rStyle w:val="Hyperlink"/>
            <w:rFonts w:ascii="Calibri" w:hAnsi="Calibri" w:cs="Calibri"/>
            <w:sz w:val="20"/>
            <w:szCs w:val="20"/>
          </w:rPr>
          <w:t>http://www.zorg-en-gezondheid.be/Cijfers/Geboorte-en-bevalling/Woonplaats-van-de-moeder/</w:t>
        </w:r>
      </w:hyperlink>
    </w:p>
    <w:p w:rsidR="000D38A4" w:rsidRPr="002B744C" w:rsidRDefault="000D38A4" w:rsidP="0080192D">
      <w:pPr>
        <w:ind w:left="644" w:hanging="284"/>
        <w:jc w:val="both"/>
        <w:rPr>
          <w:rFonts w:ascii="Calibri" w:hAnsi="Calibri" w:cs="Calibri"/>
          <w:color w:val="000000"/>
          <w:sz w:val="20"/>
          <w:szCs w:val="20"/>
          <w:lang w:eastAsia="nl-BE"/>
        </w:rPr>
      </w:pPr>
      <w:r w:rsidRPr="002B744C">
        <w:rPr>
          <w:rFonts w:ascii="Calibri" w:hAnsi="Calibri" w:cs="Calibri"/>
          <w:color w:val="000000"/>
          <w:sz w:val="20"/>
          <w:szCs w:val="20"/>
          <w:vertAlign w:val="superscript"/>
          <w:lang w:eastAsia="nl-BE"/>
        </w:rPr>
        <w:t>2</w:t>
      </w:r>
      <w:r w:rsidRPr="002B744C">
        <w:rPr>
          <w:rFonts w:ascii="Calibri" w:hAnsi="Calibri" w:cs="Calibri"/>
          <w:color w:val="000000"/>
          <w:sz w:val="20"/>
          <w:szCs w:val="20"/>
          <w:lang w:eastAsia="nl-BE"/>
        </w:rPr>
        <w:t xml:space="preserve"> Cammu H, Martens E, Martens G, Van Mol C, Defoort P (2011). Perinatale activiteiten in Vlaanderen 2010. Vzw Studiecentrum voor Perinatale epidemiologie (SPE).</w:t>
      </w:r>
    </w:p>
    <w:p w:rsidR="000D38A4" w:rsidRPr="002B744C" w:rsidRDefault="000D38A4" w:rsidP="0080192D">
      <w:pPr>
        <w:ind w:left="644" w:hanging="284"/>
        <w:jc w:val="both"/>
        <w:rPr>
          <w:rFonts w:ascii="Calibri" w:hAnsi="Calibri" w:cs="Calibri"/>
          <w:color w:val="000000"/>
          <w:sz w:val="20"/>
          <w:szCs w:val="20"/>
          <w:lang w:eastAsia="nl-BE"/>
        </w:rPr>
      </w:pPr>
      <w:r w:rsidRPr="002B744C">
        <w:rPr>
          <w:rFonts w:ascii="Calibri" w:hAnsi="Calibri" w:cs="Calibri"/>
          <w:color w:val="000000"/>
          <w:sz w:val="20"/>
          <w:szCs w:val="20"/>
          <w:vertAlign w:val="superscript"/>
          <w:lang w:eastAsia="nl-BE"/>
        </w:rPr>
        <w:t>3</w:t>
      </w:r>
      <w:r w:rsidRPr="002B744C">
        <w:rPr>
          <w:rFonts w:ascii="Calibri" w:hAnsi="Calibri" w:cs="Calibri"/>
          <w:color w:val="000000"/>
          <w:sz w:val="20"/>
          <w:szCs w:val="20"/>
          <w:lang w:eastAsia="nl-BE"/>
        </w:rPr>
        <w:t xml:space="preserve"> Op basis van de gegevens van IKAROS bestand (Kind en Gezin) werd ten behoeve van het onderzoek JONG! van het Steunpunt Welzijn Volksgezondheid en Gezin berekend wat het percentage vroeggeboortes is per zorgregio/regionale stad (Zie ook bijlage 1 voor </w:t>
      </w:r>
      <w:r>
        <w:rPr>
          <w:rFonts w:ascii="Calibri" w:hAnsi="Calibri" w:cs="Calibri"/>
          <w:color w:val="000000"/>
          <w:sz w:val="20"/>
          <w:szCs w:val="20"/>
          <w:lang w:eastAsia="nl-BE"/>
        </w:rPr>
        <w:t>het percentage vroeggeboortes per zorgregio/</w:t>
      </w:r>
      <w:r w:rsidRPr="002B744C">
        <w:rPr>
          <w:rFonts w:ascii="Calibri" w:hAnsi="Calibri" w:cs="Calibri"/>
          <w:color w:val="000000"/>
          <w:sz w:val="20"/>
          <w:szCs w:val="20"/>
          <w:lang w:eastAsia="nl-BE"/>
        </w:rPr>
        <w:t xml:space="preserve"> ziekenhuisregio’s)</w:t>
      </w:r>
      <w:r>
        <w:rPr>
          <w:rFonts w:ascii="Calibri" w:hAnsi="Calibri" w:cs="Calibri"/>
          <w:color w:val="000000"/>
          <w:sz w:val="20"/>
          <w:szCs w:val="20"/>
          <w:lang w:eastAsia="nl-BE"/>
        </w:rPr>
        <w:t>.</w:t>
      </w:r>
    </w:p>
    <w:p w:rsidR="000D38A4" w:rsidRPr="002B744C" w:rsidRDefault="000D38A4" w:rsidP="0080192D">
      <w:pPr>
        <w:ind w:left="360" w:hanging="284"/>
        <w:jc w:val="both"/>
        <w:rPr>
          <w:rFonts w:ascii="Calibri" w:hAnsi="Calibri" w:cs="Calibri"/>
          <w:color w:val="000000"/>
          <w:szCs w:val="22"/>
          <w:lang w:eastAsia="nl-BE"/>
        </w:rPr>
      </w:pPr>
    </w:p>
    <w:p w:rsidR="000D38A4" w:rsidRPr="002B744C" w:rsidRDefault="000D38A4" w:rsidP="0080192D">
      <w:pPr>
        <w:ind w:left="284" w:hanging="284"/>
        <w:jc w:val="both"/>
        <w:rPr>
          <w:szCs w:val="22"/>
        </w:rPr>
      </w:pPr>
      <w:r w:rsidRPr="000036C4">
        <w:rPr>
          <w:bCs/>
          <w:iCs/>
          <w:szCs w:val="22"/>
        </w:rPr>
        <w:t>3.</w:t>
      </w:r>
      <w:r>
        <w:rPr>
          <w:bCs/>
          <w:iCs/>
          <w:szCs w:val="22"/>
        </w:rPr>
        <w:t xml:space="preserve"> </w:t>
      </w:r>
      <w:r w:rsidRPr="002B744C">
        <w:rPr>
          <w:szCs w:val="22"/>
        </w:rPr>
        <w:t xml:space="preserve">Opmerking vooraf: </w:t>
      </w:r>
      <w:r>
        <w:rPr>
          <w:szCs w:val="22"/>
        </w:rPr>
        <w:t>e</w:t>
      </w:r>
      <w:r w:rsidRPr="002B744C">
        <w:rPr>
          <w:szCs w:val="22"/>
        </w:rPr>
        <w:t xml:space="preserve">en neonatus is een pasgeborene. We gaan er van uit dat deze vraag betrekking heeft op baby’s die te vroeg geboren zijn en niet op alle baby’s. </w:t>
      </w:r>
    </w:p>
    <w:p w:rsidR="000D38A4" w:rsidRPr="002B744C" w:rsidRDefault="000D38A4" w:rsidP="0080192D">
      <w:pPr>
        <w:spacing w:line="240" w:lineRule="exact"/>
        <w:ind w:left="284" w:hanging="284"/>
        <w:jc w:val="both"/>
        <w:rPr>
          <w:szCs w:val="22"/>
        </w:rPr>
      </w:pPr>
    </w:p>
    <w:p w:rsidR="000D38A4" w:rsidRPr="002B744C" w:rsidRDefault="000D38A4" w:rsidP="0080192D">
      <w:pPr>
        <w:spacing w:line="240" w:lineRule="exact"/>
        <w:ind w:left="284"/>
        <w:jc w:val="both"/>
        <w:rPr>
          <w:szCs w:val="22"/>
        </w:rPr>
      </w:pPr>
      <w:r w:rsidRPr="002B744C">
        <w:rPr>
          <w:szCs w:val="22"/>
        </w:rPr>
        <w:t>Er bestaat geen systematisch bevraging of systematische registratie; er wordt dus niet systematisch opgevolgd of een baby die te vroeg geboren is later in de jeugdhulpverlening terecht komt.</w:t>
      </w:r>
    </w:p>
    <w:p w:rsidR="000D38A4" w:rsidRPr="002B744C" w:rsidRDefault="000D38A4" w:rsidP="0080192D">
      <w:pPr>
        <w:spacing w:line="120" w:lineRule="atLeast"/>
        <w:ind w:hanging="284"/>
        <w:jc w:val="both"/>
        <w:rPr>
          <w:szCs w:val="22"/>
        </w:rPr>
      </w:pPr>
    </w:p>
    <w:p w:rsidR="000D38A4" w:rsidRPr="002B744C" w:rsidRDefault="000D38A4" w:rsidP="0080192D">
      <w:pPr>
        <w:spacing w:line="240" w:lineRule="exact"/>
        <w:ind w:firstLine="284"/>
        <w:jc w:val="both"/>
        <w:rPr>
          <w:szCs w:val="22"/>
        </w:rPr>
      </w:pPr>
      <w:r w:rsidRPr="002B744C">
        <w:rPr>
          <w:szCs w:val="22"/>
        </w:rPr>
        <w:t>In bepaalde registratiesystemen zijn wel klinische karakteristieken terug te vinden. Bijvoorbeeld:</w:t>
      </w:r>
    </w:p>
    <w:p w:rsidR="000D38A4" w:rsidRDefault="000D38A4" w:rsidP="0080192D">
      <w:pPr>
        <w:pStyle w:val="ListParagraph"/>
        <w:numPr>
          <w:ilvl w:val="0"/>
          <w:numId w:val="19"/>
        </w:numPr>
        <w:spacing w:line="240" w:lineRule="exact"/>
        <w:ind w:hanging="284"/>
        <w:jc w:val="both"/>
        <w:rPr>
          <w:sz w:val="22"/>
          <w:szCs w:val="22"/>
        </w:rPr>
      </w:pPr>
      <w:r w:rsidRPr="004103DC">
        <w:rPr>
          <w:sz w:val="22"/>
          <w:szCs w:val="22"/>
        </w:rPr>
        <w:t>Indien men in aanmerking komt voor</w:t>
      </w:r>
      <w:r>
        <w:rPr>
          <w:sz w:val="22"/>
          <w:szCs w:val="22"/>
        </w:rPr>
        <w:t xml:space="preserve"> of een </w:t>
      </w:r>
      <w:r w:rsidRPr="004103DC">
        <w:rPr>
          <w:sz w:val="22"/>
          <w:szCs w:val="22"/>
        </w:rPr>
        <w:t>beroep doet op thuisbegeleiding moet het risico tot ontwikkelingsstoornis (al dan niet ten gevolge van prematuriteit) vermeld worden. Dit is echter geen systematische bevraging. VAPH subsidieert in dit kader onde</w:t>
      </w:r>
      <w:r>
        <w:rPr>
          <w:sz w:val="22"/>
          <w:szCs w:val="22"/>
        </w:rPr>
        <w:t>r andere</w:t>
      </w:r>
      <w:r w:rsidRPr="004103DC">
        <w:rPr>
          <w:sz w:val="22"/>
          <w:szCs w:val="22"/>
        </w:rPr>
        <w:t xml:space="preserve">: </w:t>
      </w:r>
      <w:hyperlink r:id="rId19" w:history="1">
        <w:r w:rsidRPr="004103DC">
          <w:rPr>
            <w:rStyle w:val="Hyperlink"/>
            <w:sz w:val="22"/>
            <w:szCs w:val="22"/>
          </w:rPr>
          <w:t>KOKOOS</w:t>
        </w:r>
      </w:hyperlink>
      <w:r w:rsidRPr="004103DC">
        <w:rPr>
          <w:sz w:val="22"/>
          <w:szCs w:val="22"/>
        </w:rPr>
        <w:t xml:space="preserve"> (Kortdurende Ondersteuning voor Ouders van een Kind met een Ongewone Start</w:t>
      </w:r>
      <w:r>
        <w:rPr>
          <w:sz w:val="22"/>
          <w:szCs w:val="22"/>
        </w:rPr>
        <w:t>,</w:t>
      </w:r>
      <w:r w:rsidRPr="004103DC">
        <w:rPr>
          <w:sz w:val="22"/>
          <w:szCs w:val="22"/>
        </w:rPr>
        <w:t xml:space="preserve"> Pilootproject Prematuren </w:t>
      </w:r>
      <w:r>
        <w:rPr>
          <w:sz w:val="22"/>
          <w:szCs w:val="22"/>
        </w:rPr>
        <w:t>p</w:t>
      </w:r>
      <w:r w:rsidRPr="004103DC">
        <w:rPr>
          <w:sz w:val="22"/>
          <w:szCs w:val="22"/>
        </w:rPr>
        <w:t>/a Brabantse dienst voor Thuisbegeleiding</w:t>
      </w:r>
      <w:r>
        <w:rPr>
          <w:sz w:val="22"/>
          <w:szCs w:val="22"/>
        </w:rPr>
        <w:t>).</w:t>
      </w:r>
      <w:r w:rsidRPr="004103DC">
        <w:rPr>
          <w:sz w:val="22"/>
          <w:szCs w:val="22"/>
        </w:rPr>
        <w:t xml:space="preserve"> </w:t>
      </w:r>
    </w:p>
    <w:p w:rsidR="000D38A4" w:rsidRPr="004103DC" w:rsidRDefault="000D38A4" w:rsidP="0080192D">
      <w:pPr>
        <w:pStyle w:val="ListParagraph"/>
        <w:numPr>
          <w:ilvl w:val="0"/>
          <w:numId w:val="19"/>
        </w:numPr>
        <w:spacing w:line="240" w:lineRule="exact"/>
        <w:ind w:hanging="284"/>
        <w:jc w:val="both"/>
        <w:rPr>
          <w:sz w:val="22"/>
          <w:szCs w:val="22"/>
        </w:rPr>
      </w:pPr>
      <w:r w:rsidRPr="004103DC">
        <w:rPr>
          <w:sz w:val="22"/>
          <w:szCs w:val="22"/>
        </w:rPr>
        <w:t>Ook via het Vlaams Fonds kunnen klinische karakteristieken –</w:t>
      </w:r>
      <w:r>
        <w:rPr>
          <w:sz w:val="22"/>
          <w:szCs w:val="22"/>
        </w:rPr>
        <w:t xml:space="preserve"> </w:t>
      </w:r>
      <w:r w:rsidRPr="004103DC">
        <w:rPr>
          <w:sz w:val="22"/>
          <w:szCs w:val="22"/>
        </w:rPr>
        <w:t>zoals vroeggeboorte</w:t>
      </w:r>
      <w:r>
        <w:rPr>
          <w:sz w:val="22"/>
          <w:szCs w:val="22"/>
        </w:rPr>
        <w:t xml:space="preserve"> </w:t>
      </w:r>
      <w:r w:rsidRPr="004103DC">
        <w:rPr>
          <w:sz w:val="22"/>
          <w:szCs w:val="22"/>
        </w:rPr>
        <w:t xml:space="preserve">- teruggevonden worden. </w:t>
      </w:r>
      <w:r w:rsidRPr="004103DC">
        <w:rPr>
          <w:sz w:val="22"/>
          <w:szCs w:val="22"/>
          <w:lang w:val="nl-NL" w:eastAsia="zh-CN"/>
        </w:rPr>
        <w:t>Vanaf 1 januari 2001 is het Vlaams Fonds budgettair verantwoordelijk voor de Centra voor Ontwikkelingsstoornissen</w:t>
      </w:r>
      <w:bookmarkStart w:id="6" w:name="pptop"/>
      <w:bookmarkEnd w:id="6"/>
      <w:r w:rsidRPr="004103DC">
        <w:rPr>
          <w:sz w:val="22"/>
          <w:szCs w:val="22"/>
          <w:lang w:val="nl-NL" w:eastAsia="zh-CN"/>
        </w:rPr>
        <w:t xml:space="preserve">. </w:t>
      </w:r>
      <w:r w:rsidRPr="004103DC">
        <w:rPr>
          <w:sz w:val="22"/>
          <w:szCs w:val="22"/>
        </w:rPr>
        <w:t xml:space="preserve">Een Centrum voor Ontwikkelingsstoornissen heeft als taak om kinderen met ontwikkelingsstoornissen zo vroeg mogelijk op te sporen (met behulp van Kind en Gezin en Centra voor leerlingenbegeleiding (CLB)), de graad en de ernst van hun handicap vast te stellen en eventueel bijkomende problemen op te sporen en te karakteriseren. Het centrum geeft advies over de beste therapeutische aanpak en raadt eventuele hulpmiddelen of geschikte voorzieningen aan voor behandeling, onderwijs en begeleiding. Voorts voert een </w:t>
      </w:r>
      <w:hyperlink r:id="rId20" w:history="1">
        <w:r w:rsidRPr="00126DF8">
          <w:rPr>
            <w:rStyle w:val="Hyperlink"/>
            <w:sz w:val="22"/>
            <w:szCs w:val="22"/>
          </w:rPr>
          <w:t>Centrum voor Ontwikkelingsstoornissen</w:t>
        </w:r>
      </w:hyperlink>
      <w:r w:rsidRPr="004103DC">
        <w:rPr>
          <w:sz w:val="22"/>
          <w:szCs w:val="22"/>
        </w:rPr>
        <w:t xml:space="preserve"> </w:t>
      </w:r>
      <w:r>
        <w:rPr>
          <w:sz w:val="22"/>
          <w:szCs w:val="22"/>
        </w:rPr>
        <w:t xml:space="preserve">(COS) </w:t>
      </w:r>
      <w:r w:rsidRPr="004103DC">
        <w:rPr>
          <w:sz w:val="22"/>
          <w:szCs w:val="22"/>
        </w:rPr>
        <w:t>ook toegepast wetenschappelijk onderzoek uit. Momenteel zijn er 4 Centra voor Ontwikkelingsstoornissen erkend</w:t>
      </w:r>
      <w:r>
        <w:rPr>
          <w:sz w:val="22"/>
          <w:szCs w:val="22"/>
        </w:rPr>
        <w:t>.</w:t>
      </w:r>
    </w:p>
    <w:p w:rsidR="000D38A4" w:rsidRPr="002B744C" w:rsidRDefault="000D38A4" w:rsidP="0080192D">
      <w:pPr>
        <w:spacing w:line="120" w:lineRule="atLeast"/>
        <w:ind w:left="708" w:hanging="284"/>
        <w:rPr>
          <w:szCs w:val="22"/>
        </w:rPr>
      </w:pPr>
    </w:p>
    <w:p w:rsidR="000D38A4" w:rsidRPr="002B744C" w:rsidRDefault="000D38A4" w:rsidP="0080192D">
      <w:pPr>
        <w:spacing w:line="240" w:lineRule="exact"/>
        <w:ind w:left="284"/>
        <w:rPr>
          <w:szCs w:val="22"/>
        </w:rPr>
      </w:pPr>
      <w:r w:rsidRPr="002B744C">
        <w:rPr>
          <w:szCs w:val="22"/>
        </w:rPr>
        <w:t>Er is, nog steeds in fase van ontwerp binnen het R</w:t>
      </w:r>
      <w:r>
        <w:rPr>
          <w:szCs w:val="22"/>
        </w:rPr>
        <w:t>I</w:t>
      </w:r>
      <w:r w:rsidRPr="002B744C">
        <w:rPr>
          <w:szCs w:val="22"/>
        </w:rPr>
        <w:t>Z</w:t>
      </w:r>
      <w:r>
        <w:rPr>
          <w:szCs w:val="22"/>
        </w:rPr>
        <w:t>I</w:t>
      </w:r>
      <w:r w:rsidRPr="002B744C">
        <w:rPr>
          <w:szCs w:val="22"/>
        </w:rPr>
        <w:t>V de intentie om een systematische opvolging na vroeggeboorte te structureren, in samenwerking (voor Vlaanderen) met de huidige COS</w:t>
      </w:r>
      <w:r>
        <w:rPr>
          <w:szCs w:val="22"/>
        </w:rPr>
        <w:t>-</w:t>
      </w:r>
      <w:r w:rsidRPr="002B744C">
        <w:rPr>
          <w:szCs w:val="22"/>
        </w:rPr>
        <w:t xml:space="preserve">centra. </w:t>
      </w:r>
    </w:p>
    <w:p w:rsidR="000D38A4" w:rsidRPr="008E23BC" w:rsidRDefault="000D38A4" w:rsidP="0080192D">
      <w:pPr>
        <w:ind w:left="284" w:hanging="284"/>
        <w:rPr>
          <w:rFonts w:ascii="Calibri" w:hAnsi="Calibri" w:cs="Calibri"/>
          <w:bCs/>
          <w:iCs/>
          <w:szCs w:val="22"/>
        </w:rPr>
      </w:pPr>
    </w:p>
    <w:p w:rsidR="000D38A4" w:rsidRPr="002B744C" w:rsidRDefault="000D38A4" w:rsidP="0080192D">
      <w:pPr>
        <w:ind w:left="284" w:hanging="284"/>
        <w:jc w:val="both"/>
        <w:rPr>
          <w:szCs w:val="22"/>
        </w:rPr>
      </w:pPr>
      <w:r w:rsidRPr="000036C4">
        <w:rPr>
          <w:bCs/>
          <w:iCs/>
          <w:szCs w:val="22"/>
        </w:rPr>
        <w:t xml:space="preserve">4. </w:t>
      </w:r>
      <w:r w:rsidRPr="002B744C">
        <w:rPr>
          <w:szCs w:val="22"/>
        </w:rPr>
        <w:t xml:space="preserve">We vermoeden opnieuw dat deze vraag betrekking heeft op te vroeg geboren baby’s eerder dan op alle neonati. </w:t>
      </w:r>
    </w:p>
    <w:p w:rsidR="000D38A4" w:rsidRPr="002B744C" w:rsidRDefault="000D38A4" w:rsidP="0080192D">
      <w:pPr>
        <w:spacing w:line="240" w:lineRule="exact"/>
        <w:ind w:left="284"/>
        <w:jc w:val="both"/>
        <w:rPr>
          <w:szCs w:val="22"/>
        </w:rPr>
      </w:pPr>
      <w:r w:rsidRPr="002B744C">
        <w:rPr>
          <w:szCs w:val="22"/>
        </w:rPr>
        <w:t>Afhankelijk van de zwangerschapsduur en aantal risicofactoren bij de geboorte heeft een prematuur geboren baby meer risico op latere gezondheids- en gedragsproblemen; afhankelijk van de omgeving waarin een kind met prenataal verworven kwetsbaarheid terecht komt, kan de kans toenemen dat hij of zij in de jeugdhulp terecht komt. Maar helaas is het vaak ook omgekeerd</w:t>
      </w:r>
      <w:r>
        <w:rPr>
          <w:szCs w:val="22"/>
        </w:rPr>
        <w:t>:</w:t>
      </w:r>
      <w:r w:rsidRPr="002B744C">
        <w:rPr>
          <w:szCs w:val="22"/>
        </w:rPr>
        <w:t xml:space="preserve"> de beste voorspeller voor ontwikkelingsproblemen en latere gedragsproblemen blijft de maternale opleidingsstatus. Ook het risico op prematuriteit is hoger is bij ‘sociaal zwakkeren’. </w:t>
      </w:r>
    </w:p>
    <w:p w:rsidR="000D38A4" w:rsidRPr="002B744C" w:rsidRDefault="000D38A4" w:rsidP="0080192D">
      <w:pPr>
        <w:spacing w:line="240" w:lineRule="exact"/>
        <w:ind w:left="284" w:hanging="284"/>
        <w:jc w:val="both"/>
        <w:rPr>
          <w:szCs w:val="22"/>
        </w:rPr>
      </w:pPr>
    </w:p>
    <w:p w:rsidR="000D38A4" w:rsidRPr="002B744C" w:rsidRDefault="000D38A4" w:rsidP="0080192D">
      <w:pPr>
        <w:spacing w:line="240" w:lineRule="exact"/>
        <w:ind w:left="284"/>
        <w:jc w:val="both"/>
        <w:rPr>
          <w:szCs w:val="22"/>
        </w:rPr>
      </w:pPr>
      <w:r w:rsidRPr="002B744C">
        <w:rPr>
          <w:szCs w:val="22"/>
        </w:rPr>
        <w:t>De hoger vermelde registraties zijn zeer waardevol voor de opvolging van socio-economische gegevens en voor outcome en incidentie cijfers, maar deze registraties zijn niet fijn genoeg om de complexiteit van de ontwikkeling van een prematuur geboren baby te vatten; hierbij spelen immers zeer veel variabelen een rol. Om bijvoorbeeld na te gaan wat de gevolgen zijn van één specifieke behandeling (zoals het toedienen van één bepaald hormoon (dexamethasone versus hydrocortiso</w:t>
      </w:r>
      <w:r>
        <w:rPr>
          <w:szCs w:val="22"/>
        </w:rPr>
        <w:t>ne</w:t>
      </w:r>
      <w:r w:rsidRPr="002B744C">
        <w:rPr>
          <w:szCs w:val="22"/>
        </w:rPr>
        <w:t xml:space="preserve">) tijdens één bepaalde periode na de geboorte heeft men een gerandomiseerd en </w:t>
      </w:r>
      <w:r>
        <w:rPr>
          <w:szCs w:val="22"/>
        </w:rPr>
        <w:t>gecontroleerd</w:t>
      </w:r>
      <w:r w:rsidRPr="002B744C">
        <w:rPr>
          <w:szCs w:val="22"/>
        </w:rPr>
        <w:t xml:space="preserve"> proefopzet nodig. Zo kan men de gevolgen van b</w:t>
      </w:r>
      <w:r>
        <w:rPr>
          <w:szCs w:val="22"/>
        </w:rPr>
        <w:t xml:space="preserve">ehandeling </w:t>
      </w:r>
      <w:r w:rsidRPr="002B744C">
        <w:rPr>
          <w:szCs w:val="22"/>
        </w:rPr>
        <w:t>met één hormoon afwegen tegenover de gevolgen van behandeling met een ander hormoon. Of men kan afwegen of binnen 96 uren na de geboorte het hormoon toedienen beter is</w:t>
      </w:r>
      <w:r>
        <w:rPr>
          <w:szCs w:val="22"/>
        </w:rPr>
        <w:t xml:space="preserve"> dan</w:t>
      </w:r>
      <w:r w:rsidRPr="002B744C">
        <w:rPr>
          <w:szCs w:val="22"/>
        </w:rPr>
        <w:t xml:space="preserve"> pas na twee weken te starten met de behandeling, of het reeds tijdens de zwangerschap toedienen van hormonen bij dreigende vroeggeboorte. Momenteel werkt België samen met Nederland aan de uitvoering van zo’n onderzoek.</w:t>
      </w:r>
    </w:p>
    <w:p w:rsidR="000D38A4" w:rsidRPr="002B744C" w:rsidRDefault="000D38A4" w:rsidP="0080192D">
      <w:pPr>
        <w:spacing w:line="120" w:lineRule="atLeast"/>
        <w:ind w:left="284" w:hanging="284"/>
        <w:jc w:val="both"/>
        <w:rPr>
          <w:szCs w:val="22"/>
        </w:rPr>
      </w:pPr>
    </w:p>
    <w:p w:rsidR="000D38A4" w:rsidRPr="002B744C" w:rsidRDefault="000D38A4" w:rsidP="0080192D">
      <w:pPr>
        <w:ind w:left="284" w:hanging="284"/>
        <w:jc w:val="both"/>
        <w:rPr>
          <w:szCs w:val="22"/>
        </w:rPr>
      </w:pPr>
      <w:r w:rsidRPr="000036C4">
        <w:rPr>
          <w:bCs/>
          <w:iCs/>
          <w:szCs w:val="22"/>
        </w:rPr>
        <w:t>5.</w:t>
      </w:r>
      <w:r>
        <w:rPr>
          <w:bCs/>
          <w:iCs/>
          <w:szCs w:val="22"/>
        </w:rPr>
        <w:tab/>
      </w:r>
      <w:r w:rsidRPr="002B744C">
        <w:rPr>
          <w:szCs w:val="22"/>
        </w:rPr>
        <w:t xml:space="preserve">Wat precies zal afgeleid worden zal uiteraard afhangen van de aard van informatie die in bepaalde bestanden wordt bijgehouden en de mate waarin deze zal kunnen gekoppeld worden aan andere bestanden. Momenteel zijn deze koppelingen nog niet mogelijk. </w:t>
      </w:r>
    </w:p>
    <w:p w:rsidR="000D38A4" w:rsidRDefault="000D38A4" w:rsidP="0080192D">
      <w:pPr>
        <w:shd w:val="clear" w:color="auto" w:fill="FFFFFF"/>
        <w:spacing w:before="240" w:after="240" w:line="240" w:lineRule="exact"/>
        <w:ind w:left="284"/>
        <w:jc w:val="both"/>
        <w:rPr>
          <w:szCs w:val="22"/>
          <w:u w:val="single"/>
        </w:rPr>
      </w:pPr>
      <w:r w:rsidRPr="002B744C">
        <w:rPr>
          <w:color w:val="000000"/>
          <w:szCs w:val="22"/>
        </w:rPr>
        <w:t xml:space="preserve">In de toekomst is een link met gegevens van de </w:t>
      </w:r>
      <w:hyperlink r:id="rId21" w:tgtFrame="_blank" w:tooltip="Vlaamse Wetenschappelijke Vereniging voor Jeugdgezondheidszorg (VWVJ)" w:history="1">
        <w:r w:rsidRPr="002B744C">
          <w:rPr>
            <w:color w:val="000000"/>
            <w:szCs w:val="22"/>
          </w:rPr>
          <w:t>Vlaamse Wetenschappelijke Vereniging voor Jeugdgezondheidszorg (VWVJ)</w:t>
        </w:r>
      </w:hyperlink>
      <w:r w:rsidRPr="002B744C">
        <w:rPr>
          <w:color w:val="000000"/>
          <w:szCs w:val="22"/>
        </w:rPr>
        <w:t xml:space="preserve"> mogelijk. De </w:t>
      </w:r>
      <w:hyperlink r:id="rId22" w:history="1">
        <w:r w:rsidRPr="00126DF8">
          <w:rPr>
            <w:rStyle w:val="Hyperlink"/>
            <w:szCs w:val="22"/>
          </w:rPr>
          <w:t>VWVJ</w:t>
        </w:r>
      </w:hyperlink>
      <w:r w:rsidRPr="002B744C">
        <w:rPr>
          <w:color w:val="000000"/>
          <w:szCs w:val="22"/>
        </w:rPr>
        <w:t xml:space="preserve"> is een vereniging zonder winstoogmerk met wetenschappelijke expertise op het vlak van jeugdgezondheidszorg. De jeugdgezondheidszorg is dat deel van de </w:t>
      </w:r>
      <w:r w:rsidRPr="002B744C">
        <w:rPr>
          <w:bCs/>
          <w:color w:val="000000"/>
          <w:szCs w:val="22"/>
        </w:rPr>
        <w:t>preventieve gezondheidszorg dat zich toespitst op kinderen en jongeren van 0 tot 25 jaar</w:t>
      </w:r>
      <w:r w:rsidRPr="002B744C">
        <w:rPr>
          <w:color w:val="000000"/>
          <w:szCs w:val="22"/>
        </w:rPr>
        <w:t xml:space="preserve">. De Vlaamse overheid sloot in 2009 een nieuw convenant voor 2 jaar met de VWVJ. Het convenant is gericht op het inhoudelijk en wetenschappelijk ondersteunen van jeugdgezondheidszorg bij schoolgaande jongeren in het algemeen. Na afloop van het huidige convenant, wordt met de VWVJ vanaf 1 januari 2012 een beheersovereenkomst gesloten als partnerorganisatie (d.i. een expertise-organisatie) voor jeugdgezondheidszorg bij schoolgaande kinderen en jongeren. In dat kader zal de VWVJ ook m.b.t. ontwikkelingsstoornissen en kinderen met chronische aandoeningen voorzien in de wetenschappelijke ondersteuning van Centra voor </w:t>
      </w:r>
      <w:r>
        <w:rPr>
          <w:color w:val="000000"/>
          <w:szCs w:val="22"/>
        </w:rPr>
        <w:t>L</w:t>
      </w:r>
      <w:r w:rsidRPr="002B744C">
        <w:rPr>
          <w:color w:val="000000"/>
          <w:szCs w:val="22"/>
        </w:rPr>
        <w:t xml:space="preserve">eerlingenbegeleiding (CLB). De VWVJ adviseert de Vlaamse overheid ook m.b.t. de inhoudelijke aspecten van de registratie door CLB (d.i. LARS) over de medische consulten. De werking van de VWVJ richt zich, voor de toepassing van het convenant, </w:t>
      </w:r>
      <w:r w:rsidRPr="002B744C">
        <w:rPr>
          <w:szCs w:val="22"/>
        </w:rPr>
        <w:t>naar de </w:t>
      </w:r>
      <w:hyperlink r:id="rId23" w:tooltip="Centra voor leerlingenbegeleiding" w:history="1">
        <w:r w:rsidRPr="002B744C">
          <w:rPr>
            <w:szCs w:val="22"/>
          </w:rPr>
          <w:t>CLB</w:t>
        </w:r>
      </w:hyperlink>
      <w:r w:rsidRPr="002B744C">
        <w:rPr>
          <w:color w:val="000000"/>
          <w:szCs w:val="22"/>
        </w:rPr>
        <w:t>, hun partners en andere intermediairs</w:t>
      </w:r>
      <w:r>
        <w:rPr>
          <w:color w:val="000000"/>
          <w:szCs w:val="22"/>
        </w:rPr>
        <w:t>.</w:t>
      </w:r>
      <w:bookmarkStart w:id="7" w:name="_GoBack"/>
      <w:bookmarkEnd w:id="7"/>
    </w:p>
    <w:p w:rsidR="000D38A4" w:rsidRPr="002B744C" w:rsidRDefault="000D38A4" w:rsidP="00931045">
      <w:pPr>
        <w:ind w:left="284"/>
        <w:jc w:val="both"/>
        <w:rPr>
          <w:rFonts w:ascii="Calibri" w:hAnsi="Calibri" w:cs="Calibri"/>
          <w:b/>
          <w:bCs/>
          <w:color w:val="000000"/>
          <w:sz w:val="20"/>
          <w:szCs w:val="20"/>
          <w:lang w:val="nl-BE" w:eastAsia="nl-BE"/>
        </w:rPr>
      </w:pPr>
      <w:r w:rsidRPr="002B744C">
        <w:rPr>
          <w:rFonts w:ascii="Calibri" w:hAnsi="Calibri" w:cs="Calibri"/>
          <w:b/>
          <w:bCs/>
          <w:iCs/>
          <w:sz w:val="20"/>
          <w:szCs w:val="20"/>
        </w:rPr>
        <w:t>Berekening aantal geboortes op basis van IKAROS-databestand (2008 en 209) en berekening aantal vroeggeboortes in zorgregio’s / ziekenhuisregio’s.</w:t>
      </w:r>
    </w:p>
    <w:p w:rsidR="000D38A4" w:rsidRPr="002B744C" w:rsidRDefault="000D38A4" w:rsidP="00931045">
      <w:pPr>
        <w:ind w:left="360"/>
        <w:jc w:val="both"/>
        <w:rPr>
          <w:rFonts w:ascii="Calibri" w:hAnsi="Calibri" w:cs="Calibri"/>
          <w:bCs/>
          <w:color w:val="000000"/>
          <w:sz w:val="20"/>
          <w:szCs w:val="20"/>
          <w:lang w:val="nl-BE" w:eastAsia="nl-BE"/>
        </w:rPr>
      </w:pPr>
    </w:p>
    <w:tbl>
      <w:tblPr>
        <w:tblW w:w="8820" w:type="dxa"/>
        <w:jc w:val="center"/>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6"/>
        <w:gridCol w:w="2984"/>
      </w:tblGrid>
      <w:tr w:rsidR="000D38A4" w:rsidRPr="002B744C" w:rsidTr="00931045">
        <w:trPr>
          <w:jc w:val="center"/>
        </w:trPr>
        <w:tc>
          <w:tcPr>
            <w:tcW w:w="5836" w:type="dxa"/>
            <w:shd w:val="clear" w:color="auto" w:fill="C0C0C0"/>
          </w:tcPr>
          <w:p w:rsidR="000D38A4" w:rsidRPr="002B744C" w:rsidRDefault="000D38A4">
            <w:pPr>
              <w:ind w:left="50"/>
              <w:outlineLvl w:val="0"/>
              <w:rPr>
                <w:rFonts w:ascii="Calibri" w:hAnsi="Calibri" w:cs="Calibri"/>
                <w:b/>
                <w:sz w:val="20"/>
                <w:szCs w:val="20"/>
              </w:rPr>
            </w:pPr>
            <w:r w:rsidRPr="002B744C">
              <w:rPr>
                <w:rFonts w:ascii="Calibri" w:hAnsi="Calibri" w:cs="Calibri"/>
                <w:b/>
                <w:sz w:val="20"/>
                <w:szCs w:val="20"/>
              </w:rPr>
              <w:t>Geboortecohorte</w:t>
            </w:r>
          </w:p>
        </w:tc>
        <w:tc>
          <w:tcPr>
            <w:tcW w:w="2984" w:type="dxa"/>
            <w:shd w:val="clear" w:color="auto" w:fill="C0C0C0"/>
          </w:tcPr>
          <w:p w:rsidR="000D38A4" w:rsidRPr="002B744C" w:rsidRDefault="000D38A4">
            <w:pPr>
              <w:jc w:val="right"/>
              <w:outlineLvl w:val="0"/>
              <w:rPr>
                <w:rFonts w:ascii="Calibri" w:hAnsi="Calibri" w:cs="Calibri"/>
                <w:b/>
                <w:sz w:val="20"/>
                <w:szCs w:val="20"/>
              </w:rPr>
            </w:pPr>
            <w:r w:rsidRPr="002B744C">
              <w:rPr>
                <w:rFonts w:ascii="Calibri" w:hAnsi="Calibri" w:cs="Calibri"/>
                <w:b/>
                <w:sz w:val="20"/>
                <w:szCs w:val="20"/>
              </w:rPr>
              <w:t>1 mei 2008 – 30 april 2009</w:t>
            </w:r>
          </w:p>
          <w:p w:rsidR="000D38A4" w:rsidRPr="002B744C" w:rsidRDefault="000D38A4">
            <w:pPr>
              <w:outlineLvl w:val="0"/>
              <w:rPr>
                <w:rFonts w:ascii="Calibri" w:hAnsi="Calibri" w:cs="Calibri"/>
                <w:b/>
                <w:sz w:val="20"/>
                <w:szCs w:val="20"/>
              </w:rPr>
            </w:pPr>
          </w:p>
        </w:tc>
      </w:tr>
      <w:tr w:rsidR="000D38A4" w:rsidRPr="002B744C" w:rsidTr="00931045">
        <w:trPr>
          <w:jc w:val="center"/>
        </w:trPr>
        <w:tc>
          <w:tcPr>
            <w:tcW w:w="5836" w:type="dxa"/>
          </w:tcPr>
          <w:p w:rsidR="000D38A4" w:rsidRPr="002B744C" w:rsidRDefault="000D38A4">
            <w:pPr>
              <w:spacing w:before="120" w:after="120"/>
              <w:outlineLvl w:val="0"/>
              <w:rPr>
                <w:rFonts w:ascii="Calibri" w:hAnsi="Calibri" w:cs="Calibri"/>
                <w:sz w:val="20"/>
                <w:szCs w:val="20"/>
              </w:rPr>
            </w:pPr>
            <w:r w:rsidRPr="002B744C">
              <w:rPr>
                <w:rFonts w:ascii="Calibri" w:hAnsi="Calibri" w:cs="Calibri"/>
                <w:sz w:val="20"/>
                <w:szCs w:val="20"/>
              </w:rPr>
              <w:t>Aantal in Ikaros geregistreerde geboorten*</w:t>
            </w:r>
          </w:p>
        </w:tc>
        <w:tc>
          <w:tcPr>
            <w:tcW w:w="2984" w:type="dxa"/>
          </w:tcPr>
          <w:p w:rsidR="000D38A4" w:rsidRPr="002B744C" w:rsidRDefault="000D38A4">
            <w:pPr>
              <w:spacing w:before="120" w:after="120"/>
              <w:jc w:val="right"/>
              <w:outlineLvl w:val="0"/>
              <w:rPr>
                <w:rFonts w:ascii="Calibri" w:hAnsi="Calibri" w:cs="Calibri"/>
                <w:sz w:val="20"/>
                <w:szCs w:val="20"/>
              </w:rPr>
            </w:pPr>
            <w:r w:rsidRPr="002B744C">
              <w:rPr>
                <w:rFonts w:ascii="Calibri" w:hAnsi="Calibri" w:cs="Calibri"/>
                <w:sz w:val="20"/>
                <w:szCs w:val="20"/>
              </w:rPr>
              <w:t>75194</w:t>
            </w:r>
          </w:p>
        </w:tc>
      </w:tr>
      <w:tr w:rsidR="000D38A4" w:rsidRPr="002B744C" w:rsidTr="00931045">
        <w:trPr>
          <w:jc w:val="center"/>
        </w:trPr>
        <w:tc>
          <w:tcPr>
            <w:tcW w:w="5836" w:type="dxa"/>
          </w:tcPr>
          <w:p w:rsidR="000D38A4" w:rsidRPr="002B744C" w:rsidRDefault="000D38A4">
            <w:pPr>
              <w:spacing w:before="120" w:after="120"/>
              <w:outlineLvl w:val="0"/>
              <w:rPr>
                <w:rFonts w:ascii="Calibri" w:hAnsi="Calibri" w:cs="Calibri"/>
                <w:sz w:val="20"/>
                <w:szCs w:val="20"/>
              </w:rPr>
            </w:pPr>
            <w:r w:rsidRPr="002B744C">
              <w:rPr>
                <w:rFonts w:ascii="Calibri" w:hAnsi="Calibri" w:cs="Calibri"/>
                <w:sz w:val="20"/>
                <w:szCs w:val="20"/>
              </w:rPr>
              <w:t>Aantal van de geregistreerde kinderen waarvan, voor de plaats van geboorte, de (Vlaamse) zorgregio gekend is **</w:t>
            </w:r>
          </w:p>
        </w:tc>
        <w:tc>
          <w:tcPr>
            <w:tcW w:w="2984" w:type="dxa"/>
          </w:tcPr>
          <w:p w:rsidR="000D38A4" w:rsidRPr="002B744C" w:rsidRDefault="000D38A4">
            <w:pPr>
              <w:spacing w:before="120" w:after="120"/>
              <w:jc w:val="right"/>
              <w:outlineLvl w:val="0"/>
              <w:rPr>
                <w:rFonts w:ascii="Calibri" w:hAnsi="Calibri" w:cs="Calibri"/>
                <w:sz w:val="20"/>
                <w:szCs w:val="20"/>
              </w:rPr>
            </w:pPr>
            <w:r w:rsidRPr="002B744C">
              <w:rPr>
                <w:rFonts w:ascii="Calibri" w:hAnsi="Calibri" w:cs="Calibri"/>
                <w:sz w:val="20"/>
                <w:szCs w:val="20"/>
              </w:rPr>
              <w:t>73033</w:t>
            </w:r>
          </w:p>
        </w:tc>
      </w:tr>
      <w:tr w:rsidR="000D38A4" w:rsidRPr="002B744C" w:rsidTr="00931045">
        <w:trPr>
          <w:jc w:val="center"/>
        </w:trPr>
        <w:tc>
          <w:tcPr>
            <w:tcW w:w="5836" w:type="dxa"/>
          </w:tcPr>
          <w:p w:rsidR="000D38A4" w:rsidRPr="002B744C" w:rsidRDefault="000D38A4">
            <w:pPr>
              <w:spacing w:before="120" w:after="120"/>
              <w:outlineLvl w:val="0"/>
              <w:rPr>
                <w:rFonts w:ascii="Calibri" w:hAnsi="Calibri" w:cs="Calibri"/>
                <w:sz w:val="20"/>
                <w:szCs w:val="20"/>
              </w:rPr>
            </w:pPr>
            <w:r w:rsidRPr="002B744C">
              <w:rPr>
                <w:rFonts w:ascii="Calibri" w:hAnsi="Calibri" w:cs="Calibri"/>
                <w:sz w:val="20"/>
                <w:szCs w:val="20"/>
              </w:rPr>
              <w:t>Aantal van de geregistreerde kinderen waarvan de zorgregio en de zwangerschapsduur gekend is</w:t>
            </w:r>
          </w:p>
        </w:tc>
        <w:tc>
          <w:tcPr>
            <w:tcW w:w="2984" w:type="dxa"/>
          </w:tcPr>
          <w:p w:rsidR="000D38A4" w:rsidRPr="002B744C" w:rsidRDefault="000D38A4">
            <w:pPr>
              <w:spacing w:before="120" w:after="120"/>
              <w:jc w:val="right"/>
              <w:outlineLvl w:val="0"/>
              <w:rPr>
                <w:rFonts w:ascii="Calibri" w:hAnsi="Calibri" w:cs="Calibri"/>
                <w:sz w:val="20"/>
                <w:szCs w:val="20"/>
              </w:rPr>
            </w:pPr>
            <w:r w:rsidRPr="002B744C">
              <w:rPr>
                <w:rFonts w:ascii="Calibri" w:hAnsi="Calibri" w:cs="Calibri"/>
                <w:sz w:val="20"/>
                <w:szCs w:val="20"/>
              </w:rPr>
              <w:t>72529</w:t>
            </w:r>
          </w:p>
        </w:tc>
      </w:tr>
    </w:tbl>
    <w:p w:rsidR="000D38A4" w:rsidRPr="002B744C" w:rsidRDefault="000D38A4" w:rsidP="00931045">
      <w:pPr>
        <w:outlineLvl w:val="0"/>
        <w:rPr>
          <w:rFonts w:ascii="Calibri" w:hAnsi="Calibri" w:cs="Calibri"/>
          <w:sz w:val="20"/>
          <w:szCs w:val="20"/>
        </w:rPr>
      </w:pPr>
    </w:p>
    <w:p w:rsidR="000D38A4" w:rsidRPr="002B744C" w:rsidRDefault="000D38A4" w:rsidP="00931045">
      <w:pPr>
        <w:shd w:val="clear" w:color="auto" w:fill="FFFFFF"/>
        <w:spacing w:before="240" w:line="300" w:lineRule="atLeast"/>
        <w:ind w:left="284"/>
        <w:jc w:val="both"/>
        <w:rPr>
          <w:rFonts w:ascii="Calibri" w:hAnsi="Calibri" w:cs="Calibri"/>
          <w:color w:val="000000"/>
          <w:sz w:val="20"/>
          <w:szCs w:val="20"/>
        </w:rPr>
      </w:pPr>
      <w:r w:rsidRPr="002B744C">
        <w:rPr>
          <w:rFonts w:ascii="Calibri" w:hAnsi="Calibri" w:cs="Calibri"/>
          <w:color w:val="000000"/>
          <w:sz w:val="20"/>
          <w:szCs w:val="20"/>
        </w:rPr>
        <w:t xml:space="preserve">* </w:t>
      </w:r>
      <w:r w:rsidRPr="002B744C">
        <w:rPr>
          <w:rFonts w:ascii="Calibri" w:hAnsi="Calibri" w:cs="Calibri"/>
          <w:color w:val="000000"/>
          <w:sz w:val="20"/>
          <w:szCs w:val="20"/>
        </w:rPr>
        <w:tab/>
        <w:t>Gegevens bekomen uit het Ikaros-databestand van Kind en Gezin</w:t>
      </w:r>
    </w:p>
    <w:p w:rsidR="000D38A4" w:rsidRPr="002B744C" w:rsidRDefault="000D38A4" w:rsidP="00931045">
      <w:pPr>
        <w:shd w:val="clear" w:color="auto" w:fill="FFFFFF"/>
        <w:spacing w:line="300" w:lineRule="atLeast"/>
        <w:ind w:left="284"/>
        <w:jc w:val="both"/>
        <w:rPr>
          <w:rFonts w:ascii="Calibri" w:hAnsi="Calibri" w:cs="Calibri"/>
          <w:color w:val="000000"/>
          <w:sz w:val="20"/>
          <w:szCs w:val="20"/>
        </w:rPr>
      </w:pPr>
      <w:r w:rsidRPr="002B744C">
        <w:rPr>
          <w:rFonts w:ascii="Calibri" w:hAnsi="Calibri" w:cs="Calibri"/>
          <w:color w:val="000000"/>
          <w:sz w:val="20"/>
          <w:szCs w:val="20"/>
        </w:rPr>
        <w:t xml:space="preserve">** </w:t>
      </w:r>
      <w:r w:rsidRPr="002B744C">
        <w:rPr>
          <w:rFonts w:ascii="Calibri" w:hAnsi="Calibri" w:cs="Calibri"/>
          <w:color w:val="000000"/>
          <w:sz w:val="20"/>
          <w:szCs w:val="20"/>
        </w:rPr>
        <w:tab/>
        <w:t>Van de resterende 2161 kinderen bevond de geboorteplaats zich in het Waalse Gewest of in het buitenland, of was de plaats van geboorte niet gekend.</w:t>
      </w:r>
    </w:p>
    <w:p w:rsidR="000D38A4" w:rsidRPr="002B744C" w:rsidRDefault="000D38A4" w:rsidP="00931045">
      <w:pPr>
        <w:shd w:val="clear" w:color="auto" w:fill="FFFFFF"/>
        <w:spacing w:before="240" w:after="240" w:line="300" w:lineRule="atLeast"/>
        <w:ind w:left="284"/>
        <w:jc w:val="both"/>
        <w:rPr>
          <w:rFonts w:ascii="Calibri" w:hAnsi="Calibri" w:cs="Calibri"/>
          <w:color w:val="000000"/>
          <w:sz w:val="20"/>
          <w:szCs w:val="20"/>
        </w:rPr>
      </w:pPr>
      <w:r w:rsidRPr="002B744C">
        <w:rPr>
          <w:rFonts w:ascii="Calibri" w:hAnsi="Calibri" w:cs="Calibri"/>
          <w:color w:val="000000"/>
          <w:sz w:val="20"/>
          <w:szCs w:val="20"/>
        </w:rPr>
        <w:t>Opgelet: de toekenning van een kind aan een bepaalde zorgregio is gebeurd op basis van plaats van geboorte, en niet van woonplaats.</w:t>
      </w:r>
    </w:p>
    <w:p w:rsidR="000D38A4" w:rsidRPr="002B744C" w:rsidRDefault="000D38A4" w:rsidP="00931045">
      <w:pPr>
        <w:ind w:left="900" w:hanging="900"/>
        <w:rPr>
          <w:rFonts w:ascii="Calibri" w:hAnsi="Calibri" w:cs="Calibri"/>
          <w:sz w:val="20"/>
          <w:szCs w:val="20"/>
        </w:rPr>
      </w:pPr>
    </w:p>
    <w:p w:rsidR="000D38A4" w:rsidRPr="002B744C" w:rsidRDefault="000D38A4" w:rsidP="00931045">
      <w:pPr>
        <w:ind w:left="360"/>
        <w:jc w:val="both"/>
        <w:rPr>
          <w:rFonts w:ascii="Calibri" w:hAnsi="Calibri" w:cs="Calibri"/>
          <w:bCs/>
          <w:color w:val="000000"/>
          <w:sz w:val="20"/>
          <w:szCs w:val="20"/>
          <w:lang w:val="nl-BE" w:eastAsia="nl-BE"/>
        </w:rPr>
      </w:pPr>
      <w:r w:rsidRPr="002B744C">
        <w:rPr>
          <w:rFonts w:ascii="Calibri" w:hAnsi="Calibri" w:cs="Calibri"/>
          <w:color w:val="000000"/>
          <w:sz w:val="20"/>
          <w:szCs w:val="20"/>
          <w:u w:val="single"/>
          <w:lang w:eastAsia="nl-BE"/>
        </w:rPr>
        <w:t>Tabel:</w:t>
      </w:r>
      <w:r w:rsidRPr="002B744C">
        <w:rPr>
          <w:rFonts w:ascii="Calibri" w:hAnsi="Calibri" w:cs="Calibri"/>
          <w:color w:val="000000"/>
          <w:sz w:val="20"/>
          <w:szCs w:val="20"/>
          <w:lang w:eastAsia="nl-BE"/>
        </w:rPr>
        <w:t xml:space="preserve"> Percentages vroeggeboortes per z</w:t>
      </w:r>
      <w:r w:rsidRPr="002B744C">
        <w:rPr>
          <w:rFonts w:ascii="Calibri" w:hAnsi="Calibri" w:cs="Calibri"/>
          <w:bCs/>
          <w:color w:val="000000"/>
          <w:sz w:val="20"/>
          <w:szCs w:val="20"/>
          <w:lang w:eastAsia="nl-BE"/>
        </w:rPr>
        <w:t>orgregio/ziekenhuisregio’s (38 polen), berekend op basis van het IKAROS bestand (2008-2009) voor de periode 0</w:t>
      </w:r>
      <w:r w:rsidRPr="002B744C">
        <w:rPr>
          <w:rFonts w:ascii="Calibri" w:hAnsi="Calibri" w:cs="Calibri"/>
          <w:bCs/>
          <w:color w:val="000000"/>
          <w:sz w:val="20"/>
          <w:szCs w:val="20"/>
          <w:lang w:val="nl-BE" w:eastAsia="nl-BE"/>
        </w:rPr>
        <w:t xml:space="preserve">1/05/08-tot en met 30/04/09 </w:t>
      </w:r>
    </w:p>
    <w:p w:rsidR="000D38A4" w:rsidRPr="002B744C" w:rsidRDefault="000D38A4" w:rsidP="00931045">
      <w:pPr>
        <w:ind w:left="360"/>
        <w:jc w:val="both"/>
        <w:rPr>
          <w:rFonts w:ascii="Calibri" w:hAnsi="Calibri" w:cs="Calibri"/>
          <w:bCs/>
          <w:color w:val="000000"/>
          <w:sz w:val="20"/>
          <w:szCs w:val="20"/>
          <w:lang w:val="nl-BE" w:eastAsia="nl-BE"/>
        </w:rPr>
      </w:pPr>
      <w:r w:rsidRPr="002B744C">
        <w:rPr>
          <w:rFonts w:ascii="Calibri" w:hAnsi="Calibri" w:cs="Calibri"/>
          <w:bCs/>
          <w:color w:val="000000"/>
          <w:sz w:val="20"/>
          <w:szCs w:val="20"/>
          <w:lang w:val="nl-BE" w:eastAsia="nl-BE"/>
        </w:rPr>
        <w:t>(Team JONG! Steunpunt Welzijn Volksgezondheid en Gezin)</w:t>
      </w:r>
    </w:p>
    <w:p w:rsidR="000D38A4" w:rsidRPr="002B744C" w:rsidRDefault="000D38A4" w:rsidP="00931045">
      <w:pPr>
        <w:ind w:left="360"/>
        <w:jc w:val="both"/>
        <w:rPr>
          <w:rFonts w:ascii="Calibri" w:hAnsi="Calibri" w:cs="Calibri"/>
          <w:bCs/>
          <w:color w:val="000000"/>
          <w:sz w:val="20"/>
          <w:szCs w:val="20"/>
          <w:lang w:val="nl-BE" w:eastAsia="nl-BE"/>
        </w:rPr>
      </w:pPr>
    </w:p>
    <w:tbl>
      <w:tblPr>
        <w:tblW w:w="6111" w:type="dxa"/>
        <w:tblInd w:w="496" w:type="dxa"/>
        <w:tblCellMar>
          <w:left w:w="70" w:type="dxa"/>
          <w:right w:w="70" w:type="dxa"/>
        </w:tblCellMar>
        <w:tblLook w:val="00A0"/>
      </w:tblPr>
      <w:tblGrid>
        <w:gridCol w:w="2992"/>
        <w:gridCol w:w="3119"/>
      </w:tblGrid>
      <w:tr w:rsidR="000D38A4" w:rsidRPr="002B744C" w:rsidTr="00931045">
        <w:trPr>
          <w:trHeight w:val="510"/>
        </w:trPr>
        <w:tc>
          <w:tcPr>
            <w:tcW w:w="299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0D38A4" w:rsidRPr="002B744C" w:rsidRDefault="000D38A4">
            <w:pPr>
              <w:jc w:val="center"/>
              <w:rPr>
                <w:rFonts w:ascii="Calibri" w:hAnsi="Calibri" w:cs="Calibri"/>
                <w:b/>
                <w:bCs/>
                <w:color w:val="000000"/>
                <w:sz w:val="20"/>
                <w:szCs w:val="20"/>
                <w:lang w:eastAsia="nl-BE"/>
              </w:rPr>
            </w:pPr>
            <w:r w:rsidRPr="002B744C">
              <w:rPr>
                <w:rFonts w:ascii="Calibri" w:hAnsi="Calibri" w:cs="Calibri"/>
                <w:bCs/>
                <w:iCs/>
                <w:sz w:val="20"/>
                <w:szCs w:val="20"/>
              </w:rPr>
              <w:t xml:space="preserve"> </w:t>
            </w:r>
            <w:r w:rsidRPr="002B744C">
              <w:rPr>
                <w:rFonts w:ascii="Calibri" w:hAnsi="Calibri" w:cs="Calibri"/>
                <w:b/>
                <w:bCs/>
                <w:color w:val="000000"/>
                <w:sz w:val="20"/>
                <w:szCs w:val="20"/>
                <w:lang w:eastAsia="nl-BE"/>
              </w:rPr>
              <w:t xml:space="preserve">Zorgregio “ziekenhuisregio’s” </w:t>
            </w:r>
          </w:p>
          <w:p w:rsidR="000D38A4" w:rsidRPr="002B744C" w:rsidRDefault="000D38A4">
            <w:pPr>
              <w:jc w:val="center"/>
              <w:rPr>
                <w:rFonts w:ascii="Calibri" w:hAnsi="Calibri" w:cs="Calibri"/>
                <w:b/>
                <w:bCs/>
                <w:color w:val="000000"/>
                <w:sz w:val="20"/>
                <w:szCs w:val="20"/>
                <w:lang w:val="nl-BE" w:eastAsia="nl-BE"/>
              </w:rPr>
            </w:pPr>
            <w:r w:rsidRPr="002B744C">
              <w:rPr>
                <w:rFonts w:ascii="Calibri" w:hAnsi="Calibri" w:cs="Calibri"/>
                <w:b/>
                <w:bCs/>
                <w:color w:val="000000"/>
                <w:sz w:val="20"/>
                <w:szCs w:val="20"/>
                <w:lang w:eastAsia="nl-BE"/>
              </w:rPr>
              <w:t>(38 polen)</w:t>
            </w:r>
          </w:p>
        </w:tc>
        <w:tc>
          <w:tcPr>
            <w:tcW w:w="3119" w:type="dxa"/>
            <w:tcBorders>
              <w:top w:val="single" w:sz="8" w:space="0" w:color="000000"/>
              <w:left w:val="nil"/>
              <w:bottom w:val="single" w:sz="8" w:space="0" w:color="000000"/>
              <w:right w:val="single" w:sz="8" w:space="0" w:color="000000"/>
            </w:tcBorders>
            <w:shd w:val="clear" w:color="auto" w:fill="FFFFFF"/>
            <w:vAlign w:val="bottom"/>
          </w:tcPr>
          <w:p w:rsidR="000D38A4" w:rsidRPr="002B744C" w:rsidRDefault="000D38A4">
            <w:pPr>
              <w:jc w:val="center"/>
              <w:rPr>
                <w:rFonts w:ascii="Calibri" w:hAnsi="Calibri" w:cs="Calibri"/>
                <w:b/>
                <w:bCs/>
                <w:color w:val="000000"/>
                <w:sz w:val="20"/>
                <w:szCs w:val="20"/>
                <w:lang w:val="nl-BE" w:eastAsia="nl-BE"/>
              </w:rPr>
            </w:pPr>
            <w:r w:rsidRPr="002B744C">
              <w:rPr>
                <w:rFonts w:ascii="Calibri" w:hAnsi="Calibri" w:cs="Calibri"/>
                <w:b/>
                <w:bCs/>
                <w:color w:val="000000"/>
                <w:sz w:val="20"/>
                <w:szCs w:val="20"/>
                <w:lang w:eastAsia="nl-BE"/>
              </w:rPr>
              <w:t>PREMATUUR (&lt; 37 weken)</w:t>
            </w:r>
          </w:p>
        </w:tc>
      </w:tr>
      <w:tr w:rsidR="000D38A4" w:rsidRPr="002B744C" w:rsidTr="00931045">
        <w:trPr>
          <w:trHeight w:val="315"/>
        </w:trPr>
        <w:tc>
          <w:tcPr>
            <w:tcW w:w="2992" w:type="dxa"/>
            <w:tcBorders>
              <w:top w:val="single" w:sz="4" w:space="0" w:color="000000"/>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Aalst</w:t>
            </w:r>
          </w:p>
        </w:tc>
        <w:tc>
          <w:tcPr>
            <w:tcW w:w="3119" w:type="dxa"/>
            <w:tcBorders>
              <w:top w:val="single" w:sz="4" w:space="0" w:color="000000"/>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5.2</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Antwerpen</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7.7</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Asse</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7.4</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Boom</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6.2</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Brasschaat</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7.3</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Brugge</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10.1</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Brussel</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7.9</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Deinze</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5.2</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Dendermonde</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4.7</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Diest</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5.8</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Genk</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11.4</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Gent</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9.4</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Geraardsbergen</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7</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Halle</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5.9</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Hasselt</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6.4</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Herentals</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6.8</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Ieper</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6.7</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Kortrijk</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5.6</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Leuven</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11.3</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Lier</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5.2</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Maaseik</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6.8</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Maasmechelen</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0</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Mechelen</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5.5</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Mol</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7.2</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Neerpelt</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5.9</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Oostende</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5.9</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Oudenaarde</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5.1</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Roeselare</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5.7</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Schilde</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3.7</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Sint-Niklaas</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6.8</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Sint-Truiden</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7.4</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Tienen</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8.3</w:t>
            </w:r>
          </w:p>
        </w:tc>
      </w:tr>
      <w:tr w:rsidR="000D38A4" w:rsidRPr="002B744C"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Tongeren</w:t>
            </w:r>
          </w:p>
        </w:tc>
        <w:tc>
          <w:tcPr>
            <w:tcW w:w="3119" w:type="dxa"/>
            <w:tcBorders>
              <w:top w:val="nil"/>
              <w:left w:val="nil"/>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4.7</w:t>
            </w:r>
          </w:p>
        </w:tc>
      </w:tr>
      <w:tr w:rsidR="000D38A4" w:rsidRPr="00931045"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2B744C"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Turnhout</w:t>
            </w:r>
          </w:p>
        </w:tc>
        <w:tc>
          <w:tcPr>
            <w:tcW w:w="3119" w:type="dxa"/>
            <w:tcBorders>
              <w:top w:val="nil"/>
              <w:left w:val="nil"/>
              <w:bottom w:val="single" w:sz="4" w:space="0" w:color="000000"/>
              <w:right w:val="single" w:sz="8" w:space="0" w:color="000000"/>
            </w:tcBorders>
            <w:shd w:val="clear" w:color="auto" w:fill="FFFFFF"/>
          </w:tcPr>
          <w:p w:rsidR="000D38A4" w:rsidRPr="00931045" w:rsidRDefault="000D38A4">
            <w:pPr>
              <w:rPr>
                <w:rFonts w:ascii="Calibri" w:hAnsi="Calibri" w:cs="Calibri"/>
                <w:color w:val="000000"/>
                <w:sz w:val="20"/>
                <w:szCs w:val="20"/>
                <w:lang w:val="nl-BE" w:eastAsia="nl-BE"/>
              </w:rPr>
            </w:pPr>
            <w:r w:rsidRPr="002B744C">
              <w:rPr>
                <w:rFonts w:ascii="Calibri" w:hAnsi="Calibri" w:cs="Calibri"/>
                <w:color w:val="000000"/>
                <w:sz w:val="20"/>
                <w:szCs w:val="20"/>
                <w:lang w:eastAsia="nl-BE"/>
              </w:rPr>
              <w:t>7.4</w:t>
            </w:r>
          </w:p>
        </w:tc>
      </w:tr>
      <w:tr w:rsidR="000D38A4" w:rsidRPr="00931045"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931045" w:rsidRDefault="000D38A4">
            <w:pPr>
              <w:rPr>
                <w:rFonts w:ascii="Calibri" w:hAnsi="Calibri" w:cs="Calibri"/>
                <w:color w:val="000000"/>
                <w:sz w:val="20"/>
                <w:szCs w:val="20"/>
                <w:lang w:val="nl-BE" w:eastAsia="nl-BE"/>
              </w:rPr>
            </w:pPr>
            <w:r w:rsidRPr="00931045">
              <w:rPr>
                <w:rFonts w:ascii="Calibri" w:hAnsi="Calibri" w:cs="Calibri"/>
                <w:color w:val="000000"/>
                <w:sz w:val="20"/>
                <w:szCs w:val="20"/>
                <w:lang w:eastAsia="nl-BE"/>
              </w:rPr>
              <w:t>Veurne</w:t>
            </w:r>
          </w:p>
        </w:tc>
        <w:tc>
          <w:tcPr>
            <w:tcW w:w="3119" w:type="dxa"/>
            <w:tcBorders>
              <w:top w:val="nil"/>
              <w:left w:val="nil"/>
              <w:bottom w:val="single" w:sz="4" w:space="0" w:color="000000"/>
              <w:right w:val="single" w:sz="8" w:space="0" w:color="000000"/>
            </w:tcBorders>
            <w:shd w:val="clear" w:color="auto" w:fill="FFFFFF"/>
          </w:tcPr>
          <w:p w:rsidR="000D38A4" w:rsidRPr="00931045" w:rsidRDefault="000D38A4">
            <w:pPr>
              <w:rPr>
                <w:rFonts w:ascii="Calibri" w:hAnsi="Calibri" w:cs="Calibri"/>
                <w:color w:val="000000"/>
                <w:sz w:val="20"/>
                <w:szCs w:val="20"/>
                <w:lang w:val="nl-BE" w:eastAsia="nl-BE"/>
              </w:rPr>
            </w:pPr>
            <w:r w:rsidRPr="00931045">
              <w:rPr>
                <w:rFonts w:ascii="Calibri" w:hAnsi="Calibri" w:cs="Calibri"/>
                <w:color w:val="000000"/>
                <w:sz w:val="20"/>
                <w:szCs w:val="20"/>
                <w:lang w:eastAsia="nl-BE"/>
              </w:rPr>
              <w:t>9</w:t>
            </w:r>
          </w:p>
        </w:tc>
      </w:tr>
      <w:tr w:rsidR="000D38A4" w:rsidRPr="00931045"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931045" w:rsidRDefault="000D38A4">
            <w:pPr>
              <w:rPr>
                <w:rFonts w:ascii="Calibri" w:hAnsi="Calibri" w:cs="Calibri"/>
                <w:color w:val="000000"/>
                <w:sz w:val="20"/>
                <w:szCs w:val="20"/>
                <w:lang w:val="nl-BE" w:eastAsia="nl-BE"/>
              </w:rPr>
            </w:pPr>
            <w:r w:rsidRPr="00931045">
              <w:rPr>
                <w:rFonts w:ascii="Calibri" w:hAnsi="Calibri" w:cs="Calibri"/>
                <w:color w:val="000000"/>
                <w:sz w:val="20"/>
                <w:szCs w:val="20"/>
                <w:lang w:eastAsia="nl-BE"/>
              </w:rPr>
              <w:t>Vilvoorde</w:t>
            </w:r>
          </w:p>
        </w:tc>
        <w:tc>
          <w:tcPr>
            <w:tcW w:w="3119" w:type="dxa"/>
            <w:tcBorders>
              <w:top w:val="nil"/>
              <w:left w:val="nil"/>
              <w:bottom w:val="single" w:sz="4" w:space="0" w:color="000000"/>
              <w:right w:val="single" w:sz="8" w:space="0" w:color="000000"/>
            </w:tcBorders>
            <w:shd w:val="clear" w:color="auto" w:fill="FFFFFF"/>
          </w:tcPr>
          <w:p w:rsidR="000D38A4" w:rsidRPr="00931045" w:rsidRDefault="000D38A4">
            <w:pPr>
              <w:rPr>
                <w:rFonts w:ascii="Calibri" w:hAnsi="Calibri" w:cs="Calibri"/>
                <w:color w:val="000000"/>
                <w:sz w:val="20"/>
                <w:szCs w:val="20"/>
                <w:lang w:val="nl-BE" w:eastAsia="nl-BE"/>
              </w:rPr>
            </w:pPr>
            <w:r w:rsidRPr="00931045">
              <w:rPr>
                <w:rFonts w:ascii="Calibri" w:hAnsi="Calibri" w:cs="Calibri"/>
                <w:color w:val="000000"/>
                <w:sz w:val="20"/>
                <w:szCs w:val="20"/>
                <w:lang w:eastAsia="nl-BE"/>
              </w:rPr>
              <w:t>3.7</w:t>
            </w:r>
          </w:p>
        </w:tc>
      </w:tr>
      <w:tr w:rsidR="000D38A4" w:rsidRPr="00931045"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931045" w:rsidRDefault="000D38A4">
            <w:pPr>
              <w:rPr>
                <w:rFonts w:ascii="Calibri" w:hAnsi="Calibri" w:cs="Calibri"/>
                <w:color w:val="000000"/>
                <w:sz w:val="20"/>
                <w:szCs w:val="20"/>
                <w:lang w:val="nl-BE" w:eastAsia="nl-BE"/>
              </w:rPr>
            </w:pPr>
            <w:r w:rsidRPr="00931045">
              <w:rPr>
                <w:rFonts w:ascii="Calibri" w:hAnsi="Calibri" w:cs="Calibri"/>
                <w:color w:val="000000"/>
                <w:sz w:val="20"/>
                <w:szCs w:val="20"/>
                <w:lang w:eastAsia="nl-BE"/>
              </w:rPr>
              <w:t>Waregem</w:t>
            </w:r>
          </w:p>
        </w:tc>
        <w:tc>
          <w:tcPr>
            <w:tcW w:w="3119" w:type="dxa"/>
            <w:tcBorders>
              <w:top w:val="nil"/>
              <w:left w:val="nil"/>
              <w:bottom w:val="single" w:sz="4" w:space="0" w:color="000000"/>
              <w:right w:val="single" w:sz="8" w:space="0" w:color="000000"/>
            </w:tcBorders>
            <w:shd w:val="clear" w:color="auto" w:fill="FFFFFF"/>
          </w:tcPr>
          <w:p w:rsidR="000D38A4" w:rsidRPr="00931045" w:rsidRDefault="000D38A4">
            <w:pPr>
              <w:rPr>
                <w:rFonts w:ascii="Calibri" w:hAnsi="Calibri" w:cs="Calibri"/>
                <w:color w:val="000000"/>
                <w:sz w:val="20"/>
                <w:szCs w:val="20"/>
                <w:lang w:val="nl-BE" w:eastAsia="nl-BE"/>
              </w:rPr>
            </w:pPr>
            <w:r w:rsidRPr="00931045">
              <w:rPr>
                <w:rFonts w:ascii="Calibri" w:hAnsi="Calibri" w:cs="Calibri"/>
                <w:color w:val="000000"/>
                <w:sz w:val="20"/>
                <w:szCs w:val="20"/>
                <w:lang w:eastAsia="nl-BE"/>
              </w:rPr>
              <w:t>5.2</w:t>
            </w:r>
          </w:p>
        </w:tc>
      </w:tr>
      <w:tr w:rsidR="000D38A4" w:rsidRPr="00931045" w:rsidTr="00931045">
        <w:trPr>
          <w:trHeight w:val="315"/>
        </w:trPr>
        <w:tc>
          <w:tcPr>
            <w:tcW w:w="2992" w:type="dxa"/>
            <w:tcBorders>
              <w:top w:val="nil"/>
              <w:left w:val="single" w:sz="8" w:space="0" w:color="000000"/>
              <w:bottom w:val="single" w:sz="4" w:space="0" w:color="000000"/>
              <w:right w:val="single" w:sz="8" w:space="0" w:color="000000"/>
            </w:tcBorders>
            <w:shd w:val="clear" w:color="auto" w:fill="FFFFFF"/>
          </w:tcPr>
          <w:p w:rsidR="000D38A4" w:rsidRPr="00931045" w:rsidRDefault="000D38A4">
            <w:pPr>
              <w:rPr>
                <w:rFonts w:ascii="Calibri" w:hAnsi="Calibri" w:cs="Calibri"/>
                <w:color w:val="000000"/>
                <w:sz w:val="20"/>
                <w:szCs w:val="20"/>
                <w:lang w:val="nl-BE" w:eastAsia="nl-BE"/>
              </w:rPr>
            </w:pPr>
            <w:r w:rsidRPr="00931045">
              <w:rPr>
                <w:rFonts w:ascii="Calibri" w:hAnsi="Calibri" w:cs="Calibri"/>
                <w:color w:val="000000"/>
                <w:sz w:val="20"/>
                <w:szCs w:val="20"/>
                <w:lang w:eastAsia="nl-BE"/>
              </w:rPr>
              <w:t>Zottegem</w:t>
            </w:r>
          </w:p>
        </w:tc>
        <w:tc>
          <w:tcPr>
            <w:tcW w:w="3119" w:type="dxa"/>
            <w:tcBorders>
              <w:top w:val="nil"/>
              <w:left w:val="nil"/>
              <w:bottom w:val="single" w:sz="4" w:space="0" w:color="000000"/>
              <w:right w:val="single" w:sz="8" w:space="0" w:color="000000"/>
            </w:tcBorders>
            <w:shd w:val="clear" w:color="auto" w:fill="FFFFFF"/>
          </w:tcPr>
          <w:p w:rsidR="000D38A4" w:rsidRPr="00931045" w:rsidRDefault="000D38A4">
            <w:pPr>
              <w:rPr>
                <w:rFonts w:ascii="Calibri" w:hAnsi="Calibri" w:cs="Calibri"/>
                <w:color w:val="000000"/>
                <w:sz w:val="20"/>
                <w:szCs w:val="20"/>
                <w:lang w:val="nl-BE" w:eastAsia="nl-BE"/>
              </w:rPr>
            </w:pPr>
            <w:r w:rsidRPr="00931045">
              <w:rPr>
                <w:rFonts w:ascii="Calibri" w:hAnsi="Calibri" w:cs="Calibri"/>
                <w:color w:val="000000"/>
                <w:sz w:val="20"/>
                <w:szCs w:val="20"/>
                <w:lang w:eastAsia="nl-BE"/>
              </w:rPr>
              <w:t>5.9</w:t>
            </w:r>
          </w:p>
        </w:tc>
      </w:tr>
    </w:tbl>
    <w:p w:rsidR="000D38A4" w:rsidRPr="00931045" w:rsidRDefault="000D38A4" w:rsidP="00931045">
      <w:pPr>
        <w:shd w:val="clear" w:color="auto" w:fill="FFFFFF"/>
        <w:spacing w:before="240" w:after="240" w:line="300" w:lineRule="atLeast"/>
        <w:ind w:left="284"/>
        <w:rPr>
          <w:rFonts w:ascii="Calibri" w:hAnsi="Calibri" w:cs="Calibri"/>
          <w:bCs/>
          <w:iCs/>
          <w:sz w:val="20"/>
          <w:szCs w:val="20"/>
        </w:rPr>
      </w:pPr>
    </w:p>
    <w:sectPr w:rsidR="000D38A4" w:rsidRPr="00931045"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A4" w:rsidRDefault="000D38A4">
      <w:r>
        <w:separator/>
      </w:r>
    </w:p>
  </w:endnote>
  <w:endnote w:type="continuationSeparator" w:id="0">
    <w:p w:rsidR="000D38A4" w:rsidRDefault="000D3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A4" w:rsidRDefault="000D38A4">
      <w:r>
        <w:separator/>
      </w:r>
    </w:p>
  </w:footnote>
  <w:footnote w:type="continuationSeparator" w:id="0">
    <w:p w:rsidR="000D38A4" w:rsidRDefault="000D3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4420F33"/>
    <w:multiLevelType w:val="hybridMultilevel"/>
    <w:tmpl w:val="97B225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DD8498E"/>
    <w:multiLevelType w:val="hybridMultilevel"/>
    <w:tmpl w:val="09B6096C"/>
    <w:lvl w:ilvl="0" w:tplc="D01EC018">
      <w:start w:val="1"/>
      <w:numFmt w:val="decimal"/>
      <w:lvlText w:val="%1."/>
      <w:lvlJc w:val="left"/>
      <w:pPr>
        <w:ind w:left="720" w:hanging="360"/>
      </w:pPr>
      <w:rPr>
        <w:rFonts w:cs="Times New Roman" w:hint="default"/>
        <w:b/>
        <w:i/>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7F67C53"/>
    <w:multiLevelType w:val="multilevel"/>
    <w:tmpl w:val="AD46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462F0"/>
    <w:multiLevelType w:val="hybridMultilevel"/>
    <w:tmpl w:val="A36E51E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61E1093"/>
    <w:multiLevelType w:val="hybridMultilevel"/>
    <w:tmpl w:val="80104804"/>
    <w:lvl w:ilvl="0" w:tplc="6AFA9214">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38E453D7"/>
    <w:multiLevelType w:val="multilevel"/>
    <w:tmpl w:val="61EE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3F5B3F2E"/>
    <w:multiLevelType w:val="multilevel"/>
    <w:tmpl w:val="2A0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95B51"/>
    <w:multiLevelType w:val="hybridMultilevel"/>
    <w:tmpl w:val="4096101E"/>
    <w:lvl w:ilvl="0" w:tplc="D0224A56">
      <w:start w:val="1"/>
      <w:numFmt w:val="decimal"/>
      <w:lvlText w:val="%1."/>
      <w:lvlJc w:val="left"/>
      <w:pPr>
        <w:ind w:left="644" w:hanging="360"/>
      </w:pPr>
      <w:rPr>
        <w:rFonts w:cs="Times New Roman" w:hint="default"/>
      </w:rPr>
    </w:lvl>
    <w:lvl w:ilvl="1" w:tplc="08130019" w:tentative="1">
      <w:start w:val="1"/>
      <w:numFmt w:val="lowerLetter"/>
      <w:lvlText w:val="%2."/>
      <w:lvlJc w:val="left"/>
      <w:pPr>
        <w:ind w:left="1364" w:hanging="360"/>
      </w:pPr>
      <w:rPr>
        <w:rFonts w:cs="Times New Roman"/>
      </w:rPr>
    </w:lvl>
    <w:lvl w:ilvl="2" w:tplc="0813001B" w:tentative="1">
      <w:start w:val="1"/>
      <w:numFmt w:val="lowerRoman"/>
      <w:lvlText w:val="%3."/>
      <w:lvlJc w:val="right"/>
      <w:pPr>
        <w:ind w:left="2084" w:hanging="180"/>
      </w:pPr>
      <w:rPr>
        <w:rFonts w:cs="Times New Roman"/>
      </w:rPr>
    </w:lvl>
    <w:lvl w:ilvl="3" w:tplc="0813000F" w:tentative="1">
      <w:start w:val="1"/>
      <w:numFmt w:val="decimal"/>
      <w:lvlText w:val="%4."/>
      <w:lvlJc w:val="left"/>
      <w:pPr>
        <w:ind w:left="2804" w:hanging="360"/>
      </w:pPr>
      <w:rPr>
        <w:rFonts w:cs="Times New Roman"/>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12">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4ABF517D"/>
    <w:multiLevelType w:val="hybridMultilevel"/>
    <w:tmpl w:val="532C1B28"/>
    <w:lvl w:ilvl="0" w:tplc="56F8D4E2">
      <w:start w:val="1"/>
      <w:numFmt w:val="decimal"/>
      <w:lvlText w:val="(%1)"/>
      <w:lvlJc w:val="left"/>
      <w:pPr>
        <w:ind w:left="644" w:hanging="360"/>
      </w:pPr>
      <w:rPr>
        <w:rFonts w:ascii="Times New Roman" w:hAnsi="Times New Roman" w:cs="Times New Roman" w:hint="default"/>
        <w:color w:val="auto"/>
        <w:sz w:val="22"/>
        <w:szCs w:val="22"/>
      </w:rPr>
    </w:lvl>
    <w:lvl w:ilvl="1" w:tplc="08130019">
      <w:start w:val="1"/>
      <w:numFmt w:val="lowerLetter"/>
      <w:lvlText w:val="%2."/>
      <w:lvlJc w:val="left"/>
      <w:pPr>
        <w:ind w:left="1364" w:hanging="360"/>
      </w:pPr>
      <w:rPr>
        <w:rFonts w:cs="Times New Roman"/>
      </w:rPr>
    </w:lvl>
    <w:lvl w:ilvl="2" w:tplc="0813001B" w:tentative="1">
      <w:start w:val="1"/>
      <w:numFmt w:val="lowerRoman"/>
      <w:lvlText w:val="%3."/>
      <w:lvlJc w:val="right"/>
      <w:pPr>
        <w:ind w:left="2084" w:hanging="180"/>
      </w:pPr>
      <w:rPr>
        <w:rFonts w:cs="Times New Roman"/>
      </w:rPr>
    </w:lvl>
    <w:lvl w:ilvl="3" w:tplc="0813000F" w:tentative="1">
      <w:start w:val="1"/>
      <w:numFmt w:val="decimal"/>
      <w:lvlText w:val="%4."/>
      <w:lvlJc w:val="left"/>
      <w:pPr>
        <w:ind w:left="2804" w:hanging="360"/>
      </w:pPr>
      <w:rPr>
        <w:rFonts w:cs="Times New Roman"/>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15">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0">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693154F3"/>
    <w:multiLevelType w:val="multilevel"/>
    <w:tmpl w:val="592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EE1659"/>
    <w:multiLevelType w:val="multilevel"/>
    <w:tmpl w:val="F9E435EA"/>
    <w:lvl w:ilvl="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7B361E56"/>
    <w:multiLevelType w:val="multilevel"/>
    <w:tmpl w:val="F72A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C61DB"/>
    <w:multiLevelType w:val="hybridMultilevel"/>
    <w:tmpl w:val="9B1602DE"/>
    <w:lvl w:ilvl="0" w:tplc="461E5502">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9"/>
  </w:num>
  <w:num w:numId="2">
    <w:abstractNumId w:val="19"/>
  </w:num>
  <w:num w:numId="3">
    <w:abstractNumId w:val="17"/>
  </w:num>
  <w:num w:numId="4">
    <w:abstractNumId w:val="4"/>
  </w:num>
  <w:num w:numId="5">
    <w:abstractNumId w:val="24"/>
  </w:num>
  <w:num w:numId="6">
    <w:abstractNumId w:val="21"/>
  </w:num>
  <w:num w:numId="7">
    <w:abstractNumId w:val="0"/>
  </w:num>
  <w:num w:numId="8">
    <w:abstractNumId w:val="2"/>
  </w:num>
  <w:num w:numId="9">
    <w:abstractNumId w:val="20"/>
  </w:num>
  <w:num w:numId="10">
    <w:abstractNumId w:val="15"/>
  </w:num>
  <w:num w:numId="11">
    <w:abstractNumId w:val="18"/>
  </w:num>
  <w:num w:numId="12">
    <w:abstractNumId w:val="13"/>
  </w:num>
  <w:num w:numId="13">
    <w:abstractNumId w:val="9"/>
  </w:num>
  <w:num w:numId="14">
    <w:abstractNumId w:val="16"/>
  </w:num>
  <w:num w:numId="15">
    <w:abstractNumId w:val="12"/>
  </w:num>
  <w:num w:numId="16">
    <w:abstractNumId w:val="6"/>
  </w:num>
  <w:num w:numId="17">
    <w:abstractNumId w:val="1"/>
  </w:num>
  <w:num w:numId="18">
    <w:abstractNumId w:val="3"/>
  </w:num>
  <w:num w:numId="19">
    <w:abstractNumId w:val="7"/>
  </w:num>
  <w:num w:numId="20">
    <w:abstractNumId w:val="26"/>
  </w:num>
  <w:num w:numId="21">
    <w:abstractNumId w:val="23"/>
  </w:num>
  <w:num w:numId="22">
    <w:abstractNumId w:val="14"/>
  </w:num>
  <w:num w:numId="23">
    <w:abstractNumId w:val="5"/>
  </w:num>
  <w:num w:numId="24">
    <w:abstractNumId w:val="8"/>
  </w:num>
  <w:num w:numId="25">
    <w:abstractNumId w:val="22"/>
  </w:num>
  <w:num w:numId="26">
    <w:abstractNumId w:val="25"/>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DEC"/>
    <w:rsid w:val="000036C4"/>
    <w:rsid w:val="00003BA5"/>
    <w:rsid w:val="00013E68"/>
    <w:rsid w:val="00015BF7"/>
    <w:rsid w:val="00017A38"/>
    <w:rsid w:val="000262DC"/>
    <w:rsid w:val="0002649B"/>
    <w:rsid w:val="000402DE"/>
    <w:rsid w:val="00050DEC"/>
    <w:rsid w:val="000811D4"/>
    <w:rsid w:val="00084366"/>
    <w:rsid w:val="0009102B"/>
    <w:rsid w:val="000976E9"/>
    <w:rsid w:val="000A2197"/>
    <w:rsid w:val="000A4814"/>
    <w:rsid w:val="000B43B3"/>
    <w:rsid w:val="000B4B49"/>
    <w:rsid w:val="000C4E8C"/>
    <w:rsid w:val="000C7C6C"/>
    <w:rsid w:val="000D38A4"/>
    <w:rsid w:val="000F3532"/>
    <w:rsid w:val="000F5552"/>
    <w:rsid w:val="00101681"/>
    <w:rsid w:val="00126CC3"/>
    <w:rsid w:val="00126DF8"/>
    <w:rsid w:val="00135E09"/>
    <w:rsid w:val="0015210B"/>
    <w:rsid w:val="00173149"/>
    <w:rsid w:val="00174411"/>
    <w:rsid w:val="001823E8"/>
    <w:rsid w:val="001A4CCA"/>
    <w:rsid w:val="001A654E"/>
    <w:rsid w:val="001A7872"/>
    <w:rsid w:val="001B5904"/>
    <w:rsid w:val="001C211C"/>
    <w:rsid w:val="001E3E2E"/>
    <w:rsid w:val="001F574B"/>
    <w:rsid w:val="00210C07"/>
    <w:rsid w:val="00213CD0"/>
    <w:rsid w:val="00250C88"/>
    <w:rsid w:val="0025145A"/>
    <w:rsid w:val="00256604"/>
    <w:rsid w:val="00260DF1"/>
    <w:rsid w:val="00263A8F"/>
    <w:rsid w:val="002648D4"/>
    <w:rsid w:val="002812CD"/>
    <w:rsid w:val="00291F05"/>
    <w:rsid w:val="002A27A5"/>
    <w:rsid w:val="002B744C"/>
    <w:rsid w:val="002E2E71"/>
    <w:rsid w:val="002F3837"/>
    <w:rsid w:val="00316596"/>
    <w:rsid w:val="00321A3C"/>
    <w:rsid w:val="00326A58"/>
    <w:rsid w:val="00340BDC"/>
    <w:rsid w:val="00355493"/>
    <w:rsid w:val="00355B81"/>
    <w:rsid w:val="003827BE"/>
    <w:rsid w:val="0038293A"/>
    <w:rsid w:val="00394054"/>
    <w:rsid w:val="003B45FE"/>
    <w:rsid w:val="003C4C41"/>
    <w:rsid w:val="003C7D6F"/>
    <w:rsid w:val="003D481A"/>
    <w:rsid w:val="003D7B9E"/>
    <w:rsid w:val="003F1B3C"/>
    <w:rsid w:val="003F5ED2"/>
    <w:rsid w:val="00401396"/>
    <w:rsid w:val="00401660"/>
    <w:rsid w:val="00402F7F"/>
    <w:rsid w:val="004037CA"/>
    <w:rsid w:val="00403E9A"/>
    <w:rsid w:val="00410020"/>
    <w:rsid w:val="004103DC"/>
    <w:rsid w:val="00411B57"/>
    <w:rsid w:val="00421318"/>
    <w:rsid w:val="00422BB7"/>
    <w:rsid w:val="004337D3"/>
    <w:rsid w:val="00451B61"/>
    <w:rsid w:val="004545D6"/>
    <w:rsid w:val="004777FD"/>
    <w:rsid w:val="0048272F"/>
    <w:rsid w:val="00497D98"/>
    <w:rsid w:val="004C554A"/>
    <w:rsid w:val="004D00C7"/>
    <w:rsid w:val="004D3276"/>
    <w:rsid w:val="004E6F83"/>
    <w:rsid w:val="004F5878"/>
    <w:rsid w:val="0050163F"/>
    <w:rsid w:val="005178B5"/>
    <w:rsid w:val="00526536"/>
    <w:rsid w:val="00531FC2"/>
    <w:rsid w:val="00572762"/>
    <w:rsid w:val="00591AE9"/>
    <w:rsid w:val="00593D3A"/>
    <w:rsid w:val="005A5E23"/>
    <w:rsid w:val="005B6C7C"/>
    <w:rsid w:val="005C3CE8"/>
    <w:rsid w:val="005C4144"/>
    <w:rsid w:val="005C4E46"/>
    <w:rsid w:val="005E38CA"/>
    <w:rsid w:val="005F09EF"/>
    <w:rsid w:val="005F216C"/>
    <w:rsid w:val="005F27AF"/>
    <w:rsid w:val="005F6E31"/>
    <w:rsid w:val="00601C03"/>
    <w:rsid w:val="0061186B"/>
    <w:rsid w:val="00637643"/>
    <w:rsid w:val="006447E1"/>
    <w:rsid w:val="006453D7"/>
    <w:rsid w:val="006454B2"/>
    <w:rsid w:val="006563FB"/>
    <w:rsid w:val="006640D2"/>
    <w:rsid w:val="006717AF"/>
    <w:rsid w:val="0067306B"/>
    <w:rsid w:val="006938A7"/>
    <w:rsid w:val="006B3EE5"/>
    <w:rsid w:val="006B4876"/>
    <w:rsid w:val="006B7A39"/>
    <w:rsid w:val="006C689A"/>
    <w:rsid w:val="006D241E"/>
    <w:rsid w:val="006E223F"/>
    <w:rsid w:val="00703E55"/>
    <w:rsid w:val="00711605"/>
    <w:rsid w:val="0071248C"/>
    <w:rsid w:val="00715E0D"/>
    <w:rsid w:val="007252C7"/>
    <w:rsid w:val="0073024F"/>
    <w:rsid w:val="00765FE2"/>
    <w:rsid w:val="00766407"/>
    <w:rsid w:val="00786868"/>
    <w:rsid w:val="007902C7"/>
    <w:rsid w:val="00796356"/>
    <w:rsid w:val="007A07CF"/>
    <w:rsid w:val="007B0FF1"/>
    <w:rsid w:val="007C007C"/>
    <w:rsid w:val="007F0C63"/>
    <w:rsid w:val="007F1193"/>
    <w:rsid w:val="007F6352"/>
    <w:rsid w:val="00800EE1"/>
    <w:rsid w:val="0080192D"/>
    <w:rsid w:val="00822F1B"/>
    <w:rsid w:val="008356C7"/>
    <w:rsid w:val="00837915"/>
    <w:rsid w:val="008521FC"/>
    <w:rsid w:val="00856946"/>
    <w:rsid w:val="00864305"/>
    <w:rsid w:val="00865B70"/>
    <w:rsid w:val="008730D5"/>
    <w:rsid w:val="00884FA1"/>
    <w:rsid w:val="008860F8"/>
    <w:rsid w:val="00887F9E"/>
    <w:rsid w:val="008A4FF3"/>
    <w:rsid w:val="008A6C2C"/>
    <w:rsid w:val="008D5DB4"/>
    <w:rsid w:val="008E23BC"/>
    <w:rsid w:val="008E55A1"/>
    <w:rsid w:val="0090401E"/>
    <w:rsid w:val="00904CDB"/>
    <w:rsid w:val="00905982"/>
    <w:rsid w:val="00921BFC"/>
    <w:rsid w:val="00931045"/>
    <w:rsid w:val="009347E0"/>
    <w:rsid w:val="009455AD"/>
    <w:rsid w:val="00952C2D"/>
    <w:rsid w:val="00976F3C"/>
    <w:rsid w:val="00987BBD"/>
    <w:rsid w:val="0099392A"/>
    <w:rsid w:val="009A11AA"/>
    <w:rsid w:val="009A3BFC"/>
    <w:rsid w:val="009D7043"/>
    <w:rsid w:val="009F0511"/>
    <w:rsid w:val="009F1EA8"/>
    <w:rsid w:val="009F4BAA"/>
    <w:rsid w:val="00A04E1C"/>
    <w:rsid w:val="00A11E63"/>
    <w:rsid w:val="00A22807"/>
    <w:rsid w:val="00A2736D"/>
    <w:rsid w:val="00A34CDC"/>
    <w:rsid w:val="00A37640"/>
    <w:rsid w:val="00A633B8"/>
    <w:rsid w:val="00A64695"/>
    <w:rsid w:val="00A7348F"/>
    <w:rsid w:val="00A837E0"/>
    <w:rsid w:val="00A86C48"/>
    <w:rsid w:val="00A90CD3"/>
    <w:rsid w:val="00AC19C1"/>
    <w:rsid w:val="00AC2806"/>
    <w:rsid w:val="00AC4E76"/>
    <w:rsid w:val="00AE1B09"/>
    <w:rsid w:val="00AE721D"/>
    <w:rsid w:val="00AF6BEF"/>
    <w:rsid w:val="00B045E6"/>
    <w:rsid w:val="00B12698"/>
    <w:rsid w:val="00B14702"/>
    <w:rsid w:val="00B246FE"/>
    <w:rsid w:val="00B325C0"/>
    <w:rsid w:val="00B45EB2"/>
    <w:rsid w:val="00B55E0E"/>
    <w:rsid w:val="00B60DC2"/>
    <w:rsid w:val="00B915D2"/>
    <w:rsid w:val="00BE425A"/>
    <w:rsid w:val="00BF330F"/>
    <w:rsid w:val="00C00755"/>
    <w:rsid w:val="00C17BAF"/>
    <w:rsid w:val="00C26239"/>
    <w:rsid w:val="00C57362"/>
    <w:rsid w:val="00C70531"/>
    <w:rsid w:val="00C72F92"/>
    <w:rsid w:val="00C7570D"/>
    <w:rsid w:val="00C77630"/>
    <w:rsid w:val="00C830BD"/>
    <w:rsid w:val="00C91441"/>
    <w:rsid w:val="00C92969"/>
    <w:rsid w:val="00C95EE0"/>
    <w:rsid w:val="00CA4453"/>
    <w:rsid w:val="00CA50F3"/>
    <w:rsid w:val="00CA6539"/>
    <w:rsid w:val="00CC532C"/>
    <w:rsid w:val="00CD12C2"/>
    <w:rsid w:val="00CD5F0E"/>
    <w:rsid w:val="00CE4D99"/>
    <w:rsid w:val="00D04FBF"/>
    <w:rsid w:val="00D10499"/>
    <w:rsid w:val="00D249A8"/>
    <w:rsid w:val="00D549F3"/>
    <w:rsid w:val="00D65CEC"/>
    <w:rsid w:val="00D71842"/>
    <w:rsid w:val="00D71D99"/>
    <w:rsid w:val="00D754F2"/>
    <w:rsid w:val="00D771EC"/>
    <w:rsid w:val="00D86F22"/>
    <w:rsid w:val="00D90FB3"/>
    <w:rsid w:val="00DA25A8"/>
    <w:rsid w:val="00DB41C0"/>
    <w:rsid w:val="00DC004F"/>
    <w:rsid w:val="00DC0ECE"/>
    <w:rsid w:val="00DC2940"/>
    <w:rsid w:val="00DC4DB6"/>
    <w:rsid w:val="00DD0684"/>
    <w:rsid w:val="00DD4121"/>
    <w:rsid w:val="00DE2EE4"/>
    <w:rsid w:val="00DE649A"/>
    <w:rsid w:val="00DF23EB"/>
    <w:rsid w:val="00DF423B"/>
    <w:rsid w:val="00E26FA5"/>
    <w:rsid w:val="00E306B3"/>
    <w:rsid w:val="00E31F4D"/>
    <w:rsid w:val="00E451F4"/>
    <w:rsid w:val="00E55200"/>
    <w:rsid w:val="00E80632"/>
    <w:rsid w:val="00E80CC0"/>
    <w:rsid w:val="00E85C8D"/>
    <w:rsid w:val="00EA1039"/>
    <w:rsid w:val="00EA32C7"/>
    <w:rsid w:val="00EB4635"/>
    <w:rsid w:val="00EC59DD"/>
    <w:rsid w:val="00ED4D74"/>
    <w:rsid w:val="00F06DB9"/>
    <w:rsid w:val="00F25E8D"/>
    <w:rsid w:val="00F262A3"/>
    <w:rsid w:val="00F30A3E"/>
    <w:rsid w:val="00F33F31"/>
    <w:rsid w:val="00F53702"/>
    <w:rsid w:val="00F608EE"/>
    <w:rsid w:val="00F826BA"/>
    <w:rsid w:val="00F83B7B"/>
    <w:rsid w:val="00F85CC6"/>
    <w:rsid w:val="00F93239"/>
    <w:rsid w:val="00F93759"/>
    <w:rsid w:val="00FA1124"/>
    <w:rsid w:val="00FA29D6"/>
    <w:rsid w:val="00FD5BF4"/>
    <w:rsid w:val="00FD7D9C"/>
    <w:rsid w:val="00FE09A8"/>
    <w:rsid w:val="00FE1A3F"/>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F0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326F0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326F02"/>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26F02"/>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326F02"/>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326F02"/>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326F02"/>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326F02"/>
    <w:rPr>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customStyle="1" w:styleId="Char">
    <w:name w:val="Char"/>
    <w:basedOn w:val="Normal"/>
    <w:uiPriority w:val="99"/>
    <w:rsid w:val="00403E9A"/>
    <w:pPr>
      <w:keepLines/>
      <w:pBdr>
        <w:top w:val="single" w:sz="4" w:space="1" w:color="auto"/>
      </w:pBdr>
      <w:spacing w:before="480"/>
      <w:jc w:val="both"/>
    </w:pPr>
    <w:rPr>
      <w:i/>
      <w:iCs/>
      <w:sz w:val="24"/>
      <w:lang w:val="fr-FR" w:eastAsia="en-GB"/>
    </w:rPr>
  </w:style>
  <w:style w:type="paragraph" w:styleId="ListParagraph">
    <w:name w:val="List Paragraph"/>
    <w:basedOn w:val="Normal"/>
    <w:uiPriority w:val="99"/>
    <w:qFormat/>
    <w:rsid w:val="009F1EA8"/>
    <w:pPr>
      <w:ind w:left="720"/>
      <w:contextualSpacing/>
    </w:pPr>
    <w:rPr>
      <w:sz w:val="24"/>
      <w:lang w:val="nl-BE" w:eastAsia="nl-BE"/>
    </w:rPr>
  </w:style>
  <w:style w:type="character" w:styleId="Strong">
    <w:name w:val="Strong"/>
    <w:basedOn w:val="DefaultParagraphFont"/>
    <w:uiPriority w:val="99"/>
    <w:qFormat/>
    <w:rsid w:val="009F1EA8"/>
    <w:rPr>
      <w:rFonts w:cs="Times New Roman"/>
      <w:b/>
    </w:rPr>
  </w:style>
  <w:style w:type="character" w:styleId="CommentReference">
    <w:name w:val="annotation reference"/>
    <w:basedOn w:val="DefaultParagraphFont"/>
    <w:uiPriority w:val="99"/>
    <w:rsid w:val="00A90CD3"/>
    <w:rPr>
      <w:rFonts w:cs="Times New Roman"/>
      <w:sz w:val="16"/>
      <w:szCs w:val="16"/>
    </w:rPr>
  </w:style>
  <w:style w:type="paragraph" w:styleId="CommentText">
    <w:name w:val="annotation text"/>
    <w:basedOn w:val="Normal"/>
    <w:link w:val="CommentTextChar"/>
    <w:uiPriority w:val="99"/>
    <w:rsid w:val="00A90CD3"/>
    <w:rPr>
      <w:sz w:val="20"/>
      <w:szCs w:val="20"/>
      <w:lang w:val="nl-BE" w:eastAsia="nl-BE"/>
    </w:rPr>
  </w:style>
  <w:style w:type="character" w:customStyle="1" w:styleId="CommentTextChar">
    <w:name w:val="Comment Text Char"/>
    <w:basedOn w:val="DefaultParagraphFont"/>
    <w:link w:val="CommentText"/>
    <w:uiPriority w:val="99"/>
    <w:locked/>
    <w:rsid w:val="00A90CD3"/>
    <w:rPr>
      <w:rFonts w:eastAsia="Times New Roman" w:cs="Times New Roman"/>
      <w:lang w:val="nl-BE" w:eastAsia="nl-BE"/>
    </w:rPr>
  </w:style>
  <w:style w:type="paragraph" w:customStyle="1" w:styleId="Default">
    <w:name w:val="Default"/>
    <w:uiPriority w:val="99"/>
    <w:rsid w:val="005F27A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rsid w:val="006D241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06367335">
      <w:marLeft w:val="0"/>
      <w:marRight w:val="0"/>
      <w:marTop w:val="0"/>
      <w:marBottom w:val="0"/>
      <w:divBdr>
        <w:top w:val="none" w:sz="0" w:space="0" w:color="auto"/>
        <w:left w:val="none" w:sz="0" w:space="0" w:color="auto"/>
        <w:bottom w:val="none" w:sz="0" w:space="0" w:color="auto"/>
        <w:right w:val="none" w:sz="0" w:space="0" w:color="auto"/>
      </w:divBdr>
      <w:divsChild>
        <w:div w:id="1706367417">
          <w:marLeft w:val="0"/>
          <w:marRight w:val="0"/>
          <w:marTop w:val="0"/>
          <w:marBottom w:val="0"/>
          <w:divBdr>
            <w:top w:val="none" w:sz="0" w:space="0" w:color="auto"/>
            <w:left w:val="none" w:sz="0" w:space="0" w:color="auto"/>
            <w:bottom w:val="none" w:sz="0" w:space="0" w:color="auto"/>
            <w:right w:val="none" w:sz="0" w:space="0" w:color="auto"/>
          </w:divBdr>
          <w:divsChild>
            <w:div w:id="1706367396">
              <w:marLeft w:val="180"/>
              <w:marRight w:val="180"/>
              <w:marTop w:val="180"/>
              <w:marBottom w:val="180"/>
              <w:divBdr>
                <w:top w:val="none" w:sz="0" w:space="0" w:color="auto"/>
                <w:left w:val="none" w:sz="0" w:space="0" w:color="auto"/>
                <w:bottom w:val="none" w:sz="0" w:space="0" w:color="auto"/>
                <w:right w:val="none" w:sz="0" w:space="0" w:color="auto"/>
              </w:divBdr>
              <w:divsChild>
                <w:div w:id="1706367407">
                  <w:marLeft w:val="0"/>
                  <w:marRight w:val="0"/>
                  <w:marTop w:val="240"/>
                  <w:marBottom w:val="240"/>
                  <w:divBdr>
                    <w:top w:val="none" w:sz="0" w:space="0" w:color="auto"/>
                    <w:left w:val="none" w:sz="0" w:space="0" w:color="auto"/>
                    <w:bottom w:val="none" w:sz="0" w:space="0" w:color="auto"/>
                    <w:right w:val="none" w:sz="0" w:space="0" w:color="auto"/>
                  </w:divBdr>
                  <w:divsChild>
                    <w:div w:id="1706367442">
                      <w:marLeft w:val="0"/>
                      <w:marRight w:val="0"/>
                      <w:marTop w:val="0"/>
                      <w:marBottom w:val="0"/>
                      <w:divBdr>
                        <w:top w:val="none" w:sz="0" w:space="0" w:color="auto"/>
                        <w:left w:val="none" w:sz="0" w:space="0" w:color="auto"/>
                        <w:bottom w:val="none" w:sz="0" w:space="0" w:color="auto"/>
                        <w:right w:val="none" w:sz="0" w:space="0" w:color="auto"/>
                      </w:divBdr>
                      <w:divsChild>
                        <w:div w:id="1706367378">
                          <w:marLeft w:val="0"/>
                          <w:marRight w:val="0"/>
                          <w:marTop w:val="0"/>
                          <w:marBottom w:val="0"/>
                          <w:divBdr>
                            <w:top w:val="none" w:sz="0" w:space="0" w:color="auto"/>
                            <w:left w:val="none" w:sz="0" w:space="0" w:color="auto"/>
                            <w:bottom w:val="none" w:sz="0" w:space="0" w:color="auto"/>
                            <w:right w:val="none" w:sz="0" w:space="0" w:color="auto"/>
                          </w:divBdr>
                          <w:divsChild>
                            <w:div w:id="1706367406">
                              <w:marLeft w:val="0"/>
                              <w:marRight w:val="0"/>
                              <w:marTop w:val="0"/>
                              <w:marBottom w:val="0"/>
                              <w:divBdr>
                                <w:top w:val="none" w:sz="0" w:space="0" w:color="auto"/>
                                <w:left w:val="none" w:sz="0" w:space="0" w:color="auto"/>
                                <w:bottom w:val="none" w:sz="0" w:space="0" w:color="auto"/>
                                <w:right w:val="none" w:sz="0" w:space="0" w:color="auto"/>
                              </w:divBdr>
                              <w:divsChild>
                                <w:div w:id="1706367368">
                                  <w:marLeft w:val="0"/>
                                  <w:marRight w:val="0"/>
                                  <w:marTop w:val="0"/>
                                  <w:marBottom w:val="0"/>
                                  <w:divBdr>
                                    <w:top w:val="none" w:sz="0" w:space="0" w:color="auto"/>
                                    <w:left w:val="none" w:sz="0" w:space="0" w:color="auto"/>
                                    <w:bottom w:val="none" w:sz="0" w:space="0" w:color="auto"/>
                                    <w:right w:val="none" w:sz="0" w:space="0" w:color="auto"/>
                                  </w:divBdr>
                                  <w:divsChild>
                                    <w:div w:id="1706367425">
                                      <w:marLeft w:val="0"/>
                                      <w:marRight w:val="0"/>
                                      <w:marTop w:val="0"/>
                                      <w:marBottom w:val="0"/>
                                      <w:divBdr>
                                        <w:top w:val="none" w:sz="0" w:space="0" w:color="auto"/>
                                        <w:left w:val="none" w:sz="0" w:space="0" w:color="auto"/>
                                        <w:bottom w:val="none" w:sz="0" w:space="0" w:color="auto"/>
                                        <w:right w:val="none" w:sz="0" w:space="0" w:color="auto"/>
                                      </w:divBdr>
                                      <w:divsChild>
                                        <w:div w:id="17063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67336">
      <w:marLeft w:val="0"/>
      <w:marRight w:val="0"/>
      <w:marTop w:val="0"/>
      <w:marBottom w:val="0"/>
      <w:divBdr>
        <w:top w:val="none" w:sz="0" w:space="0" w:color="auto"/>
        <w:left w:val="none" w:sz="0" w:space="0" w:color="auto"/>
        <w:bottom w:val="none" w:sz="0" w:space="0" w:color="auto"/>
        <w:right w:val="none" w:sz="0" w:space="0" w:color="auto"/>
      </w:divBdr>
      <w:divsChild>
        <w:div w:id="1706367353">
          <w:marLeft w:val="0"/>
          <w:marRight w:val="0"/>
          <w:marTop w:val="0"/>
          <w:marBottom w:val="0"/>
          <w:divBdr>
            <w:top w:val="none" w:sz="0" w:space="0" w:color="auto"/>
            <w:left w:val="none" w:sz="0" w:space="0" w:color="auto"/>
            <w:bottom w:val="none" w:sz="0" w:space="0" w:color="auto"/>
            <w:right w:val="none" w:sz="0" w:space="0" w:color="auto"/>
          </w:divBdr>
          <w:divsChild>
            <w:div w:id="1706367338">
              <w:marLeft w:val="180"/>
              <w:marRight w:val="180"/>
              <w:marTop w:val="180"/>
              <w:marBottom w:val="180"/>
              <w:divBdr>
                <w:top w:val="none" w:sz="0" w:space="0" w:color="auto"/>
                <w:left w:val="none" w:sz="0" w:space="0" w:color="auto"/>
                <w:bottom w:val="none" w:sz="0" w:space="0" w:color="auto"/>
                <w:right w:val="none" w:sz="0" w:space="0" w:color="auto"/>
              </w:divBdr>
              <w:divsChild>
                <w:div w:id="1706367344">
                  <w:marLeft w:val="0"/>
                  <w:marRight w:val="0"/>
                  <w:marTop w:val="240"/>
                  <w:marBottom w:val="240"/>
                  <w:divBdr>
                    <w:top w:val="none" w:sz="0" w:space="0" w:color="auto"/>
                    <w:left w:val="none" w:sz="0" w:space="0" w:color="auto"/>
                    <w:bottom w:val="none" w:sz="0" w:space="0" w:color="auto"/>
                    <w:right w:val="none" w:sz="0" w:space="0" w:color="auto"/>
                  </w:divBdr>
                  <w:divsChild>
                    <w:div w:id="1706367345">
                      <w:marLeft w:val="0"/>
                      <w:marRight w:val="0"/>
                      <w:marTop w:val="0"/>
                      <w:marBottom w:val="0"/>
                      <w:divBdr>
                        <w:top w:val="none" w:sz="0" w:space="0" w:color="auto"/>
                        <w:left w:val="none" w:sz="0" w:space="0" w:color="auto"/>
                        <w:bottom w:val="none" w:sz="0" w:space="0" w:color="auto"/>
                        <w:right w:val="none" w:sz="0" w:space="0" w:color="auto"/>
                      </w:divBdr>
                      <w:divsChild>
                        <w:div w:id="1706367373">
                          <w:marLeft w:val="0"/>
                          <w:marRight w:val="0"/>
                          <w:marTop w:val="0"/>
                          <w:marBottom w:val="0"/>
                          <w:divBdr>
                            <w:top w:val="none" w:sz="0" w:space="0" w:color="auto"/>
                            <w:left w:val="none" w:sz="0" w:space="0" w:color="auto"/>
                            <w:bottom w:val="none" w:sz="0" w:space="0" w:color="auto"/>
                            <w:right w:val="none" w:sz="0" w:space="0" w:color="auto"/>
                          </w:divBdr>
                          <w:divsChild>
                            <w:div w:id="1706367363">
                              <w:marLeft w:val="0"/>
                              <w:marRight w:val="0"/>
                              <w:marTop w:val="0"/>
                              <w:marBottom w:val="0"/>
                              <w:divBdr>
                                <w:top w:val="none" w:sz="0" w:space="0" w:color="auto"/>
                                <w:left w:val="none" w:sz="0" w:space="0" w:color="auto"/>
                                <w:bottom w:val="none" w:sz="0" w:space="0" w:color="auto"/>
                                <w:right w:val="none" w:sz="0" w:space="0" w:color="auto"/>
                              </w:divBdr>
                              <w:divsChild>
                                <w:div w:id="1706367374">
                                  <w:marLeft w:val="0"/>
                                  <w:marRight w:val="-4320"/>
                                  <w:marTop w:val="0"/>
                                  <w:marBottom w:val="0"/>
                                  <w:divBdr>
                                    <w:top w:val="none" w:sz="0" w:space="0" w:color="auto"/>
                                    <w:left w:val="none" w:sz="0" w:space="0" w:color="auto"/>
                                    <w:bottom w:val="none" w:sz="0" w:space="0" w:color="auto"/>
                                    <w:right w:val="none" w:sz="0" w:space="0" w:color="auto"/>
                                  </w:divBdr>
                                  <w:divsChild>
                                    <w:div w:id="1706367355">
                                      <w:marLeft w:val="0"/>
                                      <w:marRight w:val="0"/>
                                      <w:marTop w:val="0"/>
                                      <w:marBottom w:val="0"/>
                                      <w:divBdr>
                                        <w:top w:val="none" w:sz="0" w:space="0" w:color="auto"/>
                                        <w:left w:val="none" w:sz="0" w:space="0" w:color="auto"/>
                                        <w:bottom w:val="none" w:sz="0" w:space="0" w:color="auto"/>
                                        <w:right w:val="none" w:sz="0" w:space="0" w:color="auto"/>
                                      </w:divBdr>
                                      <w:divsChild>
                                        <w:div w:id="1706367337">
                                          <w:marLeft w:val="240"/>
                                          <w:marRight w:val="240"/>
                                          <w:marTop w:val="240"/>
                                          <w:marBottom w:val="480"/>
                                          <w:divBdr>
                                            <w:top w:val="none" w:sz="0" w:space="0" w:color="auto"/>
                                            <w:left w:val="none" w:sz="0" w:space="0" w:color="auto"/>
                                            <w:bottom w:val="none" w:sz="0" w:space="0" w:color="auto"/>
                                            <w:right w:val="none" w:sz="0" w:space="0" w:color="auto"/>
                                          </w:divBdr>
                                          <w:divsChild>
                                            <w:div w:id="1706367438">
                                              <w:marLeft w:val="60"/>
                                              <w:marRight w:val="60"/>
                                              <w:marTop w:val="240"/>
                                              <w:marBottom w:val="240"/>
                                              <w:divBdr>
                                                <w:top w:val="none" w:sz="0" w:space="0" w:color="auto"/>
                                                <w:left w:val="none" w:sz="0" w:space="0" w:color="auto"/>
                                                <w:bottom w:val="none" w:sz="0" w:space="0" w:color="auto"/>
                                                <w:right w:val="none" w:sz="0" w:space="0" w:color="auto"/>
                                              </w:divBdr>
                                            </w:div>
                                          </w:divsChild>
                                        </w:div>
                                      </w:divsChild>
                                    </w:div>
                                  </w:divsChild>
                                </w:div>
                                <w:div w:id="1706367437">
                                  <w:marLeft w:val="0"/>
                                  <w:marRight w:val="0"/>
                                  <w:marTop w:val="0"/>
                                  <w:marBottom w:val="0"/>
                                  <w:divBdr>
                                    <w:top w:val="none" w:sz="0" w:space="0" w:color="auto"/>
                                    <w:left w:val="none" w:sz="0" w:space="0" w:color="auto"/>
                                    <w:bottom w:val="none" w:sz="0" w:space="0" w:color="auto"/>
                                    <w:right w:val="none" w:sz="0" w:space="0" w:color="auto"/>
                                  </w:divBdr>
                                  <w:divsChild>
                                    <w:div w:id="1706367398">
                                      <w:marLeft w:val="0"/>
                                      <w:marRight w:val="0"/>
                                      <w:marTop w:val="0"/>
                                      <w:marBottom w:val="0"/>
                                      <w:divBdr>
                                        <w:top w:val="none" w:sz="0" w:space="0" w:color="auto"/>
                                        <w:left w:val="none" w:sz="0" w:space="0" w:color="auto"/>
                                        <w:bottom w:val="none" w:sz="0" w:space="0" w:color="auto"/>
                                        <w:right w:val="none" w:sz="0" w:space="0" w:color="auto"/>
                                      </w:divBdr>
                                      <w:divsChild>
                                        <w:div w:id="1706367444">
                                          <w:marLeft w:val="0"/>
                                          <w:marRight w:val="0"/>
                                          <w:marTop w:val="0"/>
                                          <w:marBottom w:val="0"/>
                                          <w:divBdr>
                                            <w:top w:val="none" w:sz="0" w:space="0" w:color="auto"/>
                                            <w:left w:val="none" w:sz="0" w:space="0" w:color="auto"/>
                                            <w:bottom w:val="none" w:sz="0" w:space="0" w:color="auto"/>
                                            <w:right w:val="none" w:sz="0" w:space="0" w:color="auto"/>
                                          </w:divBdr>
                                          <w:divsChild>
                                            <w:div w:id="1706367348">
                                              <w:marLeft w:val="0"/>
                                              <w:marRight w:val="0"/>
                                              <w:marTop w:val="0"/>
                                              <w:marBottom w:val="0"/>
                                              <w:divBdr>
                                                <w:top w:val="none" w:sz="0" w:space="0" w:color="auto"/>
                                                <w:left w:val="none" w:sz="0" w:space="0" w:color="auto"/>
                                                <w:bottom w:val="none" w:sz="0" w:space="0" w:color="auto"/>
                                                <w:right w:val="none" w:sz="0" w:space="0" w:color="auto"/>
                                              </w:divBdr>
                                            </w:div>
                                            <w:div w:id="17063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367343">
      <w:marLeft w:val="0"/>
      <w:marRight w:val="0"/>
      <w:marTop w:val="0"/>
      <w:marBottom w:val="0"/>
      <w:divBdr>
        <w:top w:val="none" w:sz="0" w:space="0" w:color="auto"/>
        <w:left w:val="none" w:sz="0" w:space="0" w:color="auto"/>
        <w:bottom w:val="none" w:sz="0" w:space="0" w:color="auto"/>
        <w:right w:val="none" w:sz="0" w:space="0" w:color="auto"/>
      </w:divBdr>
    </w:div>
    <w:div w:id="1706367360">
      <w:marLeft w:val="0"/>
      <w:marRight w:val="0"/>
      <w:marTop w:val="0"/>
      <w:marBottom w:val="0"/>
      <w:divBdr>
        <w:top w:val="none" w:sz="0" w:space="0" w:color="auto"/>
        <w:left w:val="none" w:sz="0" w:space="0" w:color="auto"/>
        <w:bottom w:val="none" w:sz="0" w:space="0" w:color="auto"/>
        <w:right w:val="none" w:sz="0" w:space="0" w:color="auto"/>
      </w:divBdr>
    </w:div>
    <w:div w:id="1706367361">
      <w:marLeft w:val="0"/>
      <w:marRight w:val="0"/>
      <w:marTop w:val="0"/>
      <w:marBottom w:val="0"/>
      <w:divBdr>
        <w:top w:val="none" w:sz="0" w:space="0" w:color="auto"/>
        <w:left w:val="none" w:sz="0" w:space="0" w:color="auto"/>
        <w:bottom w:val="none" w:sz="0" w:space="0" w:color="auto"/>
        <w:right w:val="none" w:sz="0" w:space="0" w:color="auto"/>
      </w:divBdr>
    </w:div>
    <w:div w:id="1706367365">
      <w:marLeft w:val="0"/>
      <w:marRight w:val="0"/>
      <w:marTop w:val="0"/>
      <w:marBottom w:val="0"/>
      <w:divBdr>
        <w:top w:val="none" w:sz="0" w:space="0" w:color="auto"/>
        <w:left w:val="none" w:sz="0" w:space="0" w:color="auto"/>
        <w:bottom w:val="none" w:sz="0" w:space="0" w:color="auto"/>
        <w:right w:val="none" w:sz="0" w:space="0" w:color="auto"/>
      </w:divBdr>
    </w:div>
    <w:div w:id="1706367366">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706367411">
              <w:marLeft w:val="180"/>
              <w:marRight w:val="180"/>
              <w:marTop w:val="180"/>
              <w:marBottom w:val="180"/>
              <w:divBdr>
                <w:top w:val="none" w:sz="0" w:space="0" w:color="auto"/>
                <w:left w:val="none" w:sz="0" w:space="0" w:color="auto"/>
                <w:bottom w:val="none" w:sz="0" w:space="0" w:color="auto"/>
                <w:right w:val="none" w:sz="0" w:space="0" w:color="auto"/>
              </w:divBdr>
              <w:divsChild>
                <w:div w:id="1706367429">
                  <w:marLeft w:val="0"/>
                  <w:marRight w:val="0"/>
                  <w:marTop w:val="240"/>
                  <w:marBottom w:val="240"/>
                  <w:divBdr>
                    <w:top w:val="none" w:sz="0" w:space="0" w:color="auto"/>
                    <w:left w:val="none" w:sz="0" w:space="0" w:color="auto"/>
                    <w:bottom w:val="none" w:sz="0" w:space="0" w:color="auto"/>
                    <w:right w:val="none" w:sz="0" w:space="0" w:color="auto"/>
                  </w:divBdr>
                  <w:divsChild>
                    <w:div w:id="1706367440">
                      <w:marLeft w:val="0"/>
                      <w:marRight w:val="0"/>
                      <w:marTop w:val="0"/>
                      <w:marBottom w:val="0"/>
                      <w:divBdr>
                        <w:top w:val="none" w:sz="0" w:space="0" w:color="auto"/>
                        <w:left w:val="none" w:sz="0" w:space="0" w:color="auto"/>
                        <w:bottom w:val="none" w:sz="0" w:space="0" w:color="auto"/>
                        <w:right w:val="none" w:sz="0" w:space="0" w:color="auto"/>
                      </w:divBdr>
                      <w:divsChild>
                        <w:div w:id="1706367445">
                          <w:marLeft w:val="0"/>
                          <w:marRight w:val="0"/>
                          <w:marTop w:val="0"/>
                          <w:marBottom w:val="0"/>
                          <w:divBdr>
                            <w:top w:val="none" w:sz="0" w:space="0" w:color="auto"/>
                            <w:left w:val="none" w:sz="0" w:space="0" w:color="auto"/>
                            <w:bottom w:val="none" w:sz="0" w:space="0" w:color="auto"/>
                            <w:right w:val="none" w:sz="0" w:space="0" w:color="auto"/>
                          </w:divBdr>
                          <w:divsChild>
                            <w:div w:id="1706367331">
                              <w:marLeft w:val="0"/>
                              <w:marRight w:val="0"/>
                              <w:marTop w:val="0"/>
                              <w:marBottom w:val="0"/>
                              <w:divBdr>
                                <w:top w:val="none" w:sz="0" w:space="0" w:color="auto"/>
                                <w:left w:val="none" w:sz="0" w:space="0" w:color="auto"/>
                                <w:bottom w:val="none" w:sz="0" w:space="0" w:color="auto"/>
                                <w:right w:val="none" w:sz="0" w:space="0" w:color="auto"/>
                              </w:divBdr>
                              <w:divsChild>
                                <w:div w:id="1706367342">
                                  <w:marLeft w:val="0"/>
                                  <w:marRight w:val="0"/>
                                  <w:marTop w:val="0"/>
                                  <w:marBottom w:val="0"/>
                                  <w:divBdr>
                                    <w:top w:val="none" w:sz="0" w:space="0" w:color="auto"/>
                                    <w:left w:val="none" w:sz="0" w:space="0" w:color="auto"/>
                                    <w:bottom w:val="none" w:sz="0" w:space="0" w:color="auto"/>
                                    <w:right w:val="none" w:sz="0" w:space="0" w:color="auto"/>
                                  </w:divBdr>
                                  <w:divsChild>
                                    <w:div w:id="1706367330">
                                      <w:marLeft w:val="0"/>
                                      <w:marRight w:val="0"/>
                                      <w:marTop w:val="0"/>
                                      <w:marBottom w:val="0"/>
                                      <w:divBdr>
                                        <w:top w:val="none" w:sz="0" w:space="0" w:color="auto"/>
                                        <w:left w:val="none" w:sz="0" w:space="0" w:color="auto"/>
                                        <w:bottom w:val="none" w:sz="0" w:space="0" w:color="auto"/>
                                        <w:right w:val="none" w:sz="0" w:space="0" w:color="auto"/>
                                      </w:divBdr>
                                      <w:divsChild>
                                        <w:div w:id="17063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67372">
      <w:marLeft w:val="0"/>
      <w:marRight w:val="0"/>
      <w:marTop w:val="0"/>
      <w:marBottom w:val="0"/>
      <w:divBdr>
        <w:top w:val="none" w:sz="0" w:space="0" w:color="auto"/>
        <w:left w:val="none" w:sz="0" w:space="0" w:color="auto"/>
        <w:bottom w:val="none" w:sz="0" w:space="0" w:color="auto"/>
        <w:right w:val="none" w:sz="0" w:space="0" w:color="auto"/>
      </w:divBdr>
    </w:div>
    <w:div w:id="1706367379">
      <w:marLeft w:val="0"/>
      <w:marRight w:val="0"/>
      <w:marTop w:val="0"/>
      <w:marBottom w:val="0"/>
      <w:divBdr>
        <w:top w:val="none" w:sz="0" w:space="0" w:color="auto"/>
        <w:left w:val="none" w:sz="0" w:space="0" w:color="auto"/>
        <w:bottom w:val="none" w:sz="0" w:space="0" w:color="auto"/>
        <w:right w:val="none" w:sz="0" w:space="0" w:color="auto"/>
      </w:divBdr>
      <w:divsChild>
        <w:div w:id="1706367413">
          <w:marLeft w:val="0"/>
          <w:marRight w:val="0"/>
          <w:marTop w:val="0"/>
          <w:marBottom w:val="0"/>
          <w:divBdr>
            <w:top w:val="none" w:sz="0" w:space="0" w:color="auto"/>
            <w:left w:val="none" w:sz="0" w:space="0" w:color="auto"/>
            <w:bottom w:val="none" w:sz="0" w:space="0" w:color="auto"/>
            <w:right w:val="none" w:sz="0" w:space="0" w:color="auto"/>
          </w:divBdr>
          <w:divsChild>
            <w:div w:id="1706367357">
              <w:marLeft w:val="180"/>
              <w:marRight w:val="180"/>
              <w:marTop w:val="180"/>
              <w:marBottom w:val="180"/>
              <w:divBdr>
                <w:top w:val="none" w:sz="0" w:space="0" w:color="auto"/>
                <w:left w:val="none" w:sz="0" w:space="0" w:color="auto"/>
                <w:bottom w:val="none" w:sz="0" w:space="0" w:color="auto"/>
                <w:right w:val="none" w:sz="0" w:space="0" w:color="auto"/>
              </w:divBdr>
              <w:divsChild>
                <w:div w:id="1706367414">
                  <w:marLeft w:val="0"/>
                  <w:marRight w:val="0"/>
                  <w:marTop w:val="240"/>
                  <w:marBottom w:val="240"/>
                  <w:divBdr>
                    <w:top w:val="none" w:sz="0" w:space="0" w:color="auto"/>
                    <w:left w:val="none" w:sz="0" w:space="0" w:color="auto"/>
                    <w:bottom w:val="none" w:sz="0" w:space="0" w:color="auto"/>
                    <w:right w:val="none" w:sz="0" w:space="0" w:color="auto"/>
                  </w:divBdr>
                  <w:divsChild>
                    <w:div w:id="1706367404">
                      <w:marLeft w:val="0"/>
                      <w:marRight w:val="0"/>
                      <w:marTop w:val="0"/>
                      <w:marBottom w:val="0"/>
                      <w:divBdr>
                        <w:top w:val="none" w:sz="0" w:space="0" w:color="auto"/>
                        <w:left w:val="none" w:sz="0" w:space="0" w:color="auto"/>
                        <w:bottom w:val="none" w:sz="0" w:space="0" w:color="auto"/>
                        <w:right w:val="none" w:sz="0" w:space="0" w:color="auto"/>
                      </w:divBdr>
                      <w:divsChild>
                        <w:div w:id="1706367347">
                          <w:marLeft w:val="0"/>
                          <w:marRight w:val="0"/>
                          <w:marTop w:val="0"/>
                          <w:marBottom w:val="0"/>
                          <w:divBdr>
                            <w:top w:val="none" w:sz="0" w:space="0" w:color="auto"/>
                            <w:left w:val="none" w:sz="0" w:space="0" w:color="auto"/>
                            <w:bottom w:val="none" w:sz="0" w:space="0" w:color="auto"/>
                            <w:right w:val="none" w:sz="0" w:space="0" w:color="auto"/>
                          </w:divBdr>
                          <w:divsChild>
                            <w:div w:id="1706367418">
                              <w:marLeft w:val="0"/>
                              <w:marRight w:val="0"/>
                              <w:marTop w:val="0"/>
                              <w:marBottom w:val="0"/>
                              <w:divBdr>
                                <w:top w:val="none" w:sz="0" w:space="0" w:color="auto"/>
                                <w:left w:val="none" w:sz="0" w:space="0" w:color="auto"/>
                                <w:bottom w:val="none" w:sz="0" w:space="0" w:color="auto"/>
                                <w:right w:val="none" w:sz="0" w:space="0" w:color="auto"/>
                              </w:divBdr>
                              <w:divsChild>
                                <w:div w:id="1706367358">
                                  <w:marLeft w:val="0"/>
                                  <w:marRight w:val="0"/>
                                  <w:marTop w:val="0"/>
                                  <w:marBottom w:val="0"/>
                                  <w:divBdr>
                                    <w:top w:val="none" w:sz="0" w:space="0" w:color="auto"/>
                                    <w:left w:val="none" w:sz="0" w:space="0" w:color="auto"/>
                                    <w:bottom w:val="none" w:sz="0" w:space="0" w:color="auto"/>
                                    <w:right w:val="none" w:sz="0" w:space="0" w:color="auto"/>
                                  </w:divBdr>
                                  <w:divsChild>
                                    <w:div w:id="1706367376">
                                      <w:marLeft w:val="0"/>
                                      <w:marRight w:val="0"/>
                                      <w:marTop w:val="0"/>
                                      <w:marBottom w:val="0"/>
                                      <w:divBdr>
                                        <w:top w:val="none" w:sz="0" w:space="0" w:color="auto"/>
                                        <w:left w:val="none" w:sz="0" w:space="0" w:color="auto"/>
                                        <w:bottom w:val="none" w:sz="0" w:space="0" w:color="auto"/>
                                        <w:right w:val="none" w:sz="0" w:space="0" w:color="auto"/>
                                      </w:divBdr>
                                      <w:divsChild>
                                        <w:div w:id="17063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67382">
      <w:marLeft w:val="0"/>
      <w:marRight w:val="0"/>
      <w:marTop w:val="0"/>
      <w:marBottom w:val="0"/>
      <w:divBdr>
        <w:top w:val="none" w:sz="0" w:space="0" w:color="auto"/>
        <w:left w:val="none" w:sz="0" w:space="0" w:color="auto"/>
        <w:bottom w:val="none" w:sz="0" w:space="0" w:color="auto"/>
        <w:right w:val="none" w:sz="0" w:space="0" w:color="auto"/>
      </w:divBdr>
      <w:divsChild>
        <w:div w:id="1706367371">
          <w:marLeft w:val="0"/>
          <w:marRight w:val="0"/>
          <w:marTop w:val="0"/>
          <w:marBottom w:val="0"/>
          <w:divBdr>
            <w:top w:val="none" w:sz="0" w:space="0" w:color="auto"/>
            <w:left w:val="none" w:sz="0" w:space="0" w:color="auto"/>
            <w:bottom w:val="none" w:sz="0" w:space="0" w:color="auto"/>
            <w:right w:val="none" w:sz="0" w:space="0" w:color="auto"/>
          </w:divBdr>
          <w:divsChild>
            <w:div w:id="1706367339">
              <w:marLeft w:val="180"/>
              <w:marRight w:val="180"/>
              <w:marTop w:val="180"/>
              <w:marBottom w:val="180"/>
              <w:divBdr>
                <w:top w:val="none" w:sz="0" w:space="0" w:color="auto"/>
                <w:left w:val="none" w:sz="0" w:space="0" w:color="auto"/>
                <w:bottom w:val="none" w:sz="0" w:space="0" w:color="auto"/>
                <w:right w:val="none" w:sz="0" w:space="0" w:color="auto"/>
              </w:divBdr>
              <w:divsChild>
                <w:div w:id="1706367362">
                  <w:marLeft w:val="0"/>
                  <w:marRight w:val="0"/>
                  <w:marTop w:val="240"/>
                  <w:marBottom w:val="240"/>
                  <w:divBdr>
                    <w:top w:val="none" w:sz="0" w:space="0" w:color="auto"/>
                    <w:left w:val="none" w:sz="0" w:space="0" w:color="auto"/>
                    <w:bottom w:val="none" w:sz="0" w:space="0" w:color="auto"/>
                    <w:right w:val="none" w:sz="0" w:space="0" w:color="auto"/>
                  </w:divBdr>
                  <w:divsChild>
                    <w:div w:id="1706367364">
                      <w:marLeft w:val="0"/>
                      <w:marRight w:val="0"/>
                      <w:marTop w:val="0"/>
                      <w:marBottom w:val="0"/>
                      <w:divBdr>
                        <w:top w:val="none" w:sz="0" w:space="0" w:color="auto"/>
                        <w:left w:val="none" w:sz="0" w:space="0" w:color="auto"/>
                        <w:bottom w:val="none" w:sz="0" w:space="0" w:color="auto"/>
                        <w:right w:val="none" w:sz="0" w:space="0" w:color="auto"/>
                      </w:divBdr>
                      <w:divsChild>
                        <w:div w:id="1706367385">
                          <w:marLeft w:val="0"/>
                          <w:marRight w:val="0"/>
                          <w:marTop w:val="0"/>
                          <w:marBottom w:val="0"/>
                          <w:divBdr>
                            <w:top w:val="none" w:sz="0" w:space="0" w:color="auto"/>
                            <w:left w:val="none" w:sz="0" w:space="0" w:color="auto"/>
                            <w:bottom w:val="none" w:sz="0" w:space="0" w:color="auto"/>
                            <w:right w:val="none" w:sz="0" w:space="0" w:color="auto"/>
                          </w:divBdr>
                          <w:divsChild>
                            <w:div w:id="1706367419">
                              <w:marLeft w:val="0"/>
                              <w:marRight w:val="0"/>
                              <w:marTop w:val="0"/>
                              <w:marBottom w:val="0"/>
                              <w:divBdr>
                                <w:top w:val="none" w:sz="0" w:space="0" w:color="auto"/>
                                <w:left w:val="none" w:sz="0" w:space="0" w:color="auto"/>
                                <w:bottom w:val="none" w:sz="0" w:space="0" w:color="auto"/>
                                <w:right w:val="none" w:sz="0" w:space="0" w:color="auto"/>
                              </w:divBdr>
                              <w:divsChild>
                                <w:div w:id="1706367375">
                                  <w:marLeft w:val="0"/>
                                  <w:marRight w:val="0"/>
                                  <w:marTop w:val="0"/>
                                  <w:marBottom w:val="0"/>
                                  <w:divBdr>
                                    <w:top w:val="none" w:sz="0" w:space="0" w:color="auto"/>
                                    <w:left w:val="none" w:sz="0" w:space="0" w:color="auto"/>
                                    <w:bottom w:val="none" w:sz="0" w:space="0" w:color="auto"/>
                                    <w:right w:val="none" w:sz="0" w:space="0" w:color="auto"/>
                                  </w:divBdr>
                                  <w:divsChild>
                                    <w:div w:id="1706367422">
                                      <w:marLeft w:val="0"/>
                                      <w:marRight w:val="0"/>
                                      <w:marTop w:val="0"/>
                                      <w:marBottom w:val="0"/>
                                      <w:divBdr>
                                        <w:top w:val="none" w:sz="0" w:space="0" w:color="auto"/>
                                        <w:left w:val="none" w:sz="0" w:space="0" w:color="auto"/>
                                        <w:bottom w:val="none" w:sz="0" w:space="0" w:color="auto"/>
                                        <w:right w:val="none" w:sz="0" w:space="0" w:color="auto"/>
                                      </w:divBdr>
                                      <w:divsChild>
                                        <w:div w:id="17063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67386">
      <w:marLeft w:val="0"/>
      <w:marRight w:val="0"/>
      <w:marTop w:val="0"/>
      <w:marBottom w:val="0"/>
      <w:divBdr>
        <w:top w:val="none" w:sz="0" w:space="0" w:color="auto"/>
        <w:left w:val="none" w:sz="0" w:space="0" w:color="auto"/>
        <w:bottom w:val="none" w:sz="0" w:space="0" w:color="auto"/>
        <w:right w:val="none" w:sz="0" w:space="0" w:color="auto"/>
      </w:divBdr>
    </w:div>
    <w:div w:id="1706367390">
      <w:marLeft w:val="0"/>
      <w:marRight w:val="0"/>
      <w:marTop w:val="0"/>
      <w:marBottom w:val="0"/>
      <w:divBdr>
        <w:top w:val="none" w:sz="0" w:space="0" w:color="auto"/>
        <w:left w:val="none" w:sz="0" w:space="0" w:color="auto"/>
        <w:bottom w:val="none" w:sz="0" w:space="0" w:color="auto"/>
        <w:right w:val="none" w:sz="0" w:space="0" w:color="auto"/>
      </w:divBdr>
    </w:div>
    <w:div w:id="1706367392">
      <w:marLeft w:val="0"/>
      <w:marRight w:val="0"/>
      <w:marTop w:val="0"/>
      <w:marBottom w:val="0"/>
      <w:divBdr>
        <w:top w:val="none" w:sz="0" w:space="0" w:color="auto"/>
        <w:left w:val="none" w:sz="0" w:space="0" w:color="auto"/>
        <w:bottom w:val="none" w:sz="0" w:space="0" w:color="auto"/>
        <w:right w:val="none" w:sz="0" w:space="0" w:color="auto"/>
      </w:divBdr>
      <w:divsChild>
        <w:div w:id="1706367367">
          <w:marLeft w:val="0"/>
          <w:marRight w:val="0"/>
          <w:marTop w:val="0"/>
          <w:marBottom w:val="0"/>
          <w:divBdr>
            <w:top w:val="none" w:sz="0" w:space="0" w:color="auto"/>
            <w:left w:val="none" w:sz="0" w:space="0" w:color="auto"/>
            <w:bottom w:val="none" w:sz="0" w:space="0" w:color="auto"/>
            <w:right w:val="none" w:sz="0" w:space="0" w:color="auto"/>
          </w:divBdr>
          <w:divsChild>
            <w:div w:id="1706367426">
              <w:marLeft w:val="0"/>
              <w:marRight w:val="0"/>
              <w:marTop w:val="0"/>
              <w:marBottom w:val="0"/>
              <w:divBdr>
                <w:top w:val="none" w:sz="0" w:space="0" w:color="auto"/>
                <w:left w:val="none" w:sz="0" w:space="0" w:color="auto"/>
                <w:bottom w:val="none" w:sz="0" w:space="0" w:color="auto"/>
                <w:right w:val="none" w:sz="0" w:space="0" w:color="auto"/>
              </w:divBdr>
              <w:divsChild>
                <w:div w:id="1706367346">
                  <w:marLeft w:val="0"/>
                  <w:marRight w:val="0"/>
                  <w:marTop w:val="0"/>
                  <w:marBottom w:val="0"/>
                  <w:divBdr>
                    <w:top w:val="none" w:sz="0" w:space="0" w:color="auto"/>
                    <w:left w:val="none" w:sz="0" w:space="0" w:color="auto"/>
                    <w:bottom w:val="none" w:sz="0" w:space="0" w:color="auto"/>
                    <w:right w:val="none" w:sz="0" w:space="0" w:color="auto"/>
                  </w:divBdr>
                  <w:divsChild>
                    <w:div w:id="17063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7402">
      <w:marLeft w:val="0"/>
      <w:marRight w:val="0"/>
      <w:marTop w:val="0"/>
      <w:marBottom w:val="0"/>
      <w:divBdr>
        <w:top w:val="none" w:sz="0" w:space="0" w:color="auto"/>
        <w:left w:val="none" w:sz="0" w:space="0" w:color="auto"/>
        <w:bottom w:val="none" w:sz="0" w:space="0" w:color="auto"/>
        <w:right w:val="none" w:sz="0" w:space="0" w:color="auto"/>
      </w:divBdr>
    </w:div>
    <w:div w:id="1706367408">
      <w:marLeft w:val="0"/>
      <w:marRight w:val="0"/>
      <w:marTop w:val="0"/>
      <w:marBottom w:val="0"/>
      <w:divBdr>
        <w:top w:val="none" w:sz="0" w:space="0" w:color="auto"/>
        <w:left w:val="none" w:sz="0" w:space="0" w:color="auto"/>
        <w:bottom w:val="none" w:sz="0" w:space="0" w:color="auto"/>
        <w:right w:val="none" w:sz="0" w:space="0" w:color="auto"/>
      </w:divBdr>
      <w:divsChild>
        <w:div w:id="1706367428">
          <w:marLeft w:val="0"/>
          <w:marRight w:val="0"/>
          <w:marTop w:val="0"/>
          <w:marBottom w:val="0"/>
          <w:divBdr>
            <w:top w:val="none" w:sz="0" w:space="0" w:color="auto"/>
            <w:left w:val="none" w:sz="0" w:space="0" w:color="auto"/>
            <w:bottom w:val="none" w:sz="0" w:space="0" w:color="auto"/>
            <w:right w:val="none" w:sz="0" w:space="0" w:color="auto"/>
          </w:divBdr>
          <w:divsChild>
            <w:div w:id="1706367394">
              <w:marLeft w:val="180"/>
              <w:marRight w:val="180"/>
              <w:marTop w:val="180"/>
              <w:marBottom w:val="180"/>
              <w:divBdr>
                <w:top w:val="none" w:sz="0" w:space="0" w:color="auto"/>
                <w:left w:val="none" w:sz="0" w:space="0" w:color="auto"/>
                <w:bottom w:val="none" w:sz="0" w:space="0" w:color="auto"/>
                <w:right w:val="none" w:sz="0" w:space="0" w:color="auto"/>
              </w:divBdr>
              <w:divsChild>
                <w:div w:id="1706367416">
                  <w:marLeft w:val="0"/>
                  <w:marRight w:val="0"/>
                  <w:marTop w:val="240"/>
                  <w:marBottom w:val="240"/>
                  <w:divBdr>
                    <w:top w:val="none" w:sz="0" w:space="0" w:color="auto"/>
                    <w:left w:val="none" w:sz="0" w:space="0" w:color="auto"/>
                    <w:bottom w:val="none" w:sz="0" w:space="0" w:color="auto"/>
                    <w:right w:val="none" w:sz="0" w:space="0" w:color="auto"/>
                  </w:divBdr>
                  <w:divsChild>
                    <w:div w:id="1706367448">
                      <w:marLeft w:val="0"/>
                      <w:marRight w:val="0"/>
                      <w:marTop w:val="0"/>
                      <w:marBottom w:val="0"/>
                      <w:divBdr>
                        <w:top w:val="none" w:sz="0" w:space="0" w:color="auto"/>
                        <w:left w:val="none" w:sz="0" w:space="0" w:color="auto"/>
                        <w:bottom w:val="none" w:sz="0" w:space="0" w:color="auto"/>
                        <w:right w:val="none" w:sz="0" w:space="0" w:color="auto"/>
                      </w:divBdr>
                      <w:divsChild>
                        <w:div w:id="1706367381">
                          <w:marLeft w:val="0"/>
                          <w:marRight w:val="0"/>
                          <w:marTop w:val="0"/>
                          <w:marBottom w:val="0"/>
                          <w:divBdr>
                            <w:top w:val="none" w:sz="0" w:space="0" w:color="auto"/>
                            <w:left w:val="none" w:sz="0" w:space="0" w:color="auto"/>
                            <w:bottom w:val="none" w:sz="0" w:space="0" w:color="auto"/>
                            <w:right w:val="none" w:sz="0" w:space="0" w:color="auto"/>
                          </w:divBdr>
                          <w:divsChild>
                            <w:div w:id="1706367397">
                              <w:marLeft w:val="0"/>
                              <w:marRight w:val="0"/>
                              <w:marTop w:val="0"/>
                              <w:marBottom w:val="0"/>
                              <w:divBdr>
                                <w:top w:val="none" w:sz="0" w:space="0" w:color="auto"/>
                                <w:left w:val="none" w:sz="0" w:space="0" w:color="auto"/>
                                <w:bottom w:val="none" w:sz="0" w:space="0" w:color="auto"/>
                                <w:right w:val="none" w:sz="0" w:space="0" w:color="auto"/>
                              </w:divBdr>
                              <w:divsChild>
                                <w:div w:id="1706367389">
                                  <w:marLeft w:val="0"/>
                                  <w:marRight w:val="0"/>
                                  <w:marTop w:val="0"/>
                                  <w:marBottom w:val="0"/>
                                  <w:divBdr>
                                    <w:top w:val="none" w:sz="0" w:space="0" w:color="auto"/>
                                    <w:left w:val="none" w:sz="0" w:space="0" w:color="auto"/>
                                    <w:bottom w:val="none" w:sz="0" w:space="0" w:color="auto"/>
                                    <w:right w:val="none" w:sz="0" w:space="0" w:color="auto"/>
                                  </w:divBdr>
                                  <w:divsChild>
                                    <w:div w:id="1706367349">
                                      <w:marLeft w:val="0"/>
                                      <w:marRight w:val="0"/>
                                      <w:marTop w:val="0"/>
                                      <w:marBottom w:val="0"/>
                                      <w:divBdr>
                                        <w:top w:val="none" w:sz="0" w:space="0" w:color="auto"/>
                                        <w:left w:val="none" w:sz="0" w:space="0" w:color="auto"/>
                                        <w:bottom w:val="none" w:sz="0" w:space="0" w:color="auto"/>
                                        <w:right w:val="none" w:sz="0" w:space="0" w:color="auto"/>
                                      </w:divBdr>
                                      <w:divsChild>
                                        <w:div w:id="17063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67415">
      <w:marLeft w:val="0"/>
      <w:marRight w:val="0"/>
      <w:marTop w:val="0"/>
      <w:marBottom w:val="0"/>
      <w:divBdr>
        <w:top w:val="none" w:sz="0" w:space="0" w:color="auto"/>
        <w:left w:val="none" w:sz="0" w:space="0" w:color="auto"/>
        <w:bottom w:val="none" w:sz="0" w:space="0" w:color="auto"/>
        <w:right w:val="none" w:sz="0" w:space="0" w:color="auto"/>
      </w:divBdr>
      <w:divsChild>
        <w:div w:id="1706367435">
          <w:marLeft w:val="0"/>
          <w:marRight w:val="0"/>
          <w:marTop w:val="0"/>
          <w:marBottom w:val="0"/>
          <w:divBdr>
            <w:top w:val="none" w:sz="0" w:space="0" w:color="auto"/>
            <w:left w:val="none" w:sz="0" w:space="0" w:color="auto"/>
            <w:bottom w:val="none" w:sz="0" w:space="0" w:color="auto"/>
            <w:right w:val="none" w:sz="0" w:space="0" w:color="auto"/>
          </w:divBdr>
          <w:divsChild>
            <w:div w:id="1706367356">
              <w:marLeft w:val="180"/>
              <w:marRight w:val="180"/>
              <w:marTop w:val="180"/>
              <w:marBottom w:val="180"/>
              <w:divBdr>
                <w:top w:val="none" w:sz="0" w:space="0" w:color="auto"/>
                <w:left w:val="none" w:sz="0" w:space="0" w:color="auto"/>
                <w:bottom w:val="none" w:sz="0" w:space="0" w:color="auto"/>
                <w:right w:val="none" w:sz="0" w:space="0" w:color="auto"/>
              </w:divBdr>
              <w:divsChild>
                <w:div w:id="1706367341">
                  <w:marLeft w:val="0"/>
                  <w:marRight w:val="0"/>
                  <w:marTop w:val="240"/>
                  <w:marBottom w:val="240"/>
                  <w:divBdr>
                    <w:top w:val="none" w:sz="0" w:space="0" w:color="auto"/>
                    <w:left w:val="none" w:sz="0" w:space="0" w:color="auto"/>
                    <w:bottom w:val="none" w:sz="0" w:space="0" w:color="auto"/>
                    <w:right w:val="none" w:sz="0" w:space="0" w:color="auto"/>
                  </w:divBdr>
                  <w:divsChild>
                    <w:div w:id="1706367380">
                      <w:marLeft w:val="0"/>
                      <w:marRight w:val="0"/>
                      <w:marTop w:val="0"/>
                      <w:marBottom w:val="0"/>
                      <w:divBdr>
                        <w:top w:val="none" w:sz="0" w:space="0" w:color="auto"/>
                        <w:left w:val="none" w:sz="0" w:space="0" w:color="auto"/>
                        <w:bottom w:val="none" w:sz="0" w:space="0" w:color="auto"/>
                        <w:right w:val="none" w:sz="0" w:space="0" w:color="auto"/>
                      </w:divBdr>
                      <w:divsChild>
                        <w:div w:id="1706367377">
                          <w:marLeft w:val="0"/>
                          <w:marRight w:val="0"/>
                          <w:marTop w:val="0"/>
                          <w:marBottom w:val="0"/>
                          <w:divBdr>
                            <w:top w:val="none" w:sz="0" w:space="0" w:color="auto"/>
                            <w:left w:val="none" w:sz="0" w:space="0" w:color="auto"/>
                            <w:bottom w:val="none" w:sz="0" w:space="0" w:color="auto"/>
                            <w:right w:val="none" w:sz="0" w:space="0" w:color="auto"/>
                          </w:divBdr>
                          <w:divsChild>
                            <w:div w:id="1706367432">
                              <w:marLeft w:val="0"/>
                              <w:marRight w:val="0"/>
                              <w:marTop w:val="0"/>
                              <w:marBottom w:val="0"/>
                              <w:divBdr>
                                <w:top w:val="none" w:sz="0" w:space="0" w:color="auto"/>
                                <w:left w:val="none" w:sz="0" w:space="0" w:color="auto"/>
                                <w:bottom w:val="none" w:sz="0" w:space="0" w:color="auto"/>
                                <w:right w:val="none" w:sz="0" w:space="0" w:color="auto"/>
                              </w:divBdr>
                              <w:divsChild>
                                <w:div w:id="1706367400">
                                  <w:marLeft w:val="0"/>
                                  <w:marRight w:val="0"/>
                                  <w:marTop w:val="0"/>
                                  <w:marBottom w:val="0"/>
                                  <w:divBdr>
                                    <w:top w:val="none" w:sz="0" w:space="0" w:color="auto"/>
                                    <w:left w:val="none" w:sz="0" w:space="0" w:color="auto"/>
                                    <w:bottom w:val="none" w:sz="0" w:space="0" w:color="auto"/>
                                    <w:right w:val="none" w:sz="0" w:space="0" w:color="auto"/>
                                  </w:divBdr>
                                  <w:divsChild>
                                    <w:div w:id="1706367384">
                                      <w:marLeft w:val="0"/>
                                      <w:marRight w:val="0"/>
                                      <w:marTop w:val="0"/>
                                      <w:marBottom w:val="0"/>
                                      <w:divBdr>
                                        <w:top w:val="none" w:sz="0" w:space="0" w:color="auto"/>
                                        <w:left w:val="none" w:sz="0" w:space="0" w:color="auto"/>
                                        <w:bottom w:val="none" w:sz="0" w:space="0" w:color="auto"/>
                                        <w:right w:val="none" w:sz="0" w:space="0" w:color="auto"/>
                                      </w:divBdr>
                                      <w:divsChild>
                                        <w:div w:id="17063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67420">
      <w:marLeft w:val="0"/>
      <w:marRight w:val="0"/>
      <w:marTop w:val="0"/>
      <w:marBottom w:val="0"/>
      <w:divBdr>
        <w:top w:val="none" w:sz="0" w:space="0" w:color="auto"/>
        <w:left w:val="none" w:sz="0" w:space="0" w:color="auto"/>
        <w:bottom w:val="none" w:sz="0" w:space="0" w:color="auto"/>
        <w:right w:val="none" w:sz="0" w:space="0" w:color="auto"/>
      </w:divBdr>
      <w:divsChild>
        <w:div w:id="1706367441">
          <w:marLeft w:val="0"/>
          <w:marRight w:val="0"/>
          <w:marTop w:val="0"/>
          <w:marBottom w:val="0"/>
          <w:divBdr>
            <w:top w:val="none" w:sz="0" w:space="0" w:color="auto"/>
            <w:left w:val="none" w:sz="0" w:space="0" w:color="auto"/>
            <w:bottom w:val="none" w:sz="0" w:space="0" w:color="auto"/>
            <w:right w:val="none" w:sz="0" w:space="0" w:color="auto"/>
          </w:divBdr>
          <w:divsChild>
            <w:div w:id="1706367401">
              <w:marLeft w:val="180"/>
              <w:marRight w:val="180"/>
              <w:marTop w:val="180"/>
              <w:marBottom w:val="180"/>
              <w:divBdr>
                <w:top w:val="none" w:sz="0" w:space="0" w:color="auto"/>
                <w:left w:val="none" w:sz="0" w:space="0" w:color="auto"/>
                <w:bottom w:val="none" w:sz="0" w:space="0" w:color="auto"/>
                <w:right w:val="none" w:sz="0" w:space="0" w:color="auto"/>
              </w:divBdr>
              <w:divsChild>
                <w:div w:id="1706367447">
                  <w:marLeft w:val="0"/>
                  <w:marRight w:val="0"/>
                  <w:marTop w:val="240"/>
                  <w:marBottom w:val="240"/>
                  <w:divBdr>
                    <w:top w:val="none" w:sz="0" w:space="0" w:color="auto"/>
                    <w:left w:val="none" w:sz="0" w:space="0" w:color="auto"/>
                    <w:bottom w:val="none" w:sz="0" w:space="0" w:color="auto"/>
                    <w:right w:val="none" w:sz="0" w:space="0" w:color="auto"/>
                  </w:divBdr>
                  <w:divsChild>
                    <w:div w:id="1706367443">
                      <w:marLeft w:val="0"/>
                      <w:marRight w:val="0"/>
                      <w:marTop w:val="0"/>
                      <w:marBottom w:val="0"/>
                      <w:divBdr>
                        <w:top w:val="none" w:sz="0" w:space="0" w:color="auto"/>
                        <w:left w:val="none" w:sz="0" w:space="0" w:color="auto"/>
                        <w:bottom w:val="none" w:sz="0" w:space="0" w:color="auto"/>
                        <w:right w:val="none" w:sz="0" w:space="0" w:color="auto"/>
                      </w:divBdr>
                      <w:divsChild>
                        <w:div w:id="1706367352">
                          <w:marLeft w:val="0"/>
                          <w:marRight w:val="0"/>
                          <w:marTop w:val="0"/>
                          <w:marBottom w:val="0"/>
                          <w:divBdr>
                            <w:top w:val="none" w:sz="0" w:space="0" w:color="auto"/>
                            <w:left w:val="none" w:sz="0" w:space="0" w:color="auto"/>
                            <w:bottom w:val="none" w:sz="0" w:space="0" w:color="auto"/>
                            <w:right w:val="none" w:sz="0" w:space="0" w:color="auto"/>
                          </w:divBdr>
                          <w:divsChild>
                            <w:div w:id="1706367410">
                              <w:marLeft w:val="0"/>
                              <w:marRight w:val="0"/>
                              <w:marTop w:val="0"/>
                              <w:marBottom w:val="0"/>
                              <w:divBdr>
                                <w:top w:val="none" w:sz="0" w:space="0" w:color="auto"/>
                                <w:left w:val="none" w:sz="0" w:space="0" w:color="auto"/>
                                <w:bottom w:val="none" w:sz="0" w:space="0" w:color="auto"/>
                                <w:right w:val="none" w:sz="0" w:space="0" w:color="auto"/>
                              </w:divBdr>
                              <w:divsChild>
                                <w:div w:id="1706367333">
                                  <w:marLeft w:val="0"/>
                                  <w:marRight w:val="0"/>
                                  <w:marTop w:val="0"/>
                                  <w:marBottom w:val="0"/>
                                  <w:divBdr>
                                    <w:top w:val="none" w:sz="0" w:space="0" w:color="auto"/>
                                    <w:left w:val="none" w:sz="0" w:space="0" w:color="auto"/>
                                    <w:bottom w:val="none" w:sz="0" w:space="0" w:color="auto"/>
                                    <w:right w:val="none" w:sz="0" w:space="0" w:color="auto"/>
                                  </w:divBdr>
                                  <w:divsChild>
                                    <w:div w:id="1706367409">
                                      <w:marLeft w:val="0"/>
                                      <w:marRight w:val="0"/>
                                      <w:marTop w:val="0"/>
                                      <w:marBottom w:val="0"/>
                                      <w:divBdr>
                                        <w:top w:val="none" w:sz="0" w:space="0" w:color="auto"/>
                                        <w:left w:val="none" w:sz="0" w:space="0" w:color="auto"/>
                                        <w:bottom w:val="none" w:sz="0" w:space="0" w:color="auto"/>
                                        <w:right w:val="none" w:sz="0" w:space="0" w:color="auto"/>
                                      </w:divBdr>
                                      <w:divsChild>
                                        <w:div w:id="17063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67421">
      <w:marLeft w:val="0"/>
      <w:marRight w:val="0"/>
      <w:marTop w:val="0"/>
      <w:marBottom w:val="0"/>
      <w:divBdr>
        <w:top w:val="none" w:sz="0" w:space="0" w:color="auto"/>
        <w:left w:val="none" w:sz="0" w:space="0" w:color="auto"/>
        <w:bottom w:val="none" w:sz="0" w:space="0" w:color="auto"/>
        <w:right w:val="none" w:sz="0" w:space="0" w:color="auto"/>
      </w:divBdr>
    </w:div>
    <w:div w:id="1706367424">
      <w:marLeft w:val="0"/>
      <w:marRight w:val="0"/>
      <w:marTop w:val="0"/>
      <w:marBottom w:val="0"/>
      <w:divBdr>
        <w:top w:val="none" w:sz="0" w:space="0" w:color="auto"/>
        <w:left w:val="none" w:sz="0" w:space="0" w:color="auto"/>
        <w:bottom w:val="none" w:sz="0" w:space="0" w:color="auto"/>
        <w:right w:val="none" w:sz="0" w:space="0" w:color="auto"/>
      </w:divBdr>
      <w:divsChild>
        <w:div w:id="1706367423">
          <w:marLeft w:val="0"/>
          <w:marRight w:val="0"/>
          <w:marTop w:val="0"/>
          <w:marBottom w:val="0"/>
          <w:divBdr>
            <w:top w:val="none" w:sz="0" w:space="0" w:color="auto"/>
            <w:left w:val="none" w:sz="0" w:space="0" w:color="auto"/>
            <w:bottom w:val="none" w:sz="0" w:space="0" w:color="auto"/>
            <w:right w:val="none" w:sz="0" w:space="0" w:color="auto"/>
          </w:divBdr>
          <w:divsChild>
            <w:div w:id="1706367387">
              <w:marLeft w:val="180"/>
              <w:marRight w:val="180"/>
              <w:marTop w:val="180"/>
              <w:marBottom w:val="180"/>
              <w:divBdr>
                <w:top w:val="none" w:sz="0" w:space="0" w:color="auto"/>
                <w:left w:val="none" w:sz="0" w:space="0" w:color="auto"/>
                <w:bottom w:val="none" w:sz="0" w:space="0" w:color="auto"/>
                <w:right w:val="none" w:sz="0" w:space="0" w:color="auto"/>
              </w:divBdr>
              <w:divsChild>
                <w:div w:id="1706367350">
                  <w:marLeft w:val="0"/>
                  <w:marRight w:val="0"/>
                  <w:marTop w:val="240"/>
                  <w:marBottom w:val="240"/>
                  <w:divBdr>
                    <w:top w:val="none" w:sz="0" w:space="0" w:color="auto"/>
                    <w:left w:val="none" w:sz="0" w:space="0" w:color="auto"/>
                    <w:bottom w:val="none" w:sz="0" w:space="0" w:color="auto"/>
                    <w:right w:val="none" w:sz="0" w:space="0" w:color="auto"/>
                  </w:divBdr>
                  <w:divsChild>
                    <w:div w:id="1706367340">
                      <w:marLeft w:val="0"/>
                      <w:marRight w:val="0"/>
                      <w:marTop w:val="0"/>
                      <w:marBottom w:val="0"/>
                      <w:divBdr>
                        <w:top w:val="none" w:sz="0" w:space="0" w:color="auto"/>
                        <w:left w:val="none" w:sz="0" w:space="0" w:color="auto"/>
                        <w:bottom w:val="none" w:sz="0" w:space="0" w:color="auto"/>
                        <w:right w:val="none" w:sz="0" w:space="0" w:color="auto"/>
                      </w:divBdr>
                      <w:divsChild>
                        <w:div w:id="1706367427">
                          <w:marLeft w:val="0"/>
                          <w:marRight w:val="0"/>
                          <w:marTop w:val="0"/>
                          <w:marBottom w:val="0"/>
                          <w:divBdr>
                            <w:top w:val="none" w:sz="0" w:space="0" w:color="auto"/>
                            <w:left w:val="none" w:sz="0" w:space="0" w:color="auto"/>
                            <w:bottom w:val="none" w:sz="0" w:space="0" w:color="auto"/>
                            <w:right w:val="none" w:sz="0" w:space="0" w:color="auto"/>
                          </w:divBdr>
                          <w:divsChild>
                            <w:div w:id="1706367388">
                              <w:marLeft w:val="0"/>
                              <w:marRight w:val="0"/>
                              <w:marTop w:val="0"/>
                              <w:marBottom w:val="0"/>
                              <w:divBdr>
                                <w:top w:val="none" w:sz="0" w:space="0" w:color="auto"/>
                                <w:left w:val="none" w:sz="0" w:space="0" w:color="auto"/>
                                <w:bottom w:val="none" w:sz="0" w:space="0" w:color="auto"/>
                                <w:right w:val="none" w:sz="0" w:space="0" w:color="auto"/>
                              </w:divBdr>
                              <w:divsChild>
                                <w:div w:id="1706367359">
                                  <w:marLeft w:val="0"/>
                                  <w:marRight w:val="0"/>
                                  <w:marTop w:val="0"/>
                                  <w:marBottom w:val="0"/>
                                  <w:divBdr>
                                    <w:top w:val="none" w:sz="0" w:space="0" w:color="auto"/>
                                    <w:left w:val="none" w:sz="0" w:space="0" w:color="auto"/>
                                    <w:bottom w:val="none" w:sz="0" w:space="0" w:color="auto"/>
                                    <w:right w:val="none" w:sz="0" w:space="0" w:color="auto"/>
                                  </w:divBdr>
                                  <w:divsChild>
                                    <w:div w:id="1706367351">
                                      <w:marLeft w:val="0"/>
                                      <w:marRight w:val="0"/>
                                      <w:marTop w:val="0"/>
                                      <w:marBottom w:val="0"/>
                                      <w:divBdr>
                                        <w:top w:val="none" w:sz="0" w:space="0" w:color="auto"/>
                                        <w:left w:val="none" w:sz="0" w:space="0" w:color="auto"/>
                                        <w:bottom w:val="none" w:sz="0" w:space="0" w:color="auto"/>
                                        <w:right w:val="none" w:sz="0" w:space="0" w:color="auto"/>
                                      </w:divBdr>
                                      <w:divsChild>
                                        <w:div w:id="17063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67433">
      <w:marLeft w:val="0"/>
      <w:marRight w:val="0"/>
      <w:marTop w:val="0"/>
      <w:marBottom w:val="0"/>
      <w:divBdr>
        <w:top w:val="none" w:sz="0" w:space="0" w:color="auto"/>
        <w:left w:val="none" w:sz="0" w:space="0" w:color="auto"/>
        <w:bottom w:val="none" w:sz="0" w:space="0" w:color="auto"/>
        <w:right w:val="none" w:sz="0" w:space="0" w:color="auto"/>
      </w:divBdr>
    </w:div>
    <w:div w:id="1706367436">
      <w:marLeft w:val="0"/>
      <w:marRight w:val="0"/>
      <w:marTop w:val="0"/>
      <w:marBottom w:val="0"/>
      <w:divBdr>
        <w:top w:val="none" w:sz="0" w:space="0" w:color="auto"/>
        <w:left w:val="none" w:sz="0" w:space="0" w:color="auto"/>
        <w:bottom w:val="none" w:sz="0" w:space="0" w:color="auto"/>
        <w:right w:val="none" w:sz="0" w:space="0" w:color="auto"/>
      </w:divBdr>
      <w:divsChild>
        <w:div w:id="1706367393">
          <w:marLeft w:val="0"/>
          <w:marRight w:val="0"/>
          <w:marTop w:val="0"/>
          <w:marBottom w:val="0"/>
          <w:divBdr>
            <w:top w:val="none" w:sz="0" w:space="0" w:color="auto"/>
            <w:left w:val="none" w:sz="0" w:space="0" w:color="auto"/>
            <w:bottom w:val="none" w:sz="0" w:space="0" w:color="auto"/>
            <w:right w:val="none" w:sz="0" w:space="0" w:color="auto"/>
          </w:divBdr>
          <w:divsChild>
            <w:div w:id="1706367395">
              <w:marLeft w:val="0"/>
              <w:marRight w:val="0"/>
              <w:marTop w:val="0"/>
              <w:marBottom w:val="0"/>
              <w:divBdr>
                <w:top w:val="none" w:sz="0" w:space="0" w:color="auto"/>
                <w:left w:val="none" w:sz="0" w:space="0" w:color="auto"/>
                <w:bottom w:val="none" w:sz="0" w:space="0" w:color="auto"/>
                <w:right w:val="none" w:sz="0" w:space="0" w:color="auto"/>
              </w:divBdr>
              <w:divsChild>
                <w:div w:id="1706367405">
                  <w:marLeft w:val="0"/>
                  <w:marRight w:val="0"/>
                  <w:marTop w:val="0"/>
                  <w:marBottom w:val="0"/>
                  <w:divBdr>
                    <w:top w:val="none" w:sz="0" w:space="0" w:color="auto"/>
                    <w:left w:val="none" w:sz="0" w:space="0" w:color="auto"/>
                    <w:bottom w:val="none" w:sz="0" w:space="0" w:color="auto"/>
                    <w:right w:val="none" w:sz="0" w:space="0" w:color="auto"/>
                  </w:divBdr>
                  <w:divsChild>
                    <w:div w:id="1706367370">
                      <w:marLeft w:val="0"/>
                      <w:marRight w:val="0"/>
                      <w:marTop w:val="0"/>
                      <w:marBottom w:val="0"/>
                      <w:divBdr>
                        <w:top w:val="none" w:sz="0" w:space="0" w:color="auto"/>
                        <w:left w:val="none" w:sz="0" w:space="0" w:color="auto"/>
                        <w:bottom w:val="none" w:sz="0" w:space="0" w:color="auto"/>
                        <w:right w:val="none" w:sz="0" w:space="0" w:color="auto"/>
                      </w:divBdr>
                      <w:divsChild>
                        <w:div w:id="17063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67439">
      <w:marLeft w:val="0"/>
      <w:marRight w:val="0"/>
      <w:marTop w:val="0"/>
      <w:marBottom w:val="0"/>
      <w:divBdr>
        <w:top w:val="none" w:sz="0" w:space="0" w:color="auto"/>
        <w:left w:val="none" w:sz="0" w:space="0" w:color="auto"/>
        <w:bottom w:val="none" w:sz="0" w:space="0" w:color="auto"/>
        <w:right w:val="none" w:sz="0" w:space="0" w:color="auto"/>
      </w:divBdr>
    </w:div>
    <w:div w:id="1706367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rg-en-gezondheid.be/uploadedFiles/NLsite_v2/Cijfers/Cijfers_over_geboorte_en_bevalling/SPE_jaarrapport%202010.pdf" TargetMode="External"/><Relationship Id="rId13" Type="http://schemas.openxmlformats.org/officeDocument/2006/relationships/hyperlink" Target="http://statbel.fgov.be/nl/statistieken/organisatie/adsei/" TargetMode="External"/><Relationship Id="rId18" Type="http://schemas.openxmlformats.org/officeDocument/2006/relationships/hyperlink" Target="http://www.zorg-en-gezondheid.be/Cijfers/Geboorte-en-bevalling/Woonplaats-van-de-moeder/" TargetMode="External"/><Relationship Id="rId3" Type="http://schemas.openxmlformats.org/officeDocument/2006/relationships/settings" Target="settings.xml"/><Relationship Id="rId21" Type="http://schemas.openxmlformats.org/officeDocument/2006/relationships/hyperlink" Target="http://www.vwvj.be/" TargetMode="External"/><Relationship Id="rId7" Type="http://schemas.openxmlformats.org/officeDocument/2006/relationships/hyperlink" Target="http://www.kindengezin.be/img/vooruitberekening-2009-2015.pdf" TargetMode="External"/><Relationship Id="rId12" Type="http://schemas.openxmlformats.org/officeDocument/2006/relationships/hyperlink" Target="https://www.ehealth.fgov.be/nl/application/applications/EBIRTH.htm" TargetMode="External"/><Relationship Id="rId17" Type="http://schemas.openxmlformats.org/officeDocument/2006/relationships/hyperlink" Target="http://www.health.belgium.be/eportal/Healthcare/Consultativebodies/Doctorscolleges/Motherandnewborn/index.htm?fodnlang=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org-en-gezondheid.be/Cijfers/Geboorte-en-bevalling/Woonplaats-van-de-moeder/" TargetMode="External"/><Relationship Id="rId20" Type="http://schemas.openxmlformats.org/officeDocument/2006/relationships/hyperlink" Target="http://www.vaph.be/vlafo/view/nl/859237-Centra+voor+ontwikkelingsstoornissen+bij+Vlaams+Fon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dict.belgium.be/nl/gegevensuitwisseling/combinatie_van_gegevens/detailfiches/ebirth.js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4.vlaanderen.be/sites/svr/Cijfers/Pages/Excel.aspx" TargetMode="External"/><Relationship Id="rId23" Type="http://schemas.openxmlformats.org/officeDocument/2006/relationships/hyperlink" Target="http://www.zorg-en-gezondheid.be/WorkArea/linkit.aspx?LinkIdentifier=id&amp;ItemID=21534" TargetMode="External"/><Relationship Id="rId10" Type="http://schemas.openxmlformats.org/officeDocument/2006/relationships/hyperlink" Target="http://www.zorg-en-gezondheid.be/Cijfers/Geboorte-en-bevalling/Woonplaats-van-de-moeder" TargetMode="External"/><Relationship Id="rId19" Type="http://schemas.openxmlformats.org/officeDocument/2006/relationships/hyperlink" Target="http://www.handicap-ambulant.be/index.php?doc=prematuren" TargetMode="External"/><Relationship Id="rId4" Type="http://schemas.openxmlformats.org/officeDocument/2006/relationships/webSettings" Target="webSettings.xml"/><Relationship Id="rId9" Type="http://schemas.openxmlformats.org/officeDocument/2006/relationships/hyperlink" Target="http://www.zorg-en-gezondheid.be/Cijfers/Over-deze-cijfers/Databestand--geboortecertificaten-en-sterftecertificaten-zuigelingen-(kinderen-jonger-dan-1-jaar" TargetMode="External"/><Relationship Id="rId14" Type="http://schemas.openxmlformats.org/officeDocument/2006/relationships/hyperlink" Target="http://statbel.fgov.be/nl/statistieken/organisatie/adsei/" TargetMode="External"/><Relationship Id="rId22" Type="http://schemas.openxmlformats.org/officeDocument/2006/relationships/hyperlink" Target="http://www.zorg-en-gezondheid.be/Zorgaanbod/Preventieve-gezondheidszorg/Partnerorganisaties/Vlaamse-Wetenschappelijke-Vereniging-voor-Jeugdgezondheidsz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jablonen\Sjabloon%20antwo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antwoord</Template>
  <TotalTime>3</TotalTime>
  <Pages>6</Pages>
  <Words>2884</Words>
  <Characters>15866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Verleyda</dc:creator>
  <cp:keywords/>
  <dc:description/>
  <cp:lastModifiedBy>Vlaams Parlement</cp:lastModifiedBy>
  <cp:revision>2</cp:revision>
  <cp:lastPrinted>2011-12-21T16:36:00Z</cp:lastPrinted>
  <dcterms:created xsi:type="dcterms:W3CDTF">2011-12-21T16:36:00Z</dcterms:created>
  <dcterms:modified xsi:type="dcterms:W3CDTF">2011-12-21T16:36:00Z</dcterms:modified>
</cp:coreProperties>
</file>