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15" w:rsidRPr="00A8473D" w:rsidRDefault="00717715"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717715" w:rsidRDefault="00717715"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717715" w:rsidRDefault="00717715">
      <w:pPr>
        <w:pBdr>
          <w:bottom w:val="single" w:sz="4" w:space="1" w:color="auto"/>
        </w:pBdr>
        <w:rPr>
          <w:sz w:val="22"/>
        </w:rPr>
      </w:pPr>
    </w:p>
    <w:p w:rsidR="00717715" w:rsidRDefault="00717715">
      <w:pPr>
        <w:rPr>
          <w:sz w:val="22"/>
        </w:rPr>
      </w:pPr>
    </w:p>
    <w:p w:rsidR="00717715" w:rsidRDefault="00717715" w:rsidP="00045E43">
      <w:pPr>
        <w:rPr>
          <w:b/>
          <w:smallCaps/>
          <w:sz w:val="22"/>
        </w:rPr>
      </w:pPr>
      <w:r>
        <w:rPr>
          <w:b/>
          <w:smallCaps/>
          <w:sz w:val="22"/>
        </w:rPr>
        <w:t>antwoord</w:t>
      </w:r>
    </w:p>
    <w:p w:rsidR="00717715" w:rsidRDefault="00717715" w:rsidP="00045E43">
      <w:pPr>
        <w:rPr>
          <w:sz w:val="22"/>
        </w:rPr>
      </w:pPr>
      <w:r>
        <w:rPr>
          <w:sz w:val="22"/>
        </w:rPr>
        <w:t>op vraag nr. 93 van 23 november 2011</w:t>
      </w:r>
    </w:p>
    <w:p w:rsidR="00717715" w:rsidRDefault="00717715" w:rsidP="00045E43">
      <w:pPr>
        <w:rPr>
          <w:sz w:val="22"/>
        </w:rPr>
      </w:pPr>
      <w:r>
        <w:rPr>
          <w:sz w:val="22"/>
        </w:rPr>
        <w:t xml:space="preserve">van </w:t>
      </w:r>
      <w:r>
        <w:rPr>
          <w:b/>
          <w:smallCaps/>
          <w:sz w:val="22"/>
        </w:rPr>
        <w:t>jean-jacques de gucht</w:t>
      </w:r>
    </w:p>
    <w:p w:rsidR="00717715" w:rsidRDefault="00717715" w:rsidP="009976C1">
      <w:pPr>
        <w:pBdr>
          <w:bottom w:val="single" w:sz="4" w:space="1" w:color="auto"/>
        </w:pBdr>
        <w:jc w:val="both"/>
        <w:rPr>
          <w:sz w:val="22"/>
        </w:rPr>
      </w:pPr>
    </w:p>
    <w:p w:rsidR="00717715" w:rsidRPr="003F450F" w:rsidRDefault="00717715" w:rsidP="009976C1">
      <w:pPr>
        <w:jc w:val="both"/>
        <w:rPr>
          <w:sz w:val="22"/>
          <w:szCs w:val="22"/>
        </w:rPr>
      </w:pPr>
    </w:p>
    <w:p w:rsidR="00717715" w:rsidRPr="003F450F" w:rsidRDefault="00717715" w:rsidP="006114A2">
      <w:pPr>
        <w:rPr>
          <w:sz w:val="22"/>
          <w:szCs w:val="22"/>
        </w:rPr>
      </w:pPr>
    </w:p>
    <w:p w:rsidR="00717715" w:rsidRPr="003F450F" w:rsidRDefault="00717715" w:rsidP="006114A2">
      <w:pPr>
        <w:rPr>
          <w:sz w:val="22"/>
          <w:szCs w:val="22"/>
        </w:rPr>
        <w:sectPr w:rsidR="00717715" w:rsidRPr="003F450F">
          <w:pgSz w:w="11906" w:h="16838"/>
          <w:pgMar w:top="1417" w:right="1417" w:bottom="1417" w:left="1417" w:header="708" w:footer="708" w:gutter="0"/>
          <w:cols w:space="708"/>
          <w:docGrid w:linePitch="360"/>
        </w:sectPr>
      </w:pPr>
    </w:p>
    <w:p w:rsidR="00717715" w:rsidRPr="004548CC" w:rsidRDefault="00717715" w:rsidP="0091335A">
      <w:pPr>
        <w:pStyle w:val="ListParagraph"/>
        <w:numPr>
          <w:ilvl w:val="0"/>
          <w:numId w:val="5"/>
        </w:numPr>
        <w:jc w:val="both"/>
        <w:rPr>
          <w:sz w:val="22"/>
          <w:szCs w:val="22"/>
        </w:rPr>
      </w:pPr>
      <w:r w:rsidRPr="004548CC">
        <w:rPr>
          <w:sz w:val="22"/>
          <w:szCs w:val="22"/>
        </w:rPr>
        <w:t>Een overzicht van alle door het Agentschap Ondernemen gekende bedrijventerreinen die met su</w:t>
      </w:r>
      <w:r w:rsidRPr="004548CC">
        <w:rPr>
          <w:sz w:val="22"/>
          <w:szCs w:val="22"/>
        </w:rPr>
        <w:t>b</w:t>
      </w:r>
      <w:r w:rsidRPr="004548CC">
        <w:rPr>
          <w:sz w:val="22"/>
          <w:szCs w:val="22"/>
        </w:rPr>
        <w:t xml:space="preserve">sidies zijn aangelegd, is ingesloten als </w:t>
      </w:r>
      <w:r w:rsidRPr="004D2DBB">
        <w:rPr>
          <w:sz w:val="22"/>
          <w:szCs w:val="22"/>
          <w:u w:val="single"/>
        </w:rPr>
        <w:t>bijlage</w:t>
      </w:r>
      <w:r w:rsidRPr="004548CC">
        <w:rPr>
          <w:sz w:val="22"/>
          <w:szCs w:val="22"/>
        </w:rPr>
        <w:t xml:space="preserve">. Vanaf 1993 is dit overzicht volledig. Telkens wordt het subsidiebesluit vermeld dat toen van kracht was. Waar </w:t>
      </w:r>
      <w:r>
        <w:rPr>
          <w:sz w:val="22"/>
          <w:szCs w:val="22"/>
        </w:rPr>
        <w:t>“</w:t>
      </w:r>
      <w:r w:rsidRPr="004548CC">
        <w:rPr>
          <w:sz w:val="22"/>
          <w:szCs w:val="22"/>
        </w:rPr>
        <w:t>Wet 1970</w:t>
      </w:r>
      <w:r>
        <w:rPr>
          <w:sz w:val="22"/>
          <w:szCs w:val="22"/>
        </w:rPr>
        <w:t>”</w:t>
      </w:r>
      <w:r w:rsidRPr="004548CC">
        <w:rPr>
          <w:sz w:val="22"/>
          <w:szCs w:val="22"/>
        </w:rPr>
        <w:t xml:space="preserve"> vermeld staat, betreft het een terrein dat voor 1993 werd gesubsidieerd. Voor de gesubsidieerde bedrijventerreinen van voor 1993 beschikt het Agentschap Ondernemen niet over een volledig overzicht. </w:t>
      </w:r>
    </w:p>
    <w:p w:rsidR="00717715" w:rsidRDefault="00717715" w:rsidP="0091335A">
      <w:pPr>
        <w:jc w:val="both"/>
        <w:rPr>
          <w:sz w:val="22"/>
          <w:szCs w:val="22"/>
        </w:rPr>
      </w:pPr>
    </w:p>
    <w:p w:rsidR="00717715" w:rsidRPr="004548CC" w:rsidRDefault="00717715" w:rsidP="0091335A">
      <w:pPr>
        <w:pStyle w:val="ListParagraph"/>
        <w:numPr>
          <w:ilvl w:val="0"/>
          <w:numId w:val="5"/>
        </w:numPr>
        <w:jc w:val="both"/>
        <w:rPr>
          <w:sz w:val="22"/>
          <w:szCs w:val="22"/>
        </w:rPr>
      </w:pPr>
      <w:r w:rsidRPr="004548CC">
        <w:rPr>
          <w:sz w:val="22"/>
          <w:szCs w:val="22"/>
        </w:rPr>
        <w:t xml:space="preserve">Het terugkooprecht geldt op alle terreinen die gesubsidieerd geweest zijn plus op alle terreinen waarvoor beroep is gedaan op onteigeningen. Het Agentschap Ondernemen beschikt niet over een overzicht van alle bedrijventerreinen die via onteigeningen tot stand gekomen zijn. </w:t>
      </w:r>
    </w:p>
    <w:p w:rsidR="00717715" w:rsidRPr="00C73F16" w:rsidRDefault="00717715" w:rsidP="0091335A">
      <w:pPr>
        <w:jc w:val="both"/>
        <w:rPr>
          <w:sz w:val="22"/>
          <w:szCs w:val="22"/>
        </w:rPr>
      </w:pPr>
    </w:p>
    <w:p w:rsidR="00717715" w:rsidRPr="004D2DBB" w:rsidRDefault="00717715" w:rsidP="0091335A">
      <w:pPr>
        <w:ind w:left="360"/>
        <w:jc w:val="both"/>
        <w:rPr>
          <w:sz w:val="22"/>
          <w:szCs w:val="22"/>
        </w:rPr>
      </w:pPr>
      <w:r w:rsidRPr="004D2DBB">
        <w:rPr>
          <w:sz w:val="22"/>
          <w:szCs w:val="22"/>
        </w:rPr>
        <w:t>In het overzicht van gesubsidieerde bedrijventerreinen wordt verwezen naar het toen vigerende subsidiebesluit. Vanaf het subsidiebesluit van 2003 is het terugkooprecht van kracht dat werd o</w:t>
      </w:r>
      <w:r w:rsidRPr="004D2DBB">
        <w:rPr>
          <w:sz w:val="22"/>
          <w:szCs w:val="22"/>
        </w:rPr>
        <w:t>p</w:t>
      </w:r>
      <w:r w:rsidRPr="004D2DBB">
        <w:rPr>
          <w:sz w:val="22"/>
          <w:szCs w:val="22"/>
        </w:rPr>
        <w:t>genomen in het decreet houdende bepalingen tot begeleiding van de begroting 2004 d.d. 19 d</w:t>
      </w:r>
      <w:r w:rsidRPr="004D2DBB">
        <w:rPr>
          <w:sz w:val="22"/>
          <w:szCs w:val="22"/>
        </w:rPr>
        <w:t>e</w:t>
      </w:r>
      <w:r w:rsidRPr="004D2DBB">
        <w:rPr>
          <w:sz w:val="22"/>
          <w:szCs w:val="22"/>
        </w:rPr>
        <w:t xml:space="preserve">cember 2003. Voor de terreinen die daarvoor zijn gesubsidieerd, gold het terugkooprecht zoals voorzien in de Wet van 1970 betreffende de economische expansie. </w:t>
      </w:r>
    </w:p>
    <w:p w:rsidR="00717715" w:rsidRPr="00C73F16" w:rsidRDefault="00717715" w:rsidP="0091335A">
      <w:pPr>
        <w:jc w:val="both"/>
        <w:rPr>
          <w:sz w:val="22"/>
          <w:szCs w:val="22"/>
        </w:rPr>
      </w:pPr>
    </w:p>
    <w:p w:rsidR="00717715" w:rsidRPr="004D2DBB" w:rsidRDefault="00717715" w:rsidP="0091335A">
      <w:pPr>
        <w:pStyle w:val="ListParagraph"/>
        <w:numPr>
          <w:ilvl w:val="0"/>
          <w:numId w:val="5"/>
        </w:numPr>
        <w:jc w:val="both"/>
        <w:rPr>
          <w:sz w:val="22"/>
          <w:szCs w:val="22"/>
        </w:rPr>
      </w:pPr>
      <w:r w:rsidRPr="004D2DBB">
        <w:rPr>
          <w:sz w:val="22"/>
          <w:szCs w:val="22"/>
        </w:rPr>
        <w:t>De voornaamste gebruiksvoorwaarden die door de (publieke) ontwikkelaars die subsidies aanvr</w:t>
      </w:r>
      <w:r w:rsidRPr="004D2DBB">
        <w:rPr>
          <w:sz w:val="22"/>
          <w:szCs w:val="22"/>
        </w:rPr>
        <w:t>a</w:t>
      </w:r>
      <w:r w:rsidRPr="004D2DBB">
        <w:rPr>
          <w:sz w:val="22"/>
          <w:szCs w:val="22"/>
        </w:rPr>
        <w:t xml:space="preserve">gen/aanvroegen, contractueel werden/worden opgelegd zijn de bouw- en exploitatieverplichting en, sedert het besluit van 2007, ook de CO2-neutraliteit voor het elektriciteitsverbruik. </w:t>
      </w:r>
    </w:p>
    <w:p w:rsidR="00717715" w:rsidRPr="00C73F16" w:rsidRDefault="00717715" w:rsidP="0091335A">
      <w:pPr>
        <w:jc w:val="both"/>
        <w:rPr>
          <w:sz w:val="22"/>
          <w:szCs w:val="22"/>
        </w:rPr>
      </w:pPr>
    </w:p>
    <w:p w:rsidR="00717715" w:rsidRPr="00C73F16" w:rsidRDefault="00717715" w:rsidP="0091335A">
      <w:pPr>
        <w:ind w:left="360"/>
        <w:jc w:val="both"/>
        <w:rPr>
          <w:sz w:val="22"/>
          <w:szCs w:val="22"/>
        </w:rPr>
      </w:pPr>
      <w:r w:rsidRPr="00C73F16">
        <w:rPr>
          <w:sz w:val="22"/>
          <w:szCs w:val="22"/>
        </w:rPr>
        <w:t xml:space="preserve">Andere voorwaarden hebben te maken met het naleven van de stedenbouwkundige voorschriften, de milieuvergunning enz. </w:t>
      </w:r>
    </w:p>
    <w:p w:rsidR="00717715" w:rsidRPr="00C73F16" w:rsidRDefault="00717715" w:rsidP="0091335A">
      <w:pPr>
        <w:jc w:val="both"/>
        <w:rPr>
          <w:sz w:val="22"/>
          <w:szCs w:val="22"/>
        </w:rPr>
      </w:pPr>
    </w:p>
    <w:p w:rsidR="00717715" w:rsidRDefault="00717715" w:rsidP="0091335A">
      <w:pPr>
        <w:ind w:left="360"/>
        <w:jc w:val="both"/>
        <w:rPr>
          <w:sz w:val="22"/>
          <w:szCs w:val="22"/>
        </w:rPr>
      </w:pPr>
      <w:r w:rsidRPr="00C73F16">
        <w:rPr>
          <w:sz w:val="22"/>
          <w:szCs w:val="22"/>
        </w:rPr>
        <w:t>Sedert het subsidiebesluit van 2003 wordt aan de ontwikkelaars als subsidievoorwaarde opgelegd dat zij een inrichtingsplan, terreinbeheersplan en uitgifteplan moeten opstellen. Op basis daarvan kunnen ook gebruiksvoorwaarden (bijvoorbeeld over parkeren) opgenomen worden in de contra</w:t>
      </w:r>
      <w:r w:rsidRPr="00C73F16">
        <w:rPr>
          <w:sz w:val="22"/>
          <w:szCs w:val="22"/>
        </w:rPr>
        <w:t>c</w:t>
      </w:r>
      <w:r w:rsidRPr="00C73F16">
        <w:rPr>
          <w:sz w:val="22"/>
          <w:szCs w:val="22"/>
        </w:rPr>
        <w:t>ten voor terbeschikkingstelling. Niet alle voorwaarden zijn een grond voor de uitoefening van het terugkooprecht.</w:t>
      </w:r>
    </w:p>
    <w:p w:rsidR="00717715" w:rsidRDefault="00717715" w:rsidP="004548CC">
      <w:pPr>
        <w:ind w:left="360"/>
        <w:rPr>
          <w:sz w:val="22"/>
          <w:szCs w:val="22"/>
        </w:rPr>
      </w:pPr>
      <w:bookmarkStart w:id="0" w:name="_GoBack"/>
      <w:bookmarkEnd w:id="0"/>
    </w:p>
    <w:p w:rsidR="00717715" w:rsidRPr="0091335A" w:rsidRDefault="00717715" w:rsidP="004D2DBB">
      <w:pPr>
        <w:pStyle w:val="StandaardSV"/>
        <w:ind w:left="207" w:hanging="207"/>
        <w:rPr>
          <w:szCs w:val="22"/>
        </w:rPr>
      </w:pPr>
      <w:r w:rsidRPr="0091335A">
        <w:rPr>
          <w:b/>
          <w:bCs/>
          <w:smallCaps/>
          <w:color w:val="FF0000"/>
          <w:szCs w:val="22"/>
        </w:rPr>
        <w:t>bijlage</w:t>
      </w:r>
    </w:p>
    <w:p w:rsidR="00717715" w:rsidRDefault="00717715" w:rsidP="004D2DBB">
      <w:pPr>
        <w:pStyle w:val="StandaardSV"/>
        <w:ind w:left="207" w:hanging="207"/>
        <w:rPr>
          <w:szCs w:val="22"/>
        </w:rPr>
      </w:pPr>
    </w:p>
    <w:p w:rsidR="00717715" w:rsidRDefault="00717715" w:rsidP="004D2DBB">
      <w:pPr>
        <w:pStyle w:val="StandaardSV"/>
        <w:rPr>
          <w:szCs w:val="22"/>
        </w:rPr>
      </w:pPr>
      <w:r>
        <w:rPr>
          <w:szCs w:val="22"/>
        </w:rPr>
        <w:t>Overzicht van met subsidies aangelegde bedrijventerreinen.</w:t>
      </w:r>
    </w:p>
    <w:p w:rsidR="00717715" w:rsidRPr="003F450F" w:rsidRDefault="00717715" w:rsidP="004D2DBB">
      <w:pPr>
        <w:rPr>
          <w:sz w:val="22"/>
          <w:szCs w:val="22"/>
        </w:rPr>
      </w:pPr>
    </w:p>
    <w:sectPr w:rsidR="00717715" w:rsidRPr="003F450F" w:rsidSect="00886E03">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24A512C1"/>
    <w:multiLevelType w:val="hybridMultilevel"/>
    <w:tmpl w:val="6BDC3120"/>
    <w:lvl w:ilvl="0" w:tplc="BA2E0E56">
      <w:start w:val="2"/>
      <w:numFmt w:val="decimal"/>
      <w:lvlText w:val="%1."/>
      <w:lvlJc w:val="left"/>
      <w:pPr>
        <w:tabs>
          <w:tab w:val="num" w:pos="720"/>
        </w:tabs>
        <w:ind w:left="720" w:hanging="360"/>
      </w:pPr>
      <w:rPr>
        <w:rFonts w:cs="Times New Roman" w:hint="default"/>
      </w:rPr>
    </w:lvl>
    <w:lvl w:ilvl="1" w:tplc="6060A20A" w:tentative="1">
      <w:start w:val="1"/>
      <w:numFmt w:val="lowerLetter"/>
      <w:lvlText w:val="%2."/>
      <w:lvlJc w:val="left"/>
      <w:pPr>
        <w:tabs>
          <w:tab w:val="num" w:pos="1440"/>
        </w:tabs>
        <w:ind w:left="1440" w:hanging="360"/>
      </w:pPr>
      <w:rPr>
        <w:rFonts w:cs="Times New Roman"/>
      </w:rPr>
    </w:lvl>
    <w:lvl w:ilvl="2" w:tplc="E38ABCC0" w:tentative="1">
      <w:start w:val="1"/>
      <w:numFmt w:val="lowerRoman"/>
      <w:lvlText w:val="%3."/>
      <w:lvlJc w:val="right"/>
      <w:pPr>
        <w:tabs>
          <w:tab w:val="num" w:pos="2160"/>
        </w:tabs>
        <w:ind w:left="2160" w:hanging="180"/>
      </w:pPr>
      <w:rPr>
        <w:rFonts w:cs="Times New Roman"/>
      </w:rPr>
    </w:lvl>
    <w:lvl w:ilvl="3" w:tplc="A1688A1C" w:tentative="1">
      <w:start w:val="1"/>
      <w:numFmt w:val="decimal"/>
      <w:lvlText w:val="%4."/>
      <w:lvlJc w:val="left"/>
      <w:pPr>
        <w:tabs>
          <w:tab w:val="num" w:pos="2880"/>
        </w:tabs>
        <w:ind w:left="2880" w:hanging="360"/>
      </w:pPr>
      <w:rPr>
        <w:rFonts w:cs="Times New Roman"/>
      </w:rPr>
    </w:lvl>
    <w:lvl w:ilvl="4" w:tplc="DBAE2A86" w:tentative="1">
      <w:start w:val="1"/>
      <w:numFmt w:val="lowerLetter"/>
      <w:lvlText w:val="%5."/>
      <w:lvlJc w:val="left"/>
      <w:pPr>
        <w:tabs>
          <w:tab w:val="num" w:pos="3600"/>
        </w:tabs>
        <w:ind w:left="3600" w:hanging="360"/>
      </w:pPr>
      <w:rPr>
        <w:rFonts w:cs="Times New Roman"/>
      </w:rPr>
    </w:lvl>
    <w:lvl w:ilvl="5" w:tplc="BE0C66E2" w:tentative="1">
      <w:start w:val="1"/>
      <w:numFmt w:val="lowerRoman"/>
      <w:lvlText w:val="%6."/>
      <w:lvlJc w:val="right"/>
      <w:pPr>
        <w:tabs>
          <w:tab w:val="num" w:pos="4320"/>
        </w:tabs>
        <w:ind w:left="4320" w:hanging="180"/>
      </w:pPr>
      <w:rPr>
        <w:rFonts w:cs="Times New Roman"/>
      </w:rPr>
    </w:lvl>
    <w:lvl w:ilvl="6" w:tplc="645A4992" w:tentative="1">
      <w:start w:val="1"/>
      <w:numFmt w:val="decimal"/>
      <w:lvlText w:val="%7."/>
      <w:lvlJc w:val="left"/>
      <w:pPr>
        <w:tabs>
          <w:tab w:val="num" w:pos="5040"/>
        </w:tabs>
        <w:ind w:left="5040" w:hanging="360"/>
      </w:pPr>
      <w:rPr>
        <w:rFonts w:cs="Times New Roman"/>
      </w:rPr>
    </w:lvl>
    <w:lvl w:ilvl="7" w:tplc="B7A2345C" w:tentative="1">
      <w:start w:val="1"/>
      <w:numFmt w:val="lowerLetter"/>
      <w:lvlText w:val="%8."/>
      <w:lvlJc w:val="left"/>
      <w:pPr>
        <w:tabs>
          <w:tab w:val="num" w:pos="5760"/>
        </w:tabs>
        <w:ind w:left="5760" w:hanging="360"/>
      </w:pPr>
      <w:rPr>
        <w:rFonts w:cs="Times New Roman"/>
      </w:rPr>
    </w:lvl>
    <w:lvl w:ilvl="8" w:tplc="08121EE2" w:tentative="1">
      <w:start w:val="1"/>
      <w:numFmt w:val="lowerRoman"/>
      <w:lvlText w:val="%9."/>
      <w:lvlJc w:val="right"/>
      <w:pPr>
        <w:tabs>
          <w:tab w:val="num" w:pos="6480"/>
        </w:tabs>
        <w:ind w:left="6480" w:hanging="180"/>
      </w:pPr>
      <w:rPr>
        <w:rFonts w:cs="Times New Roman"/>
      </w:rPr>
    </w:lvl>
  </w:abstractNum>
  <w:abstractNum w:abstractNumId="2">
    <w:nsid w:val="2AC03F44"/>
    <w:multiLevelType w:val="hybridMultilevel"/>
    <w:tmpl w:val="D418406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autoHyphenation/>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45E43"/>
    <w:rsid w:val="000B4ACE"/>
    <w:rsid w:val="00157A87"/>
    <w:rsid w:val="001747B4"/>
    <w:rsid w:val="001F0937"/>
    <w:rsid w:val="002730B7"/>
    <w:rsid w:val="003F450F"/>
    <w:rsid w:val="004548CC"/>
    <w:rsid w:val="004D2DBB"/>
    <w:rsid w:val="005431C7"/>
    <w:rsid w:val="006114A2"/>
    <w:rsid w:val="006A324D"/>
    <w:rsid w:val="006F7264"/>
    <w:rsid w:val="00717715"/>
    <w:rsid w:val="007A666B"/>
    <w:rsid w:val="007B527F"/>
    <w:rsid w:val="00886E03"/>
    <w:rsid w:val="0091335A"/>
    <w:rsid w:val="009976C1"/>
    <w:rsid w:val="009E2C40"/>
    <w:rsid w:val="00A8473D"/>
    <w:rsid w:val="00AB0AA4"/>
    <w:rsid w:val="00C73F16"/>
    <w:rsid w:val="00CE6E18"/>
    <w:rsid w:val="00D522C8"/>
    <w:rsid w:val="00FB709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03"/>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886E03"/>
    <w:pPr>
      <w:jc w:val="both"/>
    </w:pPr>
    <w:rPr>
      <w:sz w:val="22"/>
      <w:szCs w:val="20"/>
    </w:rPr>
  </w:style>
  <w:style w:type="paragraph" w:styleId="BalloonText">
    <w:name w:val="Balloon Text"/>
    <w:basedOn w:val="Normal"/>
    <w:link w:val="BalloonTextChar"/>
    <w:uiPriority w:val="99"/>
    <w:semiHidden/>
    <w:rsid w:val="00886E03"/>
    <w:rPr>
      <w:rFonts w:ascii="Tahoma" w:hAnsi="Tahoma" w:cs="Tahoma"/>
      <w:sz w:val="16"/>
      <w:szCs w:val="16"/>
    </w:rPr>
  </w:style>
  <w:style w:type="character" w:customStyle="1" w:styleId="BalloonTextChar">
    <w:name w:val="Balloon Text Char"/>
    <w:basedOn w:val="DefaultParagraphFont"/>
    <w:link w:val="BalloonText"/>
    <w:uiPriority w:val="99"/>
    <w:semiHidden/>
    <w:rsid w:val="00A5233D"/>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 w:type="paragraph" w:styleId="ListParagraph">
    <w:name w:val="List Paragraph"/>
    <w:basedOn w:val="Normal"/>
    <w:uiPriority w:val="99"/>
    <w:qFormat/>
    <w:rsid w:val="00454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2</TotalTime>
  <Pages>1</Pages>
  <Words>347</Words>
  <Characters>1912</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Vlaams Parlement</cp:lastModifiedBy>
  <cp:revision>2</cp:revision>
  <cp:lastPrinted>2011-12-21T15:56:00Z</cp:lastPrinted>
  <dcterms:created xsi:type="dcterms:W3CDTF">2011-12-21T15:57:00Z</dcterms:created>
  <dcterms:modified xsi:type="dcterms:W3CDTF">2011-12-21T15:57:00Z</dcterms:modified>
</cp:coreProperties>
</file>