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E08A3" w:rsidRPr="00DD4121" w:rsidRDefault="00CE08A3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>
        <w:rPr>
          <w:szCs w:val="22"/>
        </w:rPr>
        <w:t>p</w:t>
      </w:r>
      <w:r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2" w:name="Text2"/>
    <w:p w:rsidR="00CE08A3" w:rsidRPr="00015BF7" w:rsidRDefault="00CE08A3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2"/>
    </w:p>
    <w:p w:rsidR="00CE08A3" w:rsidRPr="00015BF7" w:rsidRDefault="00CE08A3" w:rsidP="000976E9">
      <w:pPr>
        <w:rPr>
          <w:szCs w:val="22"/>
        </w:rPr>
      </w:pPr>
    </w:p>
    <w:p w:rsidR="00CE08A3" w:rsidRPr="00DB41C0" w:rsidRDefault="00CE08A3" w:rsidP="000976E9">
      <w:pPr>
        <w:pStyle w:val="A-Lijn"/>
      </w:pPr>
    </w:p>
    <w:p w:rsidR="00CE08A3" w:rsidRDefault="00CE08A3" w:rsidP="000976E9">
      <w:pPr>
        <w:pStyle w:val="A-Type"/>
        <w:sectPr w:rsidR="00CE08A3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E08A3" w:rsidRPr="00D13702" w:rsidRDefault="00CE08A3" w:rsidP="00586236">
      <w:pPr>
        <w:pStyle w:val="A-Type"/>
        <w:outlineLvl w:val="0"/>
        <w:sectPr w:rsidR="00CE08A3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E08A3" w:rsidRPr="00326A58" w:rsidRDefault="00CE08A3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117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E08A3" w:rsidRDefault="00CE08A3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CE08A3" w:rsidRPr="00015BF7" w:rsidRDefault="00CE08A3" w:rsidP="000976E9">
      <w:pPr>
        <w:rPr>
          <w:szCs w:val="22"/>
        </w:rPr>
      </w:pPr>
    </w:p>
    <w:p w:rsidR="00CE08A3" w:rsidRPr="00DB41C0" w:rsidRDefault="00CE08A3" w:rsidP="000976E9">
      <w:pPr>
        <w:pStyle w:val="A-Lijn"/>
      </w:pPr>
    </w:p>
    <w:p w:rsidR="00CE08A3" w:rsidRPr="00DB41C0" w:rsidRDefault="00CE08A3" w:rsidP="000976E9">
      <w:pPr>
        <w:pStyle w:val="A-Lijn"/>
      </w:pPr>
    </w:p>
    <w:p w:rsidR="00CE08A3" w:rsidRDefault="00CE08A3" w:rsidP="00DB41C0">
      <w:pPr>
        <w:sectPr w:rsidR="00CE08A3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E08A3" w:rsidRPr="005F64D7" w:rsidRDefault="00CE08A3" w:rsidP="00525B5E">
      <w:pPr>
        <w:pStyle w:val="NoSpacing"/>
        <w:jc w:val="both"/>
      </w:pPr>
      <w:r w:rsidRPr="005F64D7">
        <w:t>Hierbij het aantal akten waarbij het gewoon abattement werd toegepast tijdens de jaren 2010 en 2011 (tot en met september), opgesplitst per gewestelijke directie:</w:t>
      </w:r>
    </w:p>
    <w:p w:rsidR="00CE08A3" w:rsidRDefault="00CE08A3" w:rsidP="00525B5E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425"/>
        <w:gridCol w:w="1701"/>
      </w:tblGrid>
      <w:tr w:rsidR="00CE08A3" w:rsidRPr="005F64D7" w:rsidTr="008C4529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CE08A3" w:rsidRPr="005F64D7" w:rsidRDefault="00CE08A3" w:rsidP="008C452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Som van aantal aktes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</w:tcPr>
          <w:p w:rsidR="00CE08A3" w:rsidRPr="005F64D7" w:rsidRDefault="00CE08A3" w:rsidP="008C452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8C452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40.403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6.989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Arlon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1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Brugge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7.205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Brussel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1.269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4.853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Hasselt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11.274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Liege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7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Mechelen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8.674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Mons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81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Namur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50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8C452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28.328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4.851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Arlon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3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Brugge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5.040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Brussel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928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Gent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3.306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Hasselt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8.022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Liege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Mechelen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6.056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Mons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57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08A3" w:rsidRPr="005F64D7" w:rsidRDefault="00CE08A3" w:rsidP="00CE08A3">
            <w:pPr>
              <w:ind w:firstLineChars="100" w:firstLine="31680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Namur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A3" w:rsidRPr="005F64D7" w:rsidRDefault="00CE08A3" w:rsidP="008C452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5F64D7">
              <w:rPr>
                <w:color w:val="000000"/>
                <w:szCs w:val="22"/>
                <w:lang w:val="nl-BE" w:eastAsia="nl-BE"/>
              </w:rPr>
              <w:t>50</w:t>
            </w:r>
          </w:p>
        </w:tc>
      </w:tr>
      <w:tr w:rsidR="00CE08A3" w:rsidRPr="005F64D7" w:rsidTr="008C4529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CE08A3" w:rsidRPr="005F64D7" w:rsidRDefault="00CE08A3" w:rsidP="008C452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</w:tcPr>
          <w:p w:rsidR="00CE08A3" w:rsidRPr="005F64D7" w:rsidRDefault="00CE08A3" w:rsidP="008C4529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5F64D7">
              <w:rPr>
                <w:b/>
                <w:bCs/>
                <w:color w:val="000000"/>
                <w:szCs w:val="22"/>
                <w:lang w:val="nl-BE" w:eastAsia="nl-BE"/>
              </w:rPr>
              <w:t>68.731</w:t>
            </w:r>
          </w:p>
        </w:tc>
      </w:tr>
    </w:tbl>
    <w:p w:rsidR="00CE08A3" w:rsidRPr="00525B5E" w:rsidRDefault="00CE08A3" w:rsidP="00525B5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E08A3" w:rsidRPr="005F64D7" w:rsidRDefault="00CE08A3" w:rsidP="008F02EC">
      <w:pPr>
        <w:pStyle w:val="NoSpacing"/>
        <w:jc w:val="both"/>
        <w:rPr>
          <w:lang w:val="nl-NL"/>
        </w:rPr>
      </w:pPr>
      <w:r w:rsidRPr="005F64D7">
        <w:rPr>
          <w:lang w:val="nl-NL"/>
        </w:rPr>
        <w:t xml:space="preserve">Overeenkomstig mijn antwoord op </w:t>
      </w:r>
      <w:r>
        <w:rPr>
          <w:lang w:val="nl-NL"/>
        </w:rPr>
        <w:t>de</w:t>
      </w:r>
      <w:r w:rsidRPr="005F64D7">
        <w:rPr>
          <w:lang w:val="nl-NL"/>
        </w:rPr>
        <w:t xml:space="preserve"> vraag </w:t>
      </w:r>
      <w:r>
        <w:rPr>
          <w:lang w:val="nl-NL"/>
        </w:rPr>
        <w:t>van de Vlaamse volksvertegenwoordiger van 20 </w:t>
      </w:r>
      <w:r w:rsidRPr="005F64D7">
        <w:rPr>
          <w:lang w:val="nl-NL"/>
        </w:rPr>
        <w:t>september 2010 (vraag nr. 608) gaat het hierbij om het aantal gevallen waarvan het onroerend goed in het Vlaamse Gewest is gelegen</w:t>
      </w:r>
      <w:r w:rsidRPr="005F64D7">
        <w:t>. Of het onroerend goed al dan niet gebruikt wordt door een “Vlaming” wordt niet bijgehouden.</w:t>
      </w:r>
    </w:p>
    <w:sectPr w:rsidR="00CE08A3" w:rsidRPr="005F64D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A3" w:rsidRDefault="00CE08A3">
      <w:r>
        <w:separator/>
      </w:r>
    </w:p>
  </w:endnote>
  <w:endnote w:type="continuationSeparator" w:id="0">
    <w:p w:rsidR="00CE08A3" w:rsidRDefault="00CE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A3" w:rsidRDefault="00CE08A3">
      <w:r>
        <w:separator/>
      </w:r>
    </w:p>
  </w:footnote>
  <w:footnote w:type="continuationSeparator" w:id="0">
    <w:p w:rsidR="00CE08A3" w:rsidRDefault="00CE0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A70"/>
    <w:multiLevelType w:val="hybridMultilevel"/>
    <w:tmpl w:val="787A3D04"/>
    <w:lvl w:ilvl="0" w:tplc="21EA7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50E8C"/>
    <w:multiLevelType w:val="hybridMultilevel"/>
    <w:tmpl w:val="5900DB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656C9D"/>
    <w:multiLevelType w:val="hybridMultilevel"/>
    <w:tmpl w:val="5A26D11A"/>
    <w:lvl w:ilvl="0" w:tplc="08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25A7"/>
    <w:multiLevelType w:val="hybridMultilevel"/>
    <w:tmpl w:val="6E7ADD0C"/>
    <w:lvl w:ilvl="0" w:tplc="87C89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3499E"/>
    <w:multiLevelType w:val="multilevel"/>
    <w:tmpl w:val="D7F8ED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7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42574"/>
    <w:rsid w:val="00060CAF"/>
    <w:rsid w:val="00064620"/>
    <w:rsid w:val="00064944"/>
    <w:rsid w:val="0006629D"/>
    <w:rsid w:val="00077CB6"/>
    <w:rsid w:val="00092E90"/>
    <w:rsid w:val="000976E9"/>
    <w:rsid w:val="000C2BF2"/>
    <w:rsid w:val="000C4E8C"/>
    <w:rsid w:val="000E61F0"/>
    <w:rsid w:val="000E6F7F"/>
    <w:rsid w:val="000F3532"/>
    <w:rsid w:val="00113D30"/>
    <w:rsid w:val="00115A86"/>
    <w:rsid w:val="00117812"/>
    <w:rsid w:val="00162ED2"/>
    <w:rsid w:val="00175898"/>
    <w:rsid w:val="0018437F"/>
    <w:rsid w:val="001B5CDA"/>
    <w:rsid w:val="001C385B"/>
    <w:rsid w:val="001C6D2A"/>
    <w:rsid w:val="001C767D"/>
    <w:rsid w:val="0020796A"/>
    <w:rsid w:val="00210C07"/>
    <w:rsid w:val="002200AB"/>
    <w:rsid w:val="00222289"/>
    <w:rsid w:val="00222F2C"/>
    <w:rsid w:val="00256F57"/>
    <w:rsid w:val="002929C6"/>
    <w:rsid w:val="0029398C"/>
    <w:rsid w:val="002A7BA2"/>
    <w:rsid w:val="002B22F2"/>
    <w:rsid w:val="002B5D7E"/>
    <w:rsid w:val="002E2AD9"/>
    <w:rsid w:val="0031095D"/>
    <w:rsid w:val="00317146"/>
    <w:rsid w:val="00326A58"/>
    <w:rsid w:val="003568BA"/>
    <w:rsid w:val="00357979"/>
    <w:rsid w:val="00365143"/>
    <w:rsid w:val="003750AC"/>
    <w:rsid w:val="003845A7"/>
    <w:rsid w:val="003A1812"/>
    <w:rsid w:val="003B6532"/>
    <w:rsid w:val="003C33C2"/>
    <w:rsid w:val="003C3623"/>
    <w:rsid w:val="003C7CB0"/>
    <w:rsid w:val="003D1C57"/>
    <w:rsid w:val="003F6995"/>
    <w:rsid w:val="004004BF"/>
    <w:rsid w:val="004078CC"/>
    <w:rsid w:val="00413CCB"/>
    <w:rsid w:val="00427813"/>
    <w:rsid w:val="00432AB7"/>
    <w:rsid w:val="00436455"/>
    <w:rsid w:val="004464DB"/>
    <w:rsid w:val="00473519"/>
    <w:rsid w:val="004809DA"/>
    <w:rsid w:val="00480E01"/>
    <w:rsid w:val="00496096"/>
    <w:rsid w:val="0049723E"/>
    <w:rsid w:val="004A4319"/>
    <w:rsid w:val="004B2A99"/>
    <w:rsid w:val="004C133F"/>
    <w:rsid w:val="004C1A8D"/>
    <w:rsid w:val="004C4288"/>
    <w:rsid w:val="004E548B"/>
    <w:rsid w:val="0050289D"/>
    <w:rsid w:val="00505E73"/>
    <w:rsid w:val="0050783C"/>
    <w:rsid w:val="00507B64"/>
    <w:rsid w:val="00525B5E"/>
    <w:rsid w:val="00542EC1"/>
    <w:rsid w:val="00547C79"/>
    <w:rsid w:val="00564E70"/>
    <w:rsid w:val="005860EC"/>
    <w:rsid w:val="00586236"/>
    <w:rsid w:val="005B50D5"/>
    <w:rsid w:val="005B757C"/>
    <w:rsid w:val="005C722D"/>
    <w:rsid w:val="005D17E7"/>
    <w:rsid w:val="005E38CA"/>
    <w:rsid w:val="005E67A0"/>
    <w:rsid w:val="005F3B71"/>
    <w:rsid w:val="005F64D7"/>
    <w:rsid w:val="00601D11"/>
    <w:rsid w:val="006021A3"/>
    <w:rsid w:val="006114D8"/>
    <w:rsid w:val="00613AA2"/>
    <w:rsid w:val="00613E86"/>
    <w:rsid w:val="006260E2"/>
    <w:rsid w:val="006306CA"/>
    <w:rsid w:val="0063343D"/>
    <w:rsid w:val="006653BD"/>
    <w:rsid w:val="0066627C"/>
    <w:rsid w:val="006840F4"/>
    <w:rsid w:val="006B7E6F"/>
    <w:rsid w:val="006C5B73"/>
    <w:rsid w:val="006C5EEB"/>
    <w:rsid w:val="006D2FC7"/>
    <w:rsid w:val="006E0A01"/>
    <w:rsid w:val="006E2F76"/>
    <w:rsid w:val="007103D2"/>
    <w:rsid w:val="0071248C"/>
    <w:rsid w:val="007252C7"/>
    <w:rsid w:val="007355C2"/>
    <w:rsid w:val="00747203"/>
    <w:rsid w:val="00757D5C"/>
    <w:rsid w:val="00764240"/>
    <w:rsid w:val="00765D0B"/>
    <w:rsid w:val="007664DF"/>
    <w:rsid w:val="0078256A"/>
    <w:rsid w:val="007927A3"/>
    <w:rsid w:val="00797B18"/>
    <w:rsid w:val="007B21BB"/>
    <w:rsid w:val="007C7B7A"/>
    <w:rsid w:val="007D0E2A"/>
    <w:rsid w:val="007D2CE5"/>
    <w:rsid w:val="007D3128"/>
    <w:rsid w:val="007D75F4"/>
    <w:rsid w:val="008058DC"/>
    <w:rsid w:val="008112DC"/>
    <w:rsid w:val="008241FD"/>
    <w:rsid w:val="00826146"/>
    <w:rsid w:val="008336A7"/>
    <w:rsid w:val="008342C3"/>
    <w:rsid w:val="00834D15"/>
    <w:rsid w:val="00851FDB"/>
    <w:rsid w:val="00865822"/>
    <w:rsid w:val="00873C65"/>
    <w:rsid w:val="008B48E7"/>
    <w:rsid w:val="008C4529"/>
    <w:rsid w:val="008D0369"/>
    <w:rsid w:val="008D5DB4"/>
    <w:rsid w:val="008F02EC"/>
    <w:rsid w:val="009058B7"/>
    <w:rsid w:val="00924130"/>
    <w:rsid w:val="00941C06"/>
    <w:rsid w:val="00944B1F"/>
    <w:rsid w:val="00947E8A"/>
    <w:rsid w:val="00953DDC"/>
    <w:rsid w:val="00954DC8"/>
    <w:rsid w:val="009663B8"/>
    <w:rsid w:val="0098175F"/>
    <w:rsid w:val="00990DDA"/>
    <w:rsid w:val="009921A0"/>
    <w:rsid w:val="0099419F"/>
    <w:rsid w:val="00995BF9"/>
    <w:rsid w:val="009C2AA0"/>
    <w:rsid w:val="009C6174"/>
    <w:rsid w:val="009D6AD7"/>
    <w:rsid w:val="009D7043"/>
    <w:rsid w:val="009D763F"/>
    <w:rsid w:val="009E7186"/>
    <w:rsid w:val="009F5B1B"/>
    <w:rsid w:val="009F5FD8"/>
    <w:rsid w:val="00A075B3"/>
    <w:rsid w:val="00A07F34"/>
    <w:rsid w:val="00A10835"/>
    <w:rsid w:val="00A21360"/>
    <w:rsid w:val="00A26393"/>
    <w:rsid w:val="00A45C7F"/>
    <w:rsid w:val="00A62733"/>
    <w:rsid w:val="00A737E8"/>
    <w:rsid w:val="00A81356"/>
    <w:rsid w:val="00A9424B"/>
    <w:rsid w:val="00A947B3"/>
    <w:rsid w:val="00AC572C"/>
    <w:rsid w:val="00AD07CE"/>
    <w:rsid w:val="00AD5348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55508"/>
    <w:rsid w:val="00B65213"/>
    <w:rsid w:val="00B65D8D"/>
    <w:rsid w:val="00BA61FD"/>
    <w:rsid w:val="00BB4187"/>
    <w:rsid w:val="00BC1ED9"/>
    <w:rsid w:val="00BC4515"/>
    <w:rsid w:val="00BC755B"/>
    <w:rsid w:val="00BE425A"/>
    <w:rsid w:val="00C12557"/>
    <w:rsid w:val="00C16D61"/>
    <w:rsid w:val="00C23819"/>
    <w:rsid w:val="00C26C3B"/>
    <w:rsid w:val="00C3304F"/>
    <w:rsid w:val="00C4746A"/>
    <w:rsid w:val="00C51D62"/>
    <w:rsid w:val="00C534DB"/>
    <w:rsid w:val="00C83DE3"/>
    <w:rsid w:val="00C86116"/>
    <w:rsid w:val="00C8751E"/>
    <w:rsid w:val="00C94C4A"/>
    <w:rsid w:val="00CA1B75"/>
    <w:rsid w:val="00CA45DB"/>
    <w:rsid w:val="00CD0285"/>
    <w:rsid w:val="00CD2649"/>
    <w:rsid w:val="00CD29DA"/>
    <w:rsid w:val="00CD6F03"/>
    <w:rsid w:val="00CE08A3"/>
    <w:rsid w:val="00CE1D4A"/>
    <w:rsid w:val="00CE6203"/>
    <w:rsid w:val="00CF4F12"/>
    <w:rsid w:val="00CF525E"/>
    <w:rsid w:val="00CF6877"/>
    <w:rsid w:val="00D03C03"/>
    <w:rsid w:val="00D06C22"/>
    <w:rsid w:val="00D10357"/>
    <w:rsid w:val="00D11DD8"/>
    <w:rsid w:val="00D13702"/>
    <w:rsid w:val="00D20DEB"/>
    <w:rsid w:val="00D27E0F"/>
    <w:rsid w:val="00D30EAF"/>
    <w:rsid w:val="00D41ABB"/>
    <w:rsid w:val="00D46212"/>
    <w:rsid w:val="00D61065"/>
    <w:rsid w:val="00D65ABD"/>
    <w:rsid w:val="00D71D99"/>
    <w:rsid w:val="00D754F2"/>
    <w:rsid w:val="00D84C17"/>
    <w:rsid w:val="00D861C5"/>
    <w:rsid w:val="00DB2144"/>
    <w:rsid w:val="00DB41C0"/>
    <w:rsid w:val="00DB6963"/>
    <w:rsid w:val="00DC32B0"/>
    <w:rsid w:val="00DC4DB6"/>
    <w:rsid w:val="00DD1626"/>
    <w:rsid w:val="00DD4121"/>
    <w:rsid w:val="00DD4D79"/>
    <w:rsid w:val="00DF25FE"/>
    <w:rsid w:val="00E13862"/>
    <w:rsid w:val="00E27D4E"/>
    <w:rsid w:val="00E31F4D"/>
    <w:rsid w:val="00E55200"/>
    <w:rsid w:val="00E6620C"/>
    <w:rsid w:val="00E663EC"/>
    <w:rsid w:val="00E7305C"/>
    <w:rsid w:val="00E74E1A"/>
    <w:rsid w:val="00E828E8"/>
    <w:rsid w:val="00EA0884"/>
    <w:rsid w:val="00EB1813"/>
    <w:rsid w:val="00EB1AA4"/>
    <w:rsid w:val="00EB5BA3"/>
    <w:rsid w:val="00ED2414"/>
    <w:rsid w:val="00EE566C"/>
    <w:rsid w:val="00EF21D6"/>
    <w:rsid w:val="00F41B70"/>
    <w:rsid w:val="00F50C62"/>
    <w:rsid w:val="00F639B3"/>
    <w:rsid w:val="00F75800"/>
    <w:rsid w:val="00F77692"/>
    <w:rsid w:val="00FA29D6"/>
    <w:rsid w:val="00FD5425"/>
    <w:rsid w:val="00FD5BF4"/>
    <w:rsid w:val="00FD6F10"/>
    <w:rsid w:val="00FE2F02"/>
    <w:rsid w:val="00FE46C9"/>
    <w:rsid w:val="00FE5406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27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327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327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6327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327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27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327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7355C2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CD29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7A0"/>
    <w:pPr>
      <w:ind w:left="708"/>
    </w:pPr>
  </w:style>
  <w:style w:type="paragraph" w:styleId="NoSpacing">
    <w:name w:val="No Spacing"/>
    <w:uiPriority w:val="99"/>
    <w:qFormat/>
    <w:rsid w:val="00CD6F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374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2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652029347">
                      <w:marLeft w:val="0"/>
                      <w:marRight w:val="-15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5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93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2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2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2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02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02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340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20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652029353">
                      <w:marLeft w:val="0"/>
                      <w:marRight w:val="-15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52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935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0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2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2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2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029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0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162</Words>
  <Characters>891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2010-04-08T12:22:00Z</cp:lastPrinted>
  <dcterms:created xsi:type="dcterms:W3CDTF">2011-12-02T14:13:00Z</dcterms:created>
  <dcterms:modified xsi:type="dcterms:W3CDTF">2011-12-06T10:44:00Z</dcterms:modified>
</cp:coreProperties>
</file>