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43" w:rsidRDefault="005C3D43" w:rsidP="008F3669">
      <w:pPr>
        <w:pStyle w:val="A-NaamMinister"/>
      </w:pPr>
      <w:r>
        <w:t>i</w:t>
      </w:r>
      <w:r>
        <w:rPr>
          <w:noProof/>
        </w:rPr>
        <w:t>ngrid lieten</w:t>
      </w:r>
    </w:p>
    <w:p w:rsidR="005C3D43" w:rsidRDefault="005C3D43" w:rsidP="008F3669">
      <w:pPr>
        <w:pStyle w:val="A-TitelMinister"/>
        <w:outlineLvl w:val="0"/>
      </w:pPr>
      <w:r>
        <w:t>viceminister-president van de vlaamse regering, vlaams minister van innovatie, overheidsinvesteringen, media en armoedebestrijding</w:t>
      </w:r>
    </w:p>
    <w:p w:rsidR="005C3D43" w:rsidRDefault="005C3D43">
      <w:pPr>
        <w:rPr>
          <w:szCs w:val="22"/>
        </w:rPr>
      </w:pPr>
    </w:p>
    <w:p w:rsidR="005C3D43" w:rsidRDefault="005C3D43">
      <w:pPr>
        <w:pStyle w:val="A-Lijn"/>
      </w:pPr>
    </w:p>
    <w:p w:rsidR="005C3D43" w:rsidRDefault="005C3D43">
      <w:pPr>
        <w:sectPr w:rsidR="005C3D43">
          <w:footnotePr>
            <w:pos w:val="beneathText"/>
          </w:footnotePr>
          <w:pgSz w:w="11905" w:h="16837"/>
          <w:pgMar w:top="1417" w:right="1417" w:bottom="1417" w:left="1417" w:header="708" w:footer="708" w:gutter="0"/>
          <w:cols w:space="708"/>
          <w:rtlGutter/>
          <w:docGrid w:linePitch="360"/>
        </w:sectPr>
      </w:pPr>
    </w:p>
    <w:p w:rsidR="005C3D43" w:rsidRDefault="005C3D43" w:rsidP="008F3669">
      <w:pPr>
        <w:pStyle w:val="A-Type"/>
        <w:outlineLvl w:val="0"/>
        <w:sectPr w:rsidR="005C3D43">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5C3D43" w:rsidRDefault="005C3D43">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10</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5C3D43" w:rsidRDefault="005C3D43">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willy segers</w:t>
      </w:r>
      <w:r w:rsidRPr="00E441DB">
        <w:rPr>
          <w:b/>
          <w:smallCaps/>
        </w:rPr>
        <w:fldChar w:fldCharType="end"/>
      </w:r>
    </w:p>
    <w:p w:rsidR="005C3D43" w:rsidRDefault="005C3D43">
      <w:pPr>
        <w:rPr>
          <w:szCs w:val="22"/>
        </w:rPr>
      </w:pPr>
    </w:p>
    <w:p w:rsidR="005C3D43" w:rsidRDefault="005C3D43" w:rsidP="008F3669">
      <w:pPr>
        <w:pStyle w:val="A-Lijn"/>
        <w:jc w:val="both"/>
      </w:pPr>
    </w:p>
    <w:p w:rsidR="005C3D43" w:rsidRDefault="005C3D43" w:rsidP="008F3669">
      <w:pPr>
        <w:pStyle w:val="A-Lijn"/>
        <w:jc w:val="both"/>
      </w:pPr>
    </w:p>
    <w:p w:rsidR="005C3D43" w:rsidRDefault="005C3D43" w:rsidP="008F3669">
      <w:pPr>
        <w:jc w:val="both"/>
        <w:sectPr w:rsidR="005C3D43">
          <w:footnotePr>
            <w:pos w:val="beneathText"/>
          </w:footnotePr>
          <w:type w:val="continuous"/>
          <w:pgSz w:w="11905" w:h="16837"/>
          <w:pgMar w:top="1417" w:right="1417" w:bottom="1417" w:left="1417" w:header="708" w:footer="708" w:gutter="0"/>
          <w:cols w:space="708"/>
          <w:rtlGutter/>
          <w:docGrid w:linePitch="360"/>
        </w:sectPr>
      </w:pPr>
    </w:p>
    <w:p w:rsidR="005C3D43" w:rsidRPr="00CF2722" w:rsidRDefault="005C3D43" w:rsidP="008F3669">
      <w:pPr>
        <w:jc w:val="both"/>
        <w:rPr>
          <w:szCs w:val="22"/>
        </w:rPr>
      </w:pPr>
      <w:r>
        <w:rPr>
          <w:szCs w:val="22"/>
        </w:rPr>
        <w:t>Ik heb met betrekking tot uw vragen de VRT om antwoord gevraagd en kan u bijgevolg het volgende meedelen:</w:t>
      </w:r>
    </w:p>
    <w:p w:rsidR="005C3D43" w:rsidRDefault="005C3D43" w:rsidP="00B44E3C">
      <w:pPr>
        <w:pStyle w:val="ListNumber"/>
        <w:numPr>
          <w:ilvl w:val="0"/>
          <w:numId w:val="0"/>
        </w:numPr>
        <w:jc w:val="both"/>
      </w:pPr>
    </w:p>
    <w:p w:rsidR="005C3D43" w:rsidRPr="008F3669" w:rsidRDefault="005C3D43" w:rsidP="00B44E3C">
      <w:pPr>
        <w:pStyle w:val="ListNumber"/>
        <w:numPr>
          <w:ilvl w:val="0"/>
          <w:numId w:val="0"/>
        </w:numPr>
        <w:jc w:val="both"/>
      </w:pPr>
      <w:r>
        <w:t>1-2.</w:t>
      </w:r>
      <w:r w:rsidRPr="008F3669">
        <w:rPr>
          <w:b/>
          <w:szCs w:val="22"/>
        </w:rPr>
        <w:t>Soorten financiering</w:t>
      </w:r>
    </w:p>
    <w:p w:rsidR="005C3D43" w:rsidRDefault="005C3D43" w:rsidP="008F3669">
      <w:pPr>
        <w:pStyle w:val="StandaardSV"/>
        <w:ind w:left="360"/>
        <w:rPr>
          <w:szCs w:val="22"/>
        </w:rPr>
      </w:pPr>
    </w:p>
    <w:p w:rsidR="005C3D43" w:rsidRDefault="005C3D43" w:rsidP="008F3669">
      <w:pPr>
        <w:pStyle w:val="StandaardSV"/>
        <w:ind w:left="360"/>
        <w:rPr>
          <w:szCs w:val="22"/>
        </w:rPr>
      </w:pPr>
      <w:r>
        <w:rPr>
          <w:szCs w:val="22"/>
        </w:rPr>
        <w:t>Naast de financiële steun van een stad of een gemeente voor een programma (waar de vraagsteller naar vraagt) is er ook nog financiële steun voor evenementen.</w:t>
      </w:r>
    </w:p>
    <w:p w:rsidR="005C3D43" w:rsidRDefault="005C3D43" w:rsidP="008F3669">
      <w:pPr>
        <w:pStyle w:val="StandaardSV"/>
        <w:ind w:left="360"/>
        <w:rPr>
          <w:szCs w:val="22"/>
        </w:rPr>
      </w:pPr>
    </w:p>
    <w:p w:rsidR="005C3D43" w:rsidRPr="006B37D9" w:rsidRDefault="005C3D43" w:rsidP="008F3669">
      <w:pPr>
        <w:pStyle w:val="StandaardSV"/>
        <w:ind w:left="360"/>
        <w:rPr>
          <w:i/>
          <w:szCs w:val="22"/>
        </w:rPr>
      </w:pPr>
      <w:r>
        <w:rPr>
          <w:i/>
          <w:szCs w:val="22"/>
        </w:rPr>
        <w:t>Financiële s</w:t>
      </w:r>
      <w:r w:rsidRPr="006B37D9">
        <w:rPr>
          <w:i/>
          <w:szCs w:val="22"/>
        </w:rPr>
        <w:t>teun voor een programma</w:t>
      </w:r>
    </w:p>
    <w:p w:rsidR="005C3D43" w:rsidRDefault="005C3D43" w:rsidP="008F3669">
      <w:pPr>
        <w:pStyle w:val="StandaardSV"/>
        <w:ind w:left="360"/>
        <w:rPr>
          <w:szCs w:val="22"/>
        </w:rPr>
      </w:pPr>
    </w:p>
    <w:p w:rsidR="005C3D43" w:rsidRDefault="005C3D43" w:rsidP="008F3669">
      <w:pPr>
        <w:pStyle w:val="StandaardSV"/>
        <w:ind w:left="708"/>
        <w:rPr>
          <w:szCs w:val="22"/>
        </w:rPr>
      </w:pPr>
      <w:r>
        <w:rPr>
          <w:szCs w:val="22"/>
        </w:rPr>
        <w:t>De VRT of een extern productiehuis dat voor de VRT een televisieprogramma maakt, kan steun krijgen van steden en gemeenten:</w:t>
      </w:r>
    </w:p>
    <w:p w:rsidR="005C3D43" w:rsidRDefault="005C3D43" w:rsidP="008F3669">
      <w:pPr>
        <w:pStyle w:val="StandaardSV"/>
        <w:ind w:left="708"/>
        <w:rPr>
          <w:szCs w:val="22"/>
        </w:rPr>
      </w:pPr>
    </w:p>
    <w:p w:rsidR="005C3D43" w:rsidRPr="0001421C" w:rsidRDefault="005C3D43" w:rsidP="00B44E3C">
      <w:pPr>
        <w:pStyle w:val="StandaardSV"/>
        <w:numPr>
          <w:ilvl w:val="0"/>
          <w:numId w:val="3"/>
        </w:numPr>
        <w:ind w:left="1068"/>
        <w:rPr>
          <w:i/>
          <w:szCs w:val="22"/>
        </w:rPr>
      </w:pPr>
      <w:r>
        <w:rPr>
          <w:i/>
          <w:szCs w:val="22"/>
        </w:rPr>
        <w:t>V</w:t>
      </w:r>
      <w:r w:rsidRPr="0001421C">
        <w:rPr>
          <w:i/>
          <w:szCs w:val="22"/>
        </w:rPr>
        <w:t>oor evenementiële programma’s</w:t>
      </w:r>
    </w:p>
    <w:p w:rsidR="005C3D43" w:rsidRDefault="005C3D43" w:rsidP="008F3669">
      <w:pPr>
        <w:pStyle w:val="StandaardSV"/>
        <w:ind w:left="1068"/>
        <w:rPr>
          <w:szCs w:val="22"/>
        </w:rPr>
      </w:pPr>
      <w:r>
        <w:rPr>
          <w:szCs w:val="22"/>
        </w:rPr>
        <w:t xml:space="preserve">Bij evenementiële programma’s gaat het in de eerste plaats om een </w:t>
      </w:r>
      <w:r w:rsidRPr="00D55A50">
        <w:rPr>
          <w:szCs w:val="22"/>
          <w:u w:val="single"/>
        </w:rPr>
        <w:t>programma</w:t>
      </w:r>
      <w:r>
        <w:rPr>
          <w:szCs w:val="22"/>
        </w:rPr>
        <w:t xml:space="preserve"> waaraan een evenementieel luik is verbonden. Bijvoorbeeld </w:t>
      </w:r>
      <w:r w:rsidRPr="00D55A50">
        <w:rPr>
          <w:i/>
          <w:szCs w:val="22"/>
        </w:rPr>
        <w:t>Villa Vanthilt</w:t>
      </w:r>
      <w:r>
        <w:rPr>
          <w:szCs w:val="22"/>
        </w:rPr>
        <w:t>: dit talkshowprogramma wordt uitgezonden vanop een publieke locatie, en er is daar een evenementieel luik verbonden aan het programma.</w:t>
      </w:r>
    </w:p>
    <w:p w:rsidR="005C3D43" w:rsidRDefault="005C3D43" w:rsidP="008F3669">
      <w:pPr>
        <w:pStyle w:val="StandaardSV"/>
        <w:ind w:left="1068"/>
        <w:rPr>
          <w:szCs w:val="22"/>
        </w:rPr>
      </w:pPr>
      <w:r>
        <w:rPr>
          <w:szCs w:val="22"/>
        </w:rPr>
        <w:t>Het op verplaatsing gaan van evenementiële programma’s  impliceert meerkosten ten opzichte van een opname in een studio: er zijn extra vervoerskosten, beveiligingskosten, …. Citymarketing kan een deel van de kosten dragen.</w:t>
      </w:r>
    </w:p>
    <w:p w:rsidR="005C3D43" w:rsidRDefault="005C3D43" w:rsidP="008F3669">
      <w:pPr>
        <w:pStyle w:val="StandaardSV"/>
        <w:ind w:left="1068"/>
        <w:rPr>
          <w:szCs w:val="22"/>
        </w:rPr>
      </w:pPr>
    </w:p>
    <w:p w:rsidR="005C3D43" w:rsidRPr="0001421C" w:rsidRDefault="005C3D43" w:rsidP="00B44E3C">
      <w:pPr>
        <w:pStyle w:val="StandaardSV"/>
        <w:numPr>
          <w:ilvl w:val="0"/>
          <w:numId w:val="3"/>
        </w:numPr>
        <w:ind w:left="1068"/>
        <w:rPr>
          <w:i/>
          <w:szCs w:val="22"/>
        </w:rPr>
      </w:pPr>
      <w:r>
        <w:rPr>
          <w:i/>
          <w:szCs w:val="22"/>
        </w:rPr>
        <w:t>V</w:t>
      </w:r>
      <w:r w:rsidRPr="0001421C">
        <w:rPr>
          <w:i/>
          <w:szCs w:val="22"/>
        </w:rPr>
        <w:t>oor fictie</w:t>
      </w:r>
      <w:r>
        <w:rPr>
          <w:i/>
          <w:szCs w:val="22"/>
        </w:rPr>
        <w:t>programma’s</w:t>
      </w:r>
    </w:p>
    <w:p w:rsidR="005C3D43" w:rsidRDefault="005C3D43" w:rsidP="008F3669">
      <w:pPr>
        <w:pStyle w:val="StandaardSV"/>
        <w:ind w:left="1068"/>
        <w:rPr>
          <w:szCs w:val="22"/>
        </w:rPr>
      </w:pPr>
      <w:r>
        <w:rPr>
          <w:szCs w:val="22"/>
        </w:rPr>
        <w:t>“Midweek- en zondagfictie” zijn dure programmagenres en worden altijd op locatie opgenomen. Daarom wordt ook hier gezocht naar steun bij lokale partners. Deze steun kan bestaan uit financiële steun of uit het ter beschikking stellen van goederen.</w:t>
      </w:r>
    </w:p>
    <w:p w:rsidR="005C3D43" w:rsidRDefault="005C3D43" w:rsidP="008F3669">
      <w:pPr>
        <w:pStyle w:val="StandaardSV"/>
        <w:ind w:left="360"/>
        <w:rPr>
          <w:szCs w:val="22"/>
        </w:rPr>
      </w:pPr>
    </w:p>
    <w:p w:rsidR="005C3D43" w:rsidRPr="006B37D9" w:rsidRDefault="005C3D43" w:rsidP="008F3669">
      <w:pPr>
        <w:pStyle w:val="StandaardSV"/>
        <w:ind w:left="360"/>
        <w:rPr>
          <w:i/>
          <w:szCs w:val="22"/>
        </w:rPr>
      </w:pPr>
      <w:r>
        <w:rPr>
          <w:i/>
          <w:szCs w:val="22"/>
        </w:rPr>
        <w:t>Financiële s</w:t>
      </w:r>
      <w:r w:rsidRPr="006B37D9">
        <w:rPr>
          <w:i/>
          <w:szCs w:val="22"/>
        </w:rPr>
        <w:t>teun voor een evenement</w:t>
      </w:r>
    </w:p>
    <w:p w:rsidR="005C3D43" w:rsidRDefault="005C3D43" w:rsidP="008F3669">
      <w:pPr>
        <w:pStyle w:val="StandaardSV"/>
        <w:ind w:left="708"/>
        <w:rPr>
          <w:szCs w:val="22"/>
        </w:rPr>
      </w:pPr>
    </w:p>
    <w:p w:rsidR="005C3D43" w:rsidRDefault="005C3D43" w:rsidP="008F3669">
      <w:pPr>
        <w:pStyle w:val="StandaardSV"/>
        <w:ind w:left="708"/>
        <w:rPr>
          <w:szCs w:val="22"/>
        </w:rPr>
      </w:pPr>
      <w:r>
        <w:rPr>
          <w:szCs w:val="22"/>
        </w:rPr>
        <w:t>Een stad of gemeente kan beslissen een evenement financieel te steunen.</w:t>
      </w:r>
    </w:p>
    <w:p w:rsidR="005C3D43" w:rsidRDefault="005C3D43" w:rsidP="008F3669">
      <w:pPr>
        <w:pStyle w:val="StandaardSV"/>
        <w:ind w:left="708"/>
        <w:rPr>
          <w:szCs w:val="22"/>
        </w:rPr>
      </w:pPr>
      <w:r>
        <w:rPr>
          <w:szCs w:val="22"/>
        </w:rPr>
        <w:t>Dat evenement kan gecapteerd en uitgezonden worden. Het onderscheid met een evenementieel programma is dat een evenement op zich staat, ongeacht of het al dan niet gecapteerd wordt, terwijl bij een evenementieel programma het evenementieel luik ondergeschikt is aan het programma.</w:t>
      </w:r>
    </w:p>
    <w:p w:rsidR="005C3D43" w:rsidRDefault="005C3D43" w:rsidP="008F3669">
      <w:pPr>
        <w:pStyle w:val="StandaardSV"/>
        <w:ind w:left="360"/>
        <w:rPr>
          <w:szCs w:val="22"/>
        </w:rPr>
      </w:pPr>
    </w:p>
    <w:p w:rsidR="005C3D43" w:rsidRPr="00992B82" w:rsidRDefault="005C3D43" w:rsidP="008F3669">
      <w:pPr>
        <w:pStyle w:val="StandaardSV"/>
        <w:ind w:left="360"/>
        <w:rPr>
          <w:b/>
          <w:szCs w:val="22"/>
        </w:rPr>
      </w:pPr>
      <w:r w:rsidRPr="00992B82">
        <w:rPr>
          <w:b/>
          <w:szCs w:val="22"/>
        </w:rPr>
        <w:t>Financiële steun van steden en gemeenten</w:t>
      </w:r>
      <w:r>
        <w:rPr>
          <w:b/>
          <w:szCs w:val="22"/>
        </w:rPr>
        <w:t xml:space="preserve"> voor programma’s</w:t>
      </w:r>
    </w:p>
    <w:p w:rsidR="005C3D43" w:rsidRDefault="005C3D43" w:rsidP="008F3669">
      <w:pPr>
        <w:pStyle w:val="StandaardSV"/>
        <w:ind w:left="360"/>
        <w:rPr>
          <w:szCs w:val="22"/>
        </w:rPr>
      </w:pPr>
    </w:p>
    <w:p w:rsidR="005C3D43" w:rsidRDefault="005C3D43" w:rsidP="008F3669">
      <w:pPr>
        <w:pStyle w:val="StandaardSV"/>
        <w:ind w:left="360"/>
        <w:rPr>
          <w:szCs w:val="22"/>
        </w:rPr>
      </w:pPr>
      <w:r>
        <w:rPr>
          <w:szCs w:val="22"/>
        </w:rPr>
        <w:t>De VRT was de voorbije jaren niet verplicht om de financiële steun van steden en gemeenten apart te rapporteren. Dergelijke gegevens werden ook niet altijd apart bijgehouden. De VRT kan om die reden geen detailgegevens bekend maken.</w:t>
      </w:r>
    </w:p>
    <w:p w:rsidR="005C3D43" w:rsidRDefault="005C3D43" w:rsidP="008F3669">
      <w:pPr>
        <w:pStyle w:val="StandaardSV"/>
        <w:ind w:left="360"/>
        <w:rPr>
          <w:szCs w:val="22"/>
        </w:rPr>
      </w:pPr>
    </w:p>
    <w:p w:rsidR="005C3D43" w:rsidRPr="00BD07AD" w:rsidRDefault="005C3D43" w:rsidP="008F3669">
      <w:pPr>
        <w:pStyle w:val="StandaardSV"/>
        <w:numPr>
          <w:ilvl w:val="0"/>
          <w:numId w:val="3"/>
        </w:numPr>
        <w:rPr>
          <w:b/>
          <w:i/>
          <w:szCs w:val="22"/>
        </w:rPr>
      </w:pPr>
      <w:r w:rsidRPr="00BD07AD">
        <w:rPr>
          <w:b/>
          <w:i/>
          <w:szCs w:val="22"/>
        </w:rPr>
        <w:t>De intrede van Sinterklaas</w:t>
      </w:r>
    </w:p>
    <w:p w:rsidR="005C3D43" w:rsidRDefault="005C3D43" w:rsidP="008F3669">
      <w:pPr>
        <w:pStyle w:val="StandaardSV"/>
        <w:ind w:left="360"/>
        <w:rPr>
          <w:szCs w:val="22"/>
        </w:rPr>
      </w:pPr>
    </w:p>
    <w:p w:rsidR="005C3D43" w:rsidRDefault="005C3D43" w:rsidP="008F3669">
      <w:pPr>
        <w:pStyle w:val="StandaardSV"/>
        <w:ind w:left="708"/>
        <w:rPr>
          <w:szCs w:val="22"/>
        </w:rPr>
      </w:pPr>
      <w:r>
        <w:rPr>
          <w:szCs w:val="22"/>
        </w:rPr>
        <w:t xml:space="preserve">De VRT heeft naar aanleiding van deze parlementaire vraag zeer gericht nagetrokken of de stad Antwerpen financiële steun gegeven heeft voor het programma </w:t>
      </w:r>
      <w:r w:rsidRPr="008D2DAE">
        <w:rPr>
          <w:i/>
          <w:szCs w:val="22"/>
        </w:rPr>
        <w:t>De intrede van Sinterklaas</w:t>
      </w:r>
      <w:r>
        <w:rPr>
          <w:szCs w:val="22"/>
        </w:rPr>
        <w:t>.</w:t>
      </w:r>
    </w:p>
    <w:p w:rsidR="005C3D43" w:rsidRDefault="005C3D43" w:rsidP="008F3669">
      <w:pPr>
        <w:pStyle w:val="StandaardSV"/>
        <w:ind w:left="708"/>
        <w:rPr>
          <w:szCs w:val="22"/>
        </w:rPr>
      </w:pPr>
    </w:p>
    <w:p w:rsidR="005C3D43" w:rsidRDefault="005C3D43" w:rsidP="008F3669">
      <w:pPr>
        <w:pStyle w:val="StandaardSV"/>
        <w:ind w:left="708"/>
        <w:rPr>
          <w:szCs w:val="22"/>
        </w:rPr>
      </w:pPr>
      <w:r>
        <w:rPr>
          <w:szCs w:val="22"/>
        </w:rPr>
        <w:t xml:space="preserve">Hieruit blijkt dat er inderdaad financiële steun was van de stad Antwerpen voor </w:t>
      </w:r>
      <w:r w:rsidRPr="00821F77">
        <w:rPr>
          <w:i/>
          <w:szCs w:val="22"/>
        </w:rPr>
        <w:t>De intrede van Sint</w:t>
      </w:r>
      <w:r>
        <w:rPr>
          <w:i/>
          <w:szCs w:val="22"/>
        </w:rPr>
        <w:t>erklaas</w:t>
      </w:r>
      <w:r>
        <w:rPr>
          <w:szCs w:val="22"/>
        </w:rPr>
        <w:t>.</w:t>
      </w:r>
    </w:p>
    <w:p w:rsidR="005C3D43" w:rsidRDefault="005C3D43" w:rsidP="008F3669">
      <w:pPr>
        <w:pStyle w:val="StandaardSV"/>
        <w:ind w:left="708"/>
        <w:rPr>
          <w:szCs w:val="22"/>
        </w:rPr>
      </w:pPr>
    </w:p>
    <w:p w:rsidR="005C3D43" w:rsidRDefault="005C3D43" w:rsidP="008F3669">
      <w:pPr>
        <w:pStyle w:val="StandaardSV"/>
        <w:ind w:left="708"/>
        <w:rPr>
          <w:szCs w:val="22"/>
        </w:rPr>
      </w:pPr>
      <w:r w:rsidRPr="00E13D61">
        <w:rPr>
          <w:szCs w:val="22"/>
        </w:rPr>
        <w:t>De stad Antwerpen heeft (in de periode 2006-2011)</w:t>
      </w:r>
      <w:r>
        <w:rPr>
          <w:szCs w:val="22"/>
        </w:rPr>
        <w:t xml:space="preserve"> </w:t>
      </w:r>
      <w:r w:rsidRPr="005D0286">
        <w:rPr>
          <w:i/>
          <w:szCs w:val="22"/>
        </w:rPr>
        <w:t>De intrede van Sinterklaas</w:t>
      </w:r>
      <w:r w:rsidRPr="00E13D61">
        <w:rPr>
          <w:szCs w:val="22"/>
        </w:rPr>
        <w:t xml:space="preserve"> elk jaar financieel gesteund</w:t>
      </w:r>
      <w:r>
        <w:rPr>
          <w:szCs w:val="22"/>
        </w:rPr>
        <w:t xml:space="preserve"> voor een bedrag van 95.000 euro (exclusief BTW). Het externe productiehuis Sylvester Productions stond in voor de productie.</w:t>
      </w:r>
    </w:p>
    <w:p w:rsidR="005C3D43" w:rsidRDefault="005C3D43" w:rsidP="008F3669">
      <w:pPr>
        <w:pStyle w:val="StandaardSV"/>
        <w:ind w:left="360"/>
        <w:rPr>
          <w:szCs w:val="22"/>
        </w:rPr>
      </w:pPr>
    </w:p>
    <w:p w:rsidR="005C3D43" w:rsidRPr="00BD07AD" w:rsidRDefault="005C3D43" w:rsidP="008F3669">
      <w:pPr>
        <w:pStyle w:val="StandaardSV"/>
        <w:numPr>
          <w:ilvl w:val="0"/>
          <w:numId w:val="3"/>
        </w:numPr>
        <w:rPr>
          <w:b/>
          <w:i/>
          <w:szCs w:val="22"/>
        </w:rPr>
      </w:pPr>
      <w:r w:rsidRPr="00BD07AD">
        <w:rPr>
          <w:b/>
          <w:i/>
          <w:szCs w:val="22"/>
        </w:rPr>
        <w:t>Financiële steun</w:t>
      </w:r>
    </w:p>
    <w:p w:rsidR="005C3D43" w:rsidRDefault="005C3D43" w:rsidP="008F3669">
      <w:pPr>
        <w:pStyle w:val="StandaardSV"/>
        <w:ind w:left="720"/>
        <w:rPr>
          <w:szCs w:val="22"/>
        </w:rPr>
      </w:pPr>
    </w:p>
    <w:p w:rsidR="005C3D43" w:rsidRDefault="005C3D43" w:rsidP="008F3669">
      <w:pPr>
        <w:pStyle w:val="StandaardSV"/>
        <w:ind w:left="720"/>
        <w:rPr>
          <w:szCs w:val="22"/>
        </w:rPr>
      </w:pPr>
      <w:r>
        <w:rPr>
          <w:szCs w:val="22"/>
        </w:rPr>
        <w:t xml:space="preserve">Gelet op de bijkomende informatie die de VRT terugvond over </w:t>
      </w:r>
      <w:r w:rsidRPr="00105058">
        <w:rPr>
          <w:i/>
          <w:szCs w:val="22"/>
        </w:rPr>
        <w:t>De intrede van Sinterklaas</w:t>
      </w:r>
      <w:r>
        <w:rPr>
          <w:szCs w:val="22"/>
        </w:rPr>
        <w:t>, moet het antwoord op de SV295 aangepast worden:</w:t>
      </w:r>
    </w:p>
    <w:p w:rsidR="005C3D43" w:rsidRDefault="005C3D43" w:rsidP="008F3669">
      <w:pPr>
        <w:pStyle w:val="StandaardSV"/>
        <w:ind w:left="720"/>
        <w:rPr>
          <w:szCs w:val="22"/>
        </w:rPr>
      </w:pPr>
    </w:p>
    <w:p w:rsidR="005C3D43" w:rsidRDefault="005C3D43" w:rsidP="008F3669">
      <w:pPr>
        <w:pStyle w:val="StandaardSV"/>
        <w:ind w:left="1416"/>
        <w:rPr>
          <w:szCs w:val="22"/>
        </w:rPr>
      </w:pPr>
      <w:r>
        <w:rPr>
          <w:szCs w:val="22"/>
        </w:rPr>
        <w:t xml:space="preserve">Op basis van de gegevens die de VRT zelf heeft kunnen terugvinden, </w:t>
      </w:r>
      <w:r w:rsidRPr="008D2DAE">
        <w:rPr>
          <w:szCs w:val="22"/>
        </w:rPr>
        <w:t>was de samengetelde financiële steun van de steden en gemeenten</w:t>
      </w:r>
      <w:r>
        <w:rPr>
          <w:szCs w:val="22"/>
        </w:rPr>
        <w:t xml:space="preserve"> </w:t>
      </w:r>
      <w:r w:rsidRPr="008D2DAE">
        <w:rPr>
          <w:szCs w:val="22"/>
        </w:rPr>
        <w:t>voor de VRT-producties</w:t>
      </w:r>
      <w:r>
        <w:rPr>
          <w:szCs w:val="22"/>
        </w:rPr>
        <w:t>,</w:t>
      </w:r>
      <w:r w:rsidRPr="008D2DAE">
        <w:rPr>
          <w:szCs w:val="22"/>
        </w:rPr>
        <w:t xml:space="preserve"> </w:t>
      </w:r>
      <w:r>
        <w:rPr>
          <w:szCs w:val="22"/>
        </w:rPr>
        <w:t>tussen</w:t>
      </w:r>
      <w:r w:rsidRPr="008D2DAE">
        <w:rPr>
          <w:szCs w:val="22"/>
        </w:rPr>
        <w:t xml:space="preserve"> 200</w:t>
      </w:r>
      <w:r>
        <w:rPr>
          <w:szCs w:val="22"/>
        </w:rPr>
        <w:t>6</w:t>
      </w:r>
      <w:r w:rsidRPr="008D2DAE">
        <w:rPr>
          <w:szCs w:val="22"/>
        </w:rPr>
        <w:t xml:space="preserve"> en 2011</w:t>
      </w:r>
      <w:r>
        <w:rPr>
          <w:szCs w:val="22"/>
        </w:rPr>
        <w:t>,</w:t>
      </w:r>
      <w:r w:rsidRPr="008D2DAE">
        <w:rPr>
          <w:szCs w:val="22"/>
        </w:rPr>
        <w:t xml:space="preserve"> gemiddeld </w:t>
      </w:r>
      <w:r>
        <w:rPr>
          <w:szCs w:val="22"/>
        </w:rPr>
        <w:t>238.333</w:t>
      </w:r>
      <w:r w:rsidRPr="008D2DAE">
        <w:rPr>
          <w:szCs w:val="22"/>
        </w:rPr>
        <w:t xml:space="preserve"> euro per jaar.</w:t>
      </w:r>
    </w:p>
    <w:p w:rsidR="005C3D43" w:rsidRPr="008D2DAE" w:rsidRDefault="005C3D43" w:rsidP="008F3669">
      <w:pPr>
        <w:pStyle w:val="StandaardSV"/>
        <w:ind w:left="720"/>
        <w:rPr>
          <w:szCs w:val="22"/>
        </w:rPr>
      </w:pPr>
    </w:p>
    <w:p w:rsidR="005C3D43" w:rsidRPr="008D111A" w:rsidRDefault="005C3D43" w:rsidP="008F3669">
      <w:pPr>
        <w:pStyle w:val="StandaardSV"/>
        <w:ind w:left="360"/>
        <w:rPr>
          <w:b/>
          <w:szCs w:val="22"/>
        </w:rPr>
      </w:pPr>
      <w:r w:rsidRPr="008D111A">
        <w:rPr>
          <w:b/>
          <w:szCs w:val="22"/>
        </w:rPr>
        <w:t>Nieuwe beheersovereenkomst</w:t>
      </w:r>
    </w:p>
    <w:p w:rsidR="005C3D43" w:rsidRDefault="005C3D43" w:rsidP="008F3669">
      <w:pPr>
        <w:pStyle w:val="StandaardSV"/>
        <w:ind w:left="360"/>
        <w:rPr>
          <w:szCs w:val="22"/>
        </w:rPr>
      </w:pPr>
    </w:p>
    <w:p w:rsidR="005C3D43" w:rsidRDefault="005C3D43" w:rsidP="008F3669">
      <w:pPr>
        <w:pStyle w:val="StandaardSV"/>
        <w:ind w:left="360"/>
        <w:rPr>
          <w:szCs w:val="22"/>
        </w:rPr>
      </w:pPr>
      <w:r>
        <w:rPr>
          <w:szCs w:val="22"/>
        </w:rPr>
        <w:t>In de nieuwe beheersovereenkomst 2012-2016 staat welke elementen opgenomen moeten worden in de rapportering over de financiering van de openbare omroepopdracht. Een van die elementen is:</w:t>
      </w:r>
    </w:p>
    <w:p w:rsidR="005C3D43" w:rsidRDefault="005C3D43" w:rsidP="008F3669">
      <w:pPr>
        <w:pStyle w:val="StandaardSV"/>
        <w:ind w:left="360"/>
        <w:rPr>
          <w:szCs w:val="22"/>
        </w:rPr>
      </w:pPr>
    </w:p>
    <w:p w:rsidR="005C3D43" w:rsidRPr="00B8143E" w:rsidRDefault="005C3D43" w:rsidP="008F3669">
      <w:pPr>
        <w:pStyle w:val="StandaardSV"/>
        <w:ind w:left="360"/>
        <w:rPr>
          <w:i/>
          <w:szCs w:val="22"/>
        </w:rPr>
      </w:pPr>
      <w:r w:rsidRPr="00B8143E">
        <w:rPr>
          <w:i/>
          <w:szCs w:val="22"/>
        </w:rPr>
        <w:t>“Het bedrag van bijkomende publieke financiële middelen die de VRT naast de dotatie bedoeld in artikel 10 van deze overeenkomst verkrijgt van de Federale overheid, de Vlaamse Gemeenschap, het Vlaams Gewest, het Brussels Hoofdstedelijke Gewest, de provincies, de steden en de gemeenten.”</w:t>
      </w:r>
      <w:r>
        <w:rPr>
          <w:i/>
          <w:szCs w:val="22"/>
        </w:rPr>
        <w:t xml:space="preserve"> (OD 41.2)</w:t>
      </w:r>
    </w:p>
    <w:p w:rsidR="005C3D43" w:rsidRDefault="005C3D43" w:rsidP="008F3669">
      <w:pPr>
        <w:pStyle w:val="StandaardSV"/>
        <w:ind w:left="360"/>
        <w:rPr>
          <w:szCs w:val="22"/>
        </w:rPr>
      </w:pPr>
    </w:p>
    <w:p w:rsidR="005C3D43" w:rsidRDefault="005C3D43" w:rsidP="008F3669">
      <w:pPr>
        <w:pStyle w:val="StandaardSV"/>
        <w:ind w:left="360"/>
        <w:rPr>
          <w:szCs w:val="22"/>
        </w:rPr>
      </w:pPr>
      <w:r>
        <w:rPr>
          <w:szCs w:val="22"/>
        </w:rPr>
        <w:t>De VRT zal in de toekomst daarom de gegevens over de financiële steun van steden en gemeenten (en andere overheden) systematisch bijhouden.</w:t>
      </w:r>
    </w:p>
    <w:p w:rsidR="005C3D43" w:rsidRDefault="005C3D43" w:rsidP="008F3669">
      <w:pPr>
        <w:pStyle w:val="StandaardSV"/>
        <w:ind w:left="360"/>
        <w:rPr>
          <w:szCs w:val="22"/>
        </w:rPr>
      </w:pPr>
    </w:p>
    <w:p w:rsidR="005C3D43" w:rsidRPr="008F3669" w:rsidRDefault="005C3D43" w:rsidP="00B44E3C">
      <w:pPr>
        <w:pStyle w:val="ListNumber"/>
        <w:numPr>
          <w:ilvl w:val="0"/>
          <w:numId w:val="4"/>
        </w:numPr>
        <w:tabs>
          <w:tab w:val="clear" w:pos="720"/>
          <w:tab w:val="num" w:pos="426"/>
        </w:tabs>
        <w:ind w:hanging="720"/>
        <w:jc w:val="both"/>
      </w:pPr>
      <w:r w:rsidRPr="008F3669">
        <w:t>Neen.</w:t>
      </w:r>
    </w:p>
    <w:p w:rsidR="005C3D43" w:rsidRDefault="005C3D43" w:rsidP="00B44E3C">
      <w:pPr>
        <w:pStyle w:val="StandaardSV"/>
        <w:tabs>
          <w:tab w:val="num" w:pos="426"/>
        </w:tabs>
        <w:ind w:left="360" w:hanging="720"/>
      </w:pPr>
    </w:p>
    <w:p w:rsidR="005C3D43" w:rsidRPr="00342D6D" w:rsidRDefault="005C3D43" w:rsidP="00B44E3C">
      <w:pPr>
        <w:pStyle w:val="ListNumber"/>
        <w:numPr>
          <w:ilvl w:val="0"/>
          <w:numId w:val="4"/>
        </w:numPr>
        <w:tabs>
          <w:tab w:val="clear" w:pos="720"/>
          <w:tab w:val="num" w:pos="426"/>
        </w:tabs>
        <w:ind w:hanging="720"/>
        <w:jc w:val="both"/>
      </w:pPr>
      <w:r>
        <w:t>Binnen de directie Media kijken de netmanagers toe op een goede regionale spreiding.</w:t>
      </w:r>
    </w:p>
    <w:sectPr w:rsidR="005C3D43" w:rsidRPr="00342D6D" w:rsidSect="008F3669">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18844388"/>
    <w:multiLevelType w:val="hybridMultilevel"/>
    <w:tmpl w:val="650259B6"/>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68F604A4"/>
    <w:multiLevelType w:val="hybridMultilevel"/>
    <w:tmpl w:val="076C0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1421C"/>
    <w:rsid w:val="00105058"/>
    <w:rsid w:val="00342D6D"/>
    <w:rsid w:val="003A4ED4"/>
    <w:rsid w:val="004D28CD"/>
    <w:rsid w:val="005C3D43"/>
    <w:rsid w:val="005D0286"/>
    <w:rsid w:val="00604D46"/>
    <w:rsid w:val="006B37D9"/>
    <w:rsid w:val="00745F4E"/>
    <w:rsid w:val="00821F77"/>
    <w:rsid w:val="008D111A"/>
    <w:rsid w:val="008D2DAE"/>
    <w:rsid w:val="008F3669"/>
    <w:rsid w:val="00902742"/>
    <w:rsid w:val="00906464"/>
    <w:rsid w:val="00992B82"/>
    <w:rsid w:val="009E694B"/>
    <w:rsid w:val="00A804E6"/>
    <w:rsid w:val="00B44E3C"/>
    <w:rsid w:val="00B8143E"/>
    <w:rsid w:val="00BD07AD"/>
    <w:rsid w:val="00C66B6B"/>
    <w:rsid w:val="00CF2722"/>
    <w:rsid w:val="00D55A50"/>
    <w:rsid w:val="00E13933"/>
    <w:rsid w:val="00E13D61"/>
    <w:rsid w:val="00E441DB"/>
    <w:rsid w:val="00E829F0"/>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4B"/>
    <w:pPr>
      <w:suppressAutoHyphens/>
    </w:pPr>
    <w:rPr>
      <w:szCs w:val="24"/>
      <w:lang w:val="nl-NL" w:eastAsia="ar-SA"/>
    </w:rPr>
  </w:style>
  <w:style w:type="paragraph" w:styleId="Heading1">
    <w:name w:val="heading 1"/>
    <w:basedOn w:val="Normal"/>
    <w:next w:val="Normal"/>
    <w:link w:val="Heading1Char"/>
    <w:uiPriority w:val="99"/>
    <w:qFormat/>
    <w:rsid w:val="009E694B"/>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9E694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E694B"/>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A19"/>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F70A19"/>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F70A19"/>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9E694B"/>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F70A19"/>
    <w:rPr>
      <w:szCs w:val="24"/>
      <w:lang w:val="nl-NL" w:eastAsia="ar-SA"/>
    </w:rPr>
  </w:style>
  <w:style w:type="paragraph" w:customStyle="1" w:styleId="AntwoordNaamMinister">
    <w:name w:val="AntwoordNaamMinister"/>
    <w:basedOn w:val="Normal"/>
    <w:uiPriority w:val="99"/>
    <w:rsid w:val="009E694B"/>
    <w:rPr>
      <w:b/>
      <w:smallCaps/>
      <w:lang w:val="nl-BE"/>
    </w:rPr>
  </w:style>
  <w:style w:type="paragraph" w:customStyle="1" w:styleId="A-TitelMinister">
    <w:name w:val="A-TitelMinister"/>
    <w:basedOn w:val="Normal"/>
    <w:uiPriority w:val="99"/>
    <w:rsid w:val="009E694B"/>
    <w:rPr>
      <w:smallCaps/>
      <w:szCs w:val="22"/>
      <w:lang w:val="nl-BE"/>
    </w:rPr>
  </w:style>
  <w:style w:type="paragraph" w:customStyle="1" w:styleId="A-NaamMinister">
    <w:name w:val="A-NaamMinister"/>
    <w:basedOn w:val="Normal"/>
    <w:uiPriority w:val="99"/>
    <w:rsid w:val="009E694B"/>
    <w:rPr>
      <w:b/>
      <w:smallCaps/>
      <w:lang w:val="nl-BE"/>
    </w:rPr>
  </w:style>
  <w:style w:type="paragraph" w:customStyle="1" w:styleId="A-Lijn">
    <w:name w:val="A-Lijn"/>
    <w:basedOn w:val="Normal"/>
    <w:uiPriority w:val="99"/>
    <w:rsid w:val="009E694B"/>
    <w:pPr>
      <w:pBdr>
        <w:top w:val="single" w:sz="4" w:space="1" w:color="000000"/>
      </w:pBdr>
    </w:pPr>
    <w:rPr>
      <w:smallCaps/>
      <w:szCs w:val="22"/>
      <w:lang w:val="nl-BE"/>
    </w:rPr>
  </w:style>
  <w:style w:type="paragraph" w:customStyle="1" w:styleId="A-Type">
    <w:name w:val="A-Type"/>
    <w:uiPriority w:val="99"/>
    <w:rsid w:val="009E694B"/>
    <w:pPr>
      <w:suppressAutoHyphens/>
    </w:pPr>
    <w:rPr>
      <w:b/>
      <w:smallCaps/>
      <w:lang w:eastAsia="ar-SA"/>
    </w:rPr>
  </w:style>
  <w:style w:type="paragraph" w:customStyle="1" w:styleId="A-Gewonetekst">
    <w:name w:val="A-Gewone tekst"/>
    <w:uiPriority w:val="99"/>
    <w:rsid w:val="009E694B"/>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70A19"/>
    <w:rPr>
      <w:sz w:val="0"/>
      <w:szCs w:val="0"/>
      <w:lang w:val="nl-NL" w:eastAsia="ar-SA"/>
    </w:rPr>
  </w:style>
  <w:style w:type="paragraph" w:styleId="ListNumber">
    <w:name w:val="List Number"/>
    <w:basedOn w:val="Normal"/>
    <w:uiPriority w:val="99"/>
    <w:pPr>
      <w:numPr>
        <w:numId w:val="1"/>
      </w:numPr>
    </w:pPr>
  </w:style>
  <w:style w:type="paragraph" w:customStyle="1" w:styleId="StandaardSV">
    <w:name w:val="Standaard SV"/>
    <w:basedOn w:val="Normal"/>
    <w:link w:val="StandaardSVChar"/>
    <w:uiPriority w:val="99"/>
    <w:rsid w:val="008F3669"/>
    <w:pPr>
      <w:suppressAutoHyphens w:val="0"/>
      <w:jc w:val="both"/>
    </w:pPr>
    <w:rPr>
      <w:szCs w:val="20"/>
      <w:lang w:eastAsia="nl-NL"/>
    </w:rPr>
  </w:style>
  <w:style w:type="character" w:customStyle="1" w:styleId="StandaardSVChar">
    <w:name w:val="Standaard SV Char"/>
    <w:link w:val="StandaardSV"/>
    <w:uiPriority w:val="99"/>
    <w:locked/>
    <w:rsid w:val="008F3669"/>
    <w:rPr>
      <w:sz w:val="2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598</Words>
  <Characters>3294</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2</cp:revision>
  <cp:lastPrinted>2011-11-18T11:15:00Z</cp:lastPrinted>
  <dcterms:created xsi:type="dcterms:W3CDTF">2011-11-18T11:15:00Z</dcterms:created>
  <dcterms:modified xsi:type="dcterms:W3CDTF">2011-11-18T11:15:00Z</dcterms:modified>
</cp:coreProperties>
</file>