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234711" w:rsidRPr="00DD4121" w:rsidRDefault="00234711"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p</w:t>
      </w:r>
      <w:r>
        <w:rPr>
          <w:noProof/>
          <w:szCs w:val="22"/>
        </w:rPr>
        <w:t>hilippe muyters</w:t>
      </w:r>
      <w:bookmarkEnd w:id="1"/>
      <w:r>
        <w:rPr>
          <w:szCs w:val="22"/>
        </w:rPr>
        <w:fldChar w:fldCharType="end"/>
      </w:r>
      <w:bookmarkEnd w:id="0"/>
    </w:p>
    <w:bookmarkStart w:id="2" w:name="Text2"/>
    <w:p w:rsidR="00234711" w:rsidRPr="00015BF7" w:rsidRDefault="00234711"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2"/>
    </w:p>
    <w:p w:rsidR="00234711" w:rsidRPr="00015BF7" w:rsidRDefault="00234711" w:rsidP="000976E9">
      <w:pPr>
        <w:rPr>
          <w:szCs w:val="22"/>
        </w:rPr>
      </w:pPr>
    </w:p>
    <w:p w:rsidR="00234711" w:rsidRPr="00DB41C0" w:rsidRDefault="00234711" w:rsidP="000976E9">
      <w:pPr>
        <w:pStyle w:val="A-Lijn"/>
      </w:pPr>
    </w:p>
    <w:p w:rsidR="00234711" w:rsidRDefault="00234711" w:rsidP="000976E9">
      <w:pPr>
        <w:pStyle w:val="A-Type"/>
        <w:sectPr w:rsidR="00234711">
          <w:pgSz w:w="11906" w:h="16838"/>
          <w:pgMar w:top="1417" w:right="1417" w:bottom="1417" w:left="1417" w:header="708" w:footer="708" w:gutter="0"/>
          <w:cols w:space="708"/>
          <w:rtlGutter/>
          <w:docGrid w:linePitch="360"/>
        </w:sectPr>
      </w:pPr>
    </w:p>
    <w:p w:rsidR="00234711" w:rsidRPr="00D13702" w:rsidRDefault="00234711" w:rsidP="00586236">
      <w:pPr>
        <w:pStyle w:val="A-Type"/>
        <w:outlineLvl w:val="0"/>
        <w:sectPr w:rsidR="00234711" w:rsidRPr="00D137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234711" w:rsidRPr="00326A58" w:rsidRDefault="00234711"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44</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5</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234711" w:rsidRDefault="0023471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koen van den heuvel</w:t>
      </w:r>
      <w:r w:rsidRPr="009D7043">
        <w:rPr>
          <w:rStyle w:val="AntwoordNaamMinisterChar"/>
          <w:sz w:val="22"/>
        </w:rPr>
        <w:fldChar w:fldCharType="end"/>
      </w:r>
    </w:p>
    <w:p w:rsidR="00234711" w:rsidRPr="00015BF7" w:rsidRDefault="00234711" w:rsidP="000976E9">
      <w:pPr>
        <w:rPr>
          <w:szCs w:val="22"/>
        </w:rPr>
      </w:pPr>
    </w:p>
    <w:p w:rsidR="00234711" w:rsidRPr="00DB41C0" w:rsidRDefault="00234711" w:rsidP="000976E9">
      <w:pPr>
        <w:pStyle w:val="A-Lijn"/>
      </w:pPr>
    </w:p>
    <w:p w:rsidR="00234711" w:rsidRPr="00DB41C0" w:rsidRDefault="00234711" w:rsidP="000976E9">
      <w:pPr>
        <w:pStyle w:val="A-Lijn"/>
      </w:pPr>
    </w:p>
    <w:p w:rsidR="00234711" w:rsidRDefault="00234711" w:rsidP="00DB41C0">
      <w:pPr>
        <w:sectPr w:rsidR="00234711" w:rsidSect="000976E9">
          <w:type w:val="continuous"/>
          <w:pgSz w:w="11906" w:h="16838"/>
          <w:pgMar w:top="1417" w:right="1417" w:bottom="1417" w:left="1417" w:header="708" w:footer="708" w:gutter="0"/>
          <w:cols w:space="708"/>
          <w:rtlGutter/>
          <w:docGrid w:linePitch="360"/>
        </w:sectPr>
      </w:pPr>
    </w:p>
    <w:p w:rsidR="00234711" w:rsidRDefault="00234711" w:rsidP="007177C5">
      <w:pPr>
        <w:numPr>
          <w:ilvl w:val="0"/>
          <w:numId w:val="5"/>
        </w:numPr>
        <w:ind w:left="360"/>
        <w:jc w:val="both"/>
        <w:rPr>
          <w:szCs w:val="22"/>
        </w:rPr>
      </w:pPr>
      <w:r>
        <w:rPr>
          <w:szCs w:val="22"/>
        </w:rPr>
        <w:t>Begin 2011 werd geraamd dat het begrotingsjaar 2010 zou eindigen met een negatief vorderingensaldo van 484 miljoen euro. In de nationale rekeningen die op 30 september 2011 werden gepubliceerd, maakt het INR melding van een tekort van 874,1 miljoen euro. Het verschil tussen beide berekeningen bedraagt bijgevolg 390,1 miljoen euro.</w:t>
      </w:r>
    </w:p>
    <w:p w:rsidR="00234711" w:rsidRDefault="00234711" w:rsidP="00F71F4D">
      <w:pPr>
        <w:ind w:left="426" w:hanging="426"/>
        <w:jc w:val="both"/>
        <w:rPr>
          <w:szCs w:val="22"/>
        </w:rPr>
      </w:pPr>
    </w:p>
    <w:p w:rsidR="00234711" w:rsidRDefault="00234711" w:rsidP="007177C5">
      <w:pPr>
        <w:ind w:left="360"/>
        <w:jc w:val="both"/>
        <w:rPr>
          <w:szCs w:val="22"/>
        </w:rPr>
      </w:pPr>
      <w:r>
        <w:rPr>
          <w:szCs w:val="22"/>
        </w:rPr>
        <w:t>De verklaring voor dit verschil kan voornamelijk herleid worden tot volgende factoren :</w:t>
      </w:r>
    </w:p>
    <w:p w:rsidR="00234711" w:rsidRDefault="00234711" w:rsidP="0033610F">
      <w:pPr>
        <w:jc w:val="both"/>
        <w:rPr>
          <w:szCs w:val="22"/>
        </w:rPr>
      </w:pPr>
    </w:p>
    <w:p w:rsidR="00234711" w:rsidRPr="007720AD" w:rsidRDefault="00234711" w:rsidP="007720AD">
      <w:pPr>
        <w:pStyle w:val="ListParagraph"/>
        <w:numPr>
          <w:ilvl w:val="0"/>
          <w:numId w:val="6"/>
        </w:numPr>
        <w:jc w:val="both"/>
        <w:rPr>
          <w:szCs w:val="22"/>
        </w:rPr>
      </w:pPr>
      <w:r>
        <w:t>Vooreerst heeft het INR bij de publicatie van de overheidsrekeningen 2010 rekening gehouden met correcties betreffende verschillen in consolidatieperimeter. De totale correctie heeft een negatieve impact van 500 miljoen euro en kan als volgt verklaard worden:</w:t>
      </w:r>
    </w:p>
    <w:p w:rsidR="00234711" w:rsidRPr="00A1122B" w:rsidRDefault="00234711" w:rsidP="007177C5">
      <w:pPr>
        <w:numPr>
          <w:ilvl w:val="1"/>
          <w:numId w:val="6"/>
        </w:numPr>
        <w:tabs>
          <w:tab w:val="clear" w:pos="1440"/>
          <w:tab w:val="num" w:pos="1080"/>
        </w:tabs>
        <w:ind w:left="1080"/>
        <w:jc w:val="both"/>
        <w:rPr>
          <w:szCs w:val="22"/>
        </w:rPr>
      </w:pPr>
      <w:r>
        <w:t>Het INR beschouwt de ontvangst van 500 miljoen euro van het Vlaams Pensioenfonds niet als een inkomst, maar als een overdracht omdat de instelling behoort tot de consolidatieperimeter. De impact is negatief en bedraagt 500 miljoen euro in 2010</w:t>
      </w:r>
    </w:p>
    <w:p w:rsidR="00234711" w:rsidRDefault="00234711" w:rsidP="007177C5">
      <w:pPr>
        <w:ind w:left="1080"/>
        <w:jc w:val="both"/>
      </w:pPr>
      <w:r w:rsidRPr="007720AD">
        <w:t xml:space="preserve">De bepaling in </w:t>
      </w:r>
      <w:r>
        <w:t>a</w:t>
      </w:r>
      <w:r w:rsidRPr="007720AD">
        <w:t xml:space="preserve">rtikel 6, §2 van de overeenkomst van 15 december </w:t>
      </w:r>
      <w:smartTag w:uri="urn:schemas-microsoft-com:office:smarttags" w:element="metricconverter">
        <w:smartTagPr>
          <w:attr w:name="ProductID" w:val="2009 m"/>
        </w:smartTagPr>
        <w:r w:rsidRPr="007720AD">
          <w:t>2009 m</w:t>
        </w:r>
      </w:smartTag>
      <w:r w:rsidRPr="007720AD">
        <w:t xml:space="preserve">.b.t. begrotingsdoelstellingen 2009 en 2010 impliceert echter </w:t>
      </w:r>
      <w:r>
        <w:t xml:space="preserve">dat </w:t>
      </w:r>
      <w:r w:rsidRPr="007720AD">
        <w:t>als het INR de 500 miljoen-operatie niet aanvaard</w:t>
      </w:r>
      <w:r>
        <w:t>t</w:t>
      </w:r>
      <w:r w:rsidRPr="007720AD">
        <w:t>, de begrotingsdoelstelling voor Vlaanderen voor 2010 mag bijgest</w:t>
      </w:r>
      <w:r>
        <w:t>eld worden met eenzelfde bedrag.</w:t>
      </w:r>
    </w:p>
    <w:p w:rsidR="00234711" w:rsidRDefault="00234711" w:rsidP="00153F0A">
      <w:pPr>
        <w:ind w:left="720"/>
        <w:jc w:val="both"/>
      </w:pPr>
      <w:r>
        <w:t>Deze correctie mag dus als neutraal worden beschouwd.</w:t>
      </w:r>
    </w:p>
    <w:p w:rsidR="00234711" w:rsidRPr="007A29C5" w:rsidRDefault="00234711" w:rsidP="0033610F">
      <w:pPr>
        <w:jc w:val="both"/>
        <w:rPr>
          <w:szCs w:val="22"/>
        </w:rPr>
      </w:pPr>
    </w:p>
    <w:p w:rsidR="00234711" w:rsidRDefault="00234711" w:rsidP="007177C5">
      <w:pPr>
        <w:numPr>
          <w:ilvl w:val="0"/>
          <w:numId w:val="6"/>
        </w:numPr>
        <w:jc w:val="both"/>
      </w:pPr>
      <w:r>
        <w:t>Een tweede belangrijk verschil kan verklaard worden</w:t>
      </w:r>
      <w:r w:rsidRPr="007720AD">
        <w:rPr>
          <w:szCs w:val="22"/>
        </w:rPr>
        <w:t xml:space="preserve"> door de instellingen die tot de consolidatieperimeter behoren. De berekeningen eind 2010 gingen nog uit van de verwachte realisaties over het jaar 2010, terwijl de nationale rekeningen de effectieve realisaties verwerken. De effecti</w:t>
      </w:r>
      <w:r>
        <w:rPr>
          <w:szCs w:val="22"/>
        </w:rPr>
        <w:t>eve realisaties waren 98,2</w:t>
      </w:r>
      <w:r w:rsidRPr="007720AD">
        <w:rPr>
          <w:szCs w:val="22"/>
        </w:rPr>
        <w:t xml:space="preserve"> miljoen beter dan geraamd eind 2010. </w:t>
      </w:r>
      <w:r>
        <w:rPr>
          <w:szCs w:val="22"/>
        </w:rPr>
        <w:t>Het betreft dus een positieve impact. O.m. de VRT heeft een veel beter resultaat over 2010 behaald, dan zijzelf begin december 2010 nog vermoedde.</w:t>
      </w:r>
    </w:p>
    <w:p w:rsidR="00234711" w:rsidRDefault="00234711" w:rsidP="00F71F4D">
      <w:pPr>
        <w:jc w:val="both"/>
      </w:pPr>
    </w:p>
    <w:p w:rsidR="00234711" w:rsidRDefault="00234711" w:rsidP="009D4C7D">
      <w:pPr>
        <w:numPr>
          <w:ilvl w:val="0"/>
          <w:numId w:val="6"/>
        </w:numPr>
        <w:jc w:val="both"/>
      </w:pPr>
      <w:r>
        <w:t>Een derde factor heeft betrekking op verschillen in aanrekeningmoment: sommige uitgaven en ontvangsten worden aangerekend in de loop van een bepaald begrotingsjaar, terwijl het INR deze volgens de ESR-95 regels aan een ander begrotingsjaar hecht. Het betreft voornamelijk correctiepost m.b.t. de aanrekeningsregels van de gewestbelastingen geraamd op 28,3 miljoen euro bij de eindejaarsnota. Het INR houdt rekening met een positieve correctie van 78,4 miljoen euro of een positieve impact van 50,1 miljoen euro.</w:t>
      </w:r>
    </w:p>
    <w:p w:rsidR="00234711" w:rsidRDefault="00234711" w:rsidP="007D1999">
      <w:pPr>
        <w:ind w:left="720"/>
        <w:jc w:val="both"/>
      </w:pPr>
      <w:r>
        <w:t>Verder houdt het INR rekening met een negatieve correctie van 57,4 miljoen euro m.b.t. de Vlaamse jobkorting terwijl de eindejaarsnota uitgaat van een negatieve correctie van 60,3 miljoen euro. Het verschil heeft een positieve impact van 2,9 miljoen euro.</w:t>
      </w:r>
    </w:p>
    <w:p w:rsidR="00234711" w:rsidRDefault="00234711" w:rsidP="007D1999">
      <w:pPr>
        <w:ind w:left="720"/>
        <w:jc w:val="both"/>
      </w:pPr>
      <w:r>
        <w:t>Beide correcties houden verband met ontvangsten, die in de loop van de eerste maanden van 2011 nog binnenlopen, maar die op 2010 dienen aangerekend te worden. Op het jaareinde maken mijn diensten hieromtrent een voorzichtige prognose op. Het is dus logisch dat er een positieve correctie hieromtrent wordt geregistreerd.</w:t>
      </w:r>
    </w:p>
    <w:p w:rsidR="00234711" w:rsidRDefault="00234711" w:rsidP="00F71F4D">
      <w:pPr>
        <w:ind w:left="720"/>
        <w:jc w:val="both"/>
      </w:pPr>
    </w:p>
    <w:p w:rsidR="00234711" w:rsidRPr="00A1122B" w:rsidRDefault="00234711" w:rsidP="00F71F4D">
      <w:pPr>
        <w:numPr>
          <w:ilvl w:val="0"/>
          <w:numId w:val="6"/>
        </w:numPr>
        <w:jc w:val="both"/>
        <w:rPr>
          <w:szCs w:val="22"/>
        </w:rPr>
      </w:pPr>
      <w:r>
        <w:t>Ten vierde houdt het INR geen rekening met het vorderingsaldo van IVA Vlaams Zorgfonds dat in de overheidsrekeningen verwerkt wordt bij de sector S1314 ‘Wettelijke-sociale-verzekeringsinstellingen’. Eind 2010 werd het vorderingensaldo van IVA Vlaams Zorgfonds geraamd op -14,5 miljoen euro. Zelfs al behoort dit vorderingssaldo volgens de Europese regels tot een andere categorie dan de overheid, blijft de Vlaamse Gemeenschap ervoor verantwoordelijk dat zij, inbegrepen haar eigen saldo de afgesproken doelstellingen bereikt.</w:t>
      </w:r>
    </w:p>
    <w:p w:rsidR="00234711" w:rsidRDefault="00234711" w:rsidP="00A1122B">
      <w:pPr>
        <w:jc w:val="both"/>
      </w:pPr>
    </w:p>
    <w:p w:rsidR="00234711" w:rsidRDefault="00234711" w:rsidP="00153F0A">
      <w:pPr>
        <w:pStyle w:val="ListParagraph"/>
        <w:numPr>
          <w:ilvl w:val="0"/>
          <w:numId w:val="6"/>
        </w:numPr>
        <w:jc w:val="both"/>
      </w:pPr>
      <w:r>
        <w:rPr>
          <w:szCs w:val="22"/>
        </w:rPr>
        <w:t>T</w:t>
      </w:r>
      <w:r w:rsidRPr="00573474">
        <w:rPr>
          <w:szCs w:val="22"/>
        </w:rPr>
        <w:t xml:space="preserve">ot slot </w:t>
      </w:r>
      <w:r>
        <w:t xml:space="preserve">heeft het INR voor een bedrag van 54,7 miljoen euro aan financiële operaties (ESR 8) geherklasseerd in niet-financiële operaties. Het betreft </w:t>
      </w:r>
      <w:r w:rsidRPr="005700BC">
        <w:t>vooral de kapitaalverhoging in de VMH met 50 miljoen euro die</w:t>
      </w:r>
      <w:r>
        <w:t xml:space="preserve"> werd</w:t>
      </w:r>
      <w:r w:rsidRPr="005700BC">
        <w:t xml:space="preserve"> aangewend voor een kapitaalsverhoging bij Aquafin</w:t>
      </w:r>
      <w:r>
        <w:t>,</w:t>
      </w:r>
      <w:r w:rsidRPr="005700BC">
        <w:t xml:space="preserve"> die werd geherklasseerd als een investeringsoverdracht</w:t>
      </w:r>
      <w:r>
        <w:t xml:space="preserve"> omwille van de directe link tussen kapitaalsinbreng en de aanschaf van een actief. De overige 4,7 miljoen euro betreft kleinere participaties en kredietverleningen waarbij de ESR-8 classificatie in de begroting onderzocht dient te worden.</w:t>
      </w:r>
    </w:p>
    <w:p w:rsidR="00234711" w:rsidRDefault="00234711" w:rsidP="00153F0A">
      <w:pPr>
        <w:pStyle w:val="ListParagraph"/>
      </w:pPr>
    </w:p>
    <w:p w:rsidR="00234711" w:rsidRDefault="00234711" w:rsidP="00153F0A">
      <w:pPr>
        <w:pStyle w:val="ListParagraph"/>
        <w:ind w:left="360"/>
        <w:jc w:val="both"/>
      </w:pPr>
      <w:r>
        <w:t>Conclusie: behalve punt e, waar het INR een strengere interpretatie geeft van de notie ESR 8 dan de Vlaamse Gemeenschap, zijn de verschillen enkel toe te wijzen aan een latere (6 maanden na boekjaar) en dus correctere vaststelling van de gegevens.</w:t>
      </w:r>
    </w:p>
    <w:sectPr w:rsidR="0023471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11" w:rsidRDefault="00234711">
      <w:r>
        <w:separator/>
      </w:r>
    </w:p>
  </w:endnote>
  <w:endnote w:type="continuationSeparator" w:id="0">
    <w:p w:rsidR="00234711" w:rsidRDefault="00234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11" w:rsidRDefault="00234711">
      <w:r>
        <w:separator/>
      </w:r>
    </w:p>
  </w:footnote>
  <w:footnote w:type="continuationSeparator" w:id="0">
    <w:p w:rsidR="00234711" w:rsidRDefault="00234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83362"/>
    <w:multiLevelType w:val="hybridMultilevel"/>
    <w:tmpl w:val="86141AE8"/>
    <w:lvl w:ilvl="0" w:tplc="B1441A6A">
      <w:start w:val="1"/>
      <w:numFmt w:val="lowerLetter"/>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36E0983"/>
    <w:multiLevelType w:val="hybridMultilevel"/>
    <w:tmpl w:val="8B4A1CF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11AA3"/>
    <w:rsid w:val="00014048"/>
    <w:rsid w:val="00015BF7"/>
    <w:rsid w:val="00042574"/>
    <w:rsid w:val="00060CAF"/>
    <w:rsid w:val="00077CB6"/>
    <w:rsid w:val="00092E90"/>
    <w:rsid w:val="000976E9"/>
    <w:rsid w:val="000B69ED"/>
    <w:rsid w:val="000C2BF2"/>
    <w:rsid w:val="000C4E8C"/>
    <w:rsid w:val="000E6E9F"/>
    <w:rsid w:val="000F3532"/>
    <w:rsid w:val="000F457E"/>
    <w:rsid w:val="00113D30"/>
    <w:rsid w:val="00115A86"/>
    <w:rsid w:val="00117812"/>
    <w:rsid w:val="00151E95"/>
    <w:rsid w:val="00153F0A"/>
    <w:rsid w:val="001559F4"/>
    <w:rsid w:val="00162ED2"/>
    <w:rsid w:val="00175898"/>
    <w:rsid w:val="0018437F"/>
    <w:rsid w:val="001C385B"/>
    <w:rsid w:val="001C6D2A"/>
    <w:rsid w:val="001C767D"/>
    <w:rsid w:val="00210C07"/>
    <w:rsid w:val="002200AB"/>
    <w:rsid w:val="00234711"/>
    <w:rsid w:val="0029398C"/>
    <w:rsid w:val="002A7BA2"/>
    <w:rsid w:val="002B5D7E"/>
    <w:rsid w:val="0031095D"/>
    <w:rsid w:val="00312490"/>
    <w:rsid w:val="00326A58"/>
    <w:rsid w:val="0033610F"/>
    <w:rsid w:val="003568BA"/>
    <w:rsid w:val="00357979"/>
    <w:rsid w:val="00365143"/>
    <w:rsid w:val="003750AC"/>
    <w:rsid w:val="003C33C2"/>
    <w:rsid w:val="003E395C"/>
    <w:rsid w:val="00414B2D"/>
    <w:rsid w:val="00432AB7"/>
    <w:rsid w:val="00436455"/>
    <w:rsid w:val="0045628C"/>
    <w:rsid w:val="004809DA"/>
    <w:rsid w:val="00494439"/>
    <w:rsid w:val="00496ABF"/>
    <w:rsid w:val="004B2A99"/>
    <w:rsid w:val="004C133F"/>
    <w:rsid w:val="004C1A8D"/>
    <w:rsid w:val="004E548B"/>
    <w:rsid w:val="00542EC1"/>
    <w:rsid w:val="005700BC"/>
    <w:rsid w:val="00573474"/>
    <w:rsid w:val="00586236"/>
    <w:rsid w:val="005B50D5"/>
    <w:rsid w:val="005B757C"/>
    <w:rsid w:val="005D17E7"/>
    <w:rsid w:val="005E38CA"/>
    <w:rsid w:val="005F3B71"/>
    <w:rsid w:val="00601D11"/>
    <w:rsid w:val="006021A3"/>
    <w:rsid w:val="006114D8"/>
    <w:rsid w:val="00613AA2"/>
    <w:rsid w:val="006260E2"/>
    <w:rsid w:val="00636819"/>
    <w:rsid w:val="0067785B"/>
    <w:rsid w:val="006A5636"/>
    <w:rsid w:val="006B7E6F"/>
    <w:rsid w:val="006C5EEB"/>
    <w:rsid w:val="006E0056"/>
    <w:rsid w:val="006E0A01"/>
    <w:rsid w:val="006E2F76"/>
    <w:rsid w:val="007103D2"/>
    <w:rsid w:val="0071248C"/>
    <w:rsid w:val="007177C5"/>
    <w:rsid w:val="007252C7"/>
    <w:rsid w:val="00747203"/>
    <w:rsid w:val="007720AD"/>
    <w:rsid w:val="007800FA"/>
    <w:rsid w:val="0078256A"/>
    <w:rsid w:val="007927A3"/>
    <w:rsid w:val="007A29C5"/>
    <w:rsid w:val="007B21BB"/>
    <w:rsid w:val="007C7B7A"/>
    <w:rsid w:val="007D0E2A"/>
    <w:rsid w:val="007D1999"/>
    <w:rsid w:val="007D2CE5"/>
    <w:rsid w:val="007D3128"/>
    <w:rsid w:val="00806962"/>
    <w:rsid w:val="008112DC"/>
    <w:rsid w:val="008241FD"/>
    <w:rsid w:val="00826146"/>
    <w:rsid w:val="00834D15"/>
    <w:rsid w:val="00851FDB"/>
    <w:rsid w:val="00873C65"/>
    <w:rsid w:val="008D5DB4"/>
    <w:rsid w:val="009058B7"/>
    <w:rsid w:val="00924130"/>
    <w:rsid w:val="00937186"/>
    <w:rsid w:val="00941C06"/>
    <w:rsid w:val="00944B1F"/>
    <w:rsid w:val="00947E8A"/>
    <w:rsid w:val="00953DDC"/>
    <w:rsid w:val="00954DC8"/>
    <w:rsid w:val="009663B8"/>
    <w:rsid w:val="00990DDA"/>
    <w:rsid w:val="0099419F"/>
    <w:rsid w:val="00995BF9"/>
    <w:rsid w:val="009C2AA0"/>
    <w:rsid w:val="009D4C7D"/>
    <w:rsid w:val="009D6AD7"/>
    <w:rsid w:val="009D7043"/>
    <w:rsid w:val="009D763F"/>
    <w:rsid w:val="009F5B1B"/>
    <w:rsid w:val="009F5FD8"/>
    <w:rsid w:val="00A075B3"/>
    <w:rsid w:val="00A10835"/>
    <w:rsid w:val="00A1122B"/>
    <w:rsid w:val="00A1288D"/>
    <w:rsid w:val="00A21360"/>
    <w:rsid w:val="00A42A1E"/>
    <w:rsid w:val="00A737E8"/>
    <w:rsid w:val="00A81356"/>
    <w:rsid w:val="00A9424B"/>
    <w:rsid w:val="00A947B3"/>
    <w:rsid w:val="00AB59CD"/>
    <w:rsid w:val="00AC572C"/>
    <w:rsid w:val="00AD6E12"/>
    <w:rsid w:val="00AE58C0"/>
    <w:rsid w:val="00AF1FF0"/>
    <w:rsid w:val="00B05DD7"/>
    <w:rsid w:val="00B233AB"/>
    <w:rsid w:val="00B417DF"/>
    <w:rsid w:val="00B45D7B"/>
    <w:rsid w:val="00B45EB2"/>
    <w:rsid w:val="00B51A62"/>
    <w:rsid w:val="00B523F1"/>
    <w:rsid w:val="00B65213"/>
    <w:rsid w:val="00B65D8D"/>
    <w:rsid w:val="00B821F9"/>
    <w:rsid w:val="00BC4515"/>
    <w:rsid w:val="00BE425A"/>
    <w:rsid w:val="00BE54F3"/>
    <w:rsid w:val="00C12557"/>
    <w:rsid w:val="00C16D61"/>
    <w:rsid w:val="00C23819"/>
    <w:rsid w:val="00C51D62"/>
    <w:rsid w:val="00C83DE3"/>
    <w:rsid w:val="00C94C4A"/>
    <w:rsid w:val="00CA45DB"/>
    <w:rsid w:val="00CE1D4A"/>
    <w:rsid w:val="00CE6203"/>
    <w:rsid w:val="00CF525E"/>
    <w:rsid w:val="00CF6877"/>
    <w:rsid w:val="00D03C03"/>
    <w:rsid w:val="00D06C22"/>
    <w:rsid w:val="00D13702"/>
    <w:rsid w:val="00D20DEB"/>
    <w:rsid w:val="00D30EAF"/>
    <w:rsid w:val="00D41ABB"/>
    <w:rsid w:val="00D65ABD"/>
    <w:rsid w:val="00D71D99"/>
    <w:rsid w:val="00D754F2"/>
    <w:rsid w:val="00D84C17"/>
    <w:rsid w:val="00D861C5"/>
    <w:rsid w:val="00DB41C0"/>
    <w:rsid w:val="00DB6963"/>
    <w:rsid w:val="00DC32B0"/>
    <w:rsid w:val="00DC4DB6"/>
    <w:rsid w:val="00DD4121"/>
    <w:rsid w:val="00DF25FE"/>
    <w:rsid w:val="00E13862"/>
    <w:rsid w:val="00E31F4D"/>
    <w:rsid w:val="00E55200"/>
    <w:rsid w:val="00E663EC"/>
    <w:rsid w:val="00EA0884"/>
    <w:rsid w:val="00EB1AA4"/>
    <w:rsid w:val="00EE566C"/>
    <w:rsid w:val="00F41B70"/>
    <w:rsid w:val="00F42180"/>
    <w:rsid w:val="00F50C62"/>
    <w:rsid w:val="00F71F4D"/>
    <w:rsid w:val="00F76CA7"/>
    <w:rsid w:val="00F77692"/>
    <w:rsid w:val="00FA29D6"/>
    <w:rsid w:val="00FD5BF4"/>
    <w:rsid w:val="00FE2F02"/>
    <w:rsid w:val="00FE46C9"/>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A0F"/>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172A0F"/>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172A0F"/>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172A0F"/>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172A0F"/>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172A0F"/>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2A0F"/>
    <w:rPr>
      <w:sz w:val="0"/>
      <w:szCs w:val="0"/>
      <w:lang w:val="nl-NL" w:eastAsia="nl-NL"/>
    </w:rPr>
  </w:style>
  <w:style w:type="paragraph" w:styleId="ListParagraph">
    <w:name w:val="List Paragraph"/>
    <w:basedOn w:val="Normal"/>
    <w:uiPriority w:val="99"/>
    <w:qFormat/>
    <w:rsid w:val="007720AD"/>
    <w:pPr>
      <w:ind w:left="720"/>
      <w:contextualSpacing/>
    </w:pPr>
  </w:style>
</w:styles>
</file>

<file path=word/webSettings.xml><?xml version="1.0" encoding="utf-8"?>
<w:webSettings xmlns:r="http://schemas.openxmlformats.org/officeDocument/2006/relationships" xmlns:w="http://schemas.openxmlformats.org/wordprocessingml/2006/main">
  <w:divs>
    <w:div w:id="1133447846">
      <w:marLeft w:val="0"/>
      <w:marRight w:val="0"/>
      <w:marTop w:val="0"/>
      <w:marBottom w:val="0"/>
      <w:divBdr>
        <w:top w:val="none" w:sz="0" w:space="0" w:color="auto"/>
        <w:left w:val="none" w:sz="0" w:space="0" w:color="auto"/>
        <w:bottom w:val="none" w:sz="0" w:space="0" w:color="auto"/>
        <w:right w:val="none" w:sz="0" w:space="0" w:color="auto"/>
      </w:divBdr>
    </w:div>
    <w:div w:id="1133447847">
      <w:marLeft w:val="0"/>
      <w:marRight w:val="0"/>
      <w:marTop w:val="0"/>
      <w:marBottom w:val="0"/>
      <w:divBdr>
        <w:top w:val="none" w:sz="0" w:space="0" w:color="auto"/>
        <w:left w:val="none" w:sz="0" w:space="0" w:color="auto"/>
        <w:bottom w:val="none" w:sz="0" w:space="0" w:color="auto"/>
        <w:right w:val="none" w:sz="0" w:space="0" w:color="auto"/>
      </w:divBdr>
    </w:div>
    <w:div w:id="1133447848">
      <w:marLeft w:val="0"/>
      <w:marRight w:val="0"/>
      <w:marTop w:val="0"/>
      <w:marBottom w:val="0"/>
      <w:divBdr>
        <w:top w:val="none" w:sz="0" w:space="0" w:color="auto"/>
        <w:left w:val="none" w:sz="0" w:space="0" w:color="auto"/>
        <w:bottom w:val="none" w:sz="0" w:space="0" w:color="auto"/>
        <w:right w:val="none" w:sz="0" w:space="0" w:color="auto"/>
      </w:divBdr>
    </w:div>
    <w:div w:id="1133447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685</Words>
  <Characters>3772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2011-10-13T12:42:00Z</cp:lastPrinted>
  <dcterms:created xsi:type="dcterms:W3CDTF">2011-11-09T16:27:00Z</dcterms:created>
  <dcterms:modified xsi:type="dcterms:W3CDTF">2011-11-14T13:20:00Z</dcterms:modified>
</cp:coreProperties>
</file>