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76C7A" w:rsidRPr="00DD4121" w:rsidRDefault="00E76C7A"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E76C7A" w:rsidRPr="00015BF7" w:rsidRDefault="00E76C7A"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E76C7A" w:rsidRPr="00015BF7" w:rsidRDefault="00E76C7A" w:rsidP="000976E9">
      <w:pPr>
        <w:rPr>
          <w:szCs w:val="22"/>
        </w:rPr>
      </w:pPr>
    </w:p>
    <w:p w:rsidR="00E76C7A" w:rsidRPr="00DB41C0" w:rsidRDefault="00E76C7A" w:rsidP="000976E9">
      <w:pPr>
        <w:pStyle w:val="A-Lijn"/>
      </w:pPr>
    </w:p>
    <w:p w:rsidR="00E76C7A" w:rsidRDefault="00E76C7A" w:rsidP="000976E9">
      <w:pPr>
        <w:pStyle w:val="A-Type"/>
        <w:sectPr w:rsidR="00E76C7A">
          <w:pgSz w:w="11906" w:h="16838"/>
          <w:pgMar w:top="1417" w:right="1417" w:bottom="1417" w:left="1417" w:header="708" w:footer="708" w:gutter="0"/>
          <w:cols w:space="708"/>
          <w:rtlGutter/>
          <w:docGrid w:linePitch="360"/>
        </w:sectPr>
      </w:pPr>
    </w:p>
    <w:p w:rsidR="00E76C7A" w:rsidRDefault="00E76C7A" w:rsidP="009456B5">
      <w:pPr>
        <w:pStyle w:val="A-Type"/>
        <w:outlineLvl w:val="0"/>
        <w:sectPr w:rsidR="00E76C7A"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E76C7A" w:rsidRPr="00326A58" w:rsidRDefault="00E76C7A"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76C7A" w:rsidRDefault="00E76C7A"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valerie taeldeman</w:t>
      </w:r>
      <w:r w:rsidRPr="009D7043">
        <w:rPr>
          <w:rStyle w:val="AntwoordNaamMinisterChar"/>
          <w:sz w:val="22"/>
        </w:rPr>
        <w:fldChar w:fldCharType="end"/>
      </w:r>
    </w:p>
    <w:p w:rsidR="00E76C7A" w:rsidRPr="00015BF7" w:rsidRDefault="00E76C7A" w:rsidP="000976E9">
      <w:pPr>
        <w:rPr>
          <w:szCs w:val="22"/>
        </w:rPr>
      </w:pPr>
    </w:p>
    <w:p w:rsidR="00E76C7A" w:rsidRPr="00DB41C0" w:rsidRDefault="00E76C7A" w:rsidP="000976E9">
      <w:pPr>
        <w:pStyle w:val="A-Lijn"/>
      </w:pPr>
    </w:p>
    <w:p w:rsidR="00E76C7A" w:rsidRPr="00DB41C0" w:rsidRDefault="00E76C7A" w:rsidP="000976E9">
      <w:pPr>
        <w:pStyle w:val="A-Lijn"/>
      </w:pPr>
    </w:p>
    <w:p w:rsidR="00E76C7A" w:rsidRDefault="00E76C7A" w:rsidP="00DB41C0">
      <w:pPr>
        <w:sectPr w:rsidR="00E76C7A" w:rsidSect="000976E9">
          <w:type w:val="continuous"/>
          <w:pgSz w:w="11906" w:h="16838"/>
          <w:pgMar w:top="1417" w:right="1417" w:bottom="1417" w:left="1417" w:header="708" w:footer="708" w:gutter="0"/>
          <w:cols w:space="708"/>
          <w:rtlGutter/>
          <w:docGrid w:linePitch="360"/>
        </w:sectPr>
      </w:pPr>
    </w:p>
    <w:p w:rsidR="00E76C7A" w:rsidRDefault="00E76C7A" w:rsidP="004105E2">
      <w:pPr>
        <w:jc w:val="both"/>
        <w:rPr>
          <w:b/>
          <w:smallCaps/>
          <w:u w:val="single"/>
        </w:rPr>
      </w:pPr>
      <w:r w:rsidRPr="004105E2">
        <w:rPr>
          <w:b/>
          <w:smallCaps/>
          <w:u w:val="single"/>
        </w:rPr>
        <w:t>Energie</w:t>
      </w:r>
    </w:p>
    <w:p w:rsidR="00E76C7A" w:rsidRDefault="00E76C7A" w:rsidP="004105E2">
      <w:pPr>
        <w:jc w:val="both"/>
      </w:pPr>
    </w:p>
    <w:p w:rsidR="00E76C7A" w:rsidRDefault="00E76C7A" w:rsidP="0017085F">
      <w:pPr>
        <w:pStyle w:val="BodyText"/>
        <w:rPr>
          <w:rFonts w:ascii="Times New Roman" w:hAnsi="Times New Roman"/>
          <w:sz w:val="22"/>
          <w:szCs w:val="22"/>
          <w:lang w:val="nl-NL"/>
        </w:rPr>
      </w:pPr>
      <w:r>
        <w:rPr>
          <w:rFonts w:ascii="Times New Roman" w:hAnsi="Times New Roman"/>
          <w:sz w:val="22"/>
          <w:szCs w:val="22"/>
          <w:lang w:val="nl-NL"/>
        </w:rPr>
        <w:t xml:space="preserve">Vanuit de begroting </w:t>
      </w:r>
      <w:smartTag w:uri="urn:schemas-microsoft-com:office:smarttags" w:element="PersonName">
        <w:r>
          <w:rPr>
            <w:rFonts w:ascii="Times New Roman" w:hAnsi="Times New Roman"/>
            <w:sz w:val="22"/>
            <w:szCs w:val="22"/>
            <w:lang w:val="nl-NL"/>
          </w:rPr>
          <w:t>energie</w:t>
        </w:r>
      </w:smartTag>
      <w:r>
        <w:rPr>
          <w:rFonts w:ascii="Times New Roman" w:hAnsi="Times New Roman"/>
          <w:sz w:val="22"/>
          <w:szCs w:val="22"/>
          <w:lang w:val="nl-NL"/>
        </w:rPr>
        <w:t xml:space="preserve"> werd er in 2010 aan Oost-Vlaamse projecten geen projectsubsidie toegekend waarvoor de subsidie niet zijn grondslag vindt in een organieke regelgeving.</w:t>
      </w:r>
    </w:p>
    <w:p w:rsidR="00E76C7A" w:rsidRPr="00EA15C8" w:rsidRDefault="00E76C7A" w:rsidP="004105E2">
      <w:pPr>
        <w:jc w:val="both"/>
      </w:pPr>
    </w:p>
    <w:p w:rsidR="00E76C7A" w:rsidRPr="004105E2" w:rsidRDefault="00E76C7A" w:rsidP="004105E2">
      <w:pPr>
        <w:jc w:val="both"/>
        <w:rPr>
          <w:b/>
          <w:smallCaps/>
          <w:u w:val="single"/>
        </w:rPr>
      </w:pPr>
      <w:r>
        <w:rPr>
          <w:b/>
          <w:smallCaps/>
          <w:u w:val="single"/>
        </w:rPr>
        <w:t>Wonen</w:t>
      </w:r>
    </w:p>
    <w:p w:rsidR="00E76C7A" w:rsidRDefault="00E76C7A" w:rsidP="00EA15C8">
      <w:pPr>
        <w:jc w:val="both"/>
      </w:pPr>
    </w:p>
    <w:p w:rsidR="00E76C7A" w:rsidRPr="00C04F82" w:rsidRDefault="00E76C7A" w:rsidP="0017085F">
      <w:pPr>
        <w:jc w:val="both"/>
        <w:rPr>
          <w:szCs w:val="22"/>
        </w:rPr>
      </w:pPr>
      <w:r w:rsidRPr="00C04F82">
        <w:rPr>
          <w:szCs w:val="22"/>
        </w:rPr>
        <w:t>Sinds de inwerkingtreding van het Besluit van de Vlaamse Regering van 21 september 2007 houdende de subsidiëring van projecten ter ondersteuning van het lokaal woonbeleid heeft de Vlaamse minister van wonen een subsidie toegekend aan 3</w:t>
      </w:r>
      <w:r>
        <w:rPr>
          <w:szCs w:val="22"/>
        </w:rPr>
        <w:t>9</w:t>
      </w:r>
      <w:r w:rsidRPr="00C04F82">
        <w:rPr>
          <w:szCs w:val="22"/>
        </w:rPr>
        <w:t xml:space="preserve"> intergemeentelijke projecten lokaal woonbeleid voor een projectduur van drie werkingsjaren. </w:t>
      </w:r>
      <w:r>
        <w:rPr>
          <w:szCs w:val="22"/>
        </w:rPr>
        <w:t>Uiterlijk 14 oktober 2011 zal de minister nog een beslissing nemen inzake de toekenning van subsidies aan nieuwe projecten die hebben deelgenomen aan de open oproep 2011.</w:t>
      </w:r>
    </w:p>
    <w:p w:rsidR="00E76C7A" w:rsidRPr="00C04F82" w:rsidRDefault="00E76C7A" w:rsidP="0017085F">
      <w:pPr>
        <w:jc w:val="both"/>
        <w:rPr>
          <w:szCs w:val="22"/>
        </w:rPr>
      </w:pPr>
    </w:p>
    <w:p w:rsidR="00E76C7A" w:rsidRPr="00C04F82" w:rsidRDefault="00E76C7A" w:rsidP="0017085F">
      <w:pPr>
        <w:jc w:val="both"/>
        <w:rPr>
          <w:szCs w:val="22"/>
          <w:lang w:val="nl"/>
        </w:rPr>
      </w:pPr>
      <w:r>
        <w:rPr>
          <w:szCs w:val="22"/>
        </w:rPr>
        <w:t>In 2010 waren zes</w:t>
      </w:r>
      <w:r w:rsidRPr="00C04F82">
        <w:rPr>
          <w:szCs w:val="22"/>
        </w:rPr>
        <w:t xml:space="preserve"> van deze 3</w:t>
      </w:r>
      <w:r>
        <w:rPr>
          <w:szCs w:val="22"/>
        </w:rPr>
        <w:t>9</w:t>
      </w:r>
      <w:r w:rsidRPr="00C04F82">
        <w:rPr>
          <w:szCs w:val="22"/>
        </w:rPr>
        <w:t xml:space="preserve"> intergemeentelijke projecten gesitueerd op het grondgebied van de provincie Oost-Vlaanderen. </w:t>
      </w:r>
      <w:r w:rsidRPr="00C04F82">
        <w:rPr>
          <w:szCs w:val="22"/>
          <w:lang w:val="nl"/>
        </w:rPr>
        <w:t>Het betreft de volgende projecten:</w:t>
      </w:r>
    </w:p>
    <w:p w:rsidR="00E76C7A" w:rsidRPr="00C04F82" w:rsidRDefault="00E76C7A" w:rsidP="0017085F">
      <w:pPr>
        <w:jc w:val="both"/>
        <w:rPr>
          <w:szCs w:val="22"/>
          <w:lang w:val="nl"/>
        </w:rPr>
      </w:pPr>
    </w:p>
    <w:p w:rsidR="00E76C7A" w:rsidRPr="00C04F82" w:rsidRDefault="00E76C7A" w:rsidP="0017085F">
      <w:pPr>
        <w:numPr>
          <w:ilvl w:val="0"/>
          <w:numId w:val="10"/>
        </w:numPr>
        <w:jc w:val="both"/>
        <w:rPr>
          <w:szCs w:val="22"/>
          <w:lang w:val="nl"/>
        </w:rPr>
      </w:pPr>
      <w:r w:rsidRPr="00C04F82">
        <w:rPr>
          <w:szCs w:val="22"/>
          <w:lang w:val="nl"/>
        </w:rPr>
        <w:t>Intergemeentelijke Samenwerking Wonen Zele-Berlare. Het subsidiebesluit dateert van 9/12/2008, de subsidiëringsperiode van het project is gestart op 01/06/2009. Het betreft een project intergemeentelijke samenwerking wonen voor de gemeenten Zele en Berlare. De toegekende Vlaamse subsidie bedraagt 187.500 euro.</w:t>
      </w:r>
    </w:p>
    <w:p w:rsidR="00E76C7A" w:rsidRPr="00C04F82" w:rsidRDefault="00E76C7A" w:rsidP="0017085F">
      <w:pPr>
        <w:numPr>
          <w:ilvl w:val="0"/>
          <w:numId w:val="10"/>
        </w:numPr>
        <w:jc w:val="both"/>
        <w:rPr>
          <w:szCs w:val="22"/>
          <w:lang w:val="nl"/>
        </w:rPr>
      </w:pPr>
      <w:r w:rsidRPr="00C04F82">
        <w:rPr>
          <w:szCs w:val="22"/>
          <w:lang w:val="nl"/>
        </w:rPr>
        <w:t>WoonPlus. Het subsidiebesluit dateert van 10/09/2008, de subsidiëringsperiode van het project is gestart op 01/07/2009. Het betreft een project intergemeentelijke samenwerking wonen voor de gemeenten Wetteren, Wichelen en Laarne. De toegekende Vlaamse subsidie bedraagt 375.215,49 euro.</w:t>
      </w:r>
    </w:p>
    <w:p w:rsidR="00E76C7A" w:rsidRPr="00C04F82" w:rsidRDefault="00E76C7A" w:rsidP="0017085F">
      <w:pPr>
        <w:numPr>
          <w:ilvl w:val="0"/>
          <w:numId w:val="10"/>
        </w:numPr>
        <w:jc w:val="both"/>
        <w:rPr>
          <w:szCs w:val="22"/>
          <w:lang w:val="nl"/>
        </w:rPr>
      </w:pPr>
      <w:r w:rsidRPr="00C04F82">
        <w:rPr>
          <w:szCs w:val="22"/>
          <w:lang w:val="nl"/>
        </w:rPr>
        <w:t>Wooncentrum Meetjesland. Het subsidiebesluit dateert van 29/05/2009, de subsidiëringsperiode van het project is gestart op 01/11/2009. Het betreft een project intergemeentelijke samenwerking wonen voor de gemeenten Aalter, Assenede, Eeklo, Kaprijke, Knesselare, Maldegem, Sint-Laureins, Waarschoot, Zomergem. De toegekende Vlaamse subsidie bedraagt 534.770 euro.</w:t>
      </w:r>
      <w:r>
        <w:rPr>
          <w:szCs w:val="22"/>
          <w:lang w:val="nl"/>
        </w:rPr>
        <w:t xml:space="preserve"> Aan dit project werd van 01/01/2007 tot 31/10/2009 een facultatieve Vlaamse subsidie toegekend voor een experimentele projectwerking.</w:t>
      </w:r>
    </w:p>
    <w:p w:rsidR="00E76C7A" w:rsidRDefault="00E76C7A" w:rsidP="0017085F">
      <w:pPr>
        <w:numPr>
          <w:ilvl w:val="0"/>
          <w:numId w:val="10"/>
        </w:numPr>
        <w:jc w:val="both"/>
        <w:rPr>
          <w:szCs w:val="22"/>
          <w:lang w:val="nl"/>
        </w:rPr>
      </w:pPr>
      <w:r w:rsidRPr="00C04F82">
        <w:rPr>
          <w:szCs w:val="22"/>
          <w:lang w:val="nl"/>
        </w:rPr>
        <w:t>WO-NI-DE. Het subsidiebesluit dateert van 16/12/2009, de subsidiëringsperiode van het project is gestart</w:t>
      </w:r>
      <w:r>
        <w:rPr>
          <w:szCs w:val="22"/>
          <w:lang w:val="nl"/>
        </w:rPr>
        <w:t xml:space="preserve"> op 01/07/2010.</w:t>
      </w:r>
      <w:r w:rsidRPr="00C04F82">
        <w:rPr>
          <w:szCs w:val="22"/>
          <w:lang w:val="nl"/>
        </w:rPr>
        <w:t xml:space="preserve"> Het betreft een project intergemeentelijke samenwerking wonen voor de gemeenten </w:t>
      </w:r>
      <w:smartTag w:uri="urn:schemas-microsoft-com:office:smarttags" w:element="PersonName">
        <w:r w:rsidRPr="00C04F82">
          <w:rPr>
            <w:szCs w:val="22"/>
            <w:lang w:val="nl"/>
          </w:rPr>
          <w:t>Ninove</w:t>
        </w:r>
      </w:smartTag>
      <w:r w:rsidRPr="00C04F82">
        <w:rPr>
          <w:szCs w:val="22"/>
          <w:lang w:val="nl"/>
        </w:rPr>
        <w:t xml:space="preserve"> en </w:t>
      </w:r>
      <w:smartTag w:uri="urn:schemas-microsoft-com:office:smarttags" w:element="PersonName">
        <w:r w:rsidRPr="00C04F82">
          <w:rPr>
            <w:szCs w:val="22"/>
            <w:lang w:val="nl"/>
          </w:rPr>
          <w:t>Denderleeuw</w:t>
        </w:r>
      </w:smartTag>
      <w:r w:rsidRPr="00C04F82">
        <w:rPr>
          <w:szCs w:val="22"/>
          <w:lang w:val="nl"/>
        </w:rPr>
        <w:t>. De toegekende Vlaamse subsidie bedraagt 217.031,25 euro.</w:t>
      </w:r>
    </w:p>
    <w:p w:rsidR="00E76C7A" w:rsidRPr="00C04F82" w:rsidRDefault="00E76C7A" w:rsidP="0017085F">
      <w:pPr>
        <w:numPr>
          <w:ilvl w:val="0"/>
          <w:numId w:val="10"/>
        </w:numPr>
        <w:jc w:val="both"/>
        <w:rPr>
          <w:szCs w:val="22"/>
          <w:lang w:val="nl"/>
        </w:rPr>
      </w:pPr>
      <w:r w:rsidRPr="00C04F82">
        <w:rPr>
          <w:szCs w:val="22"/>
          <w:lang w:val="nl"/>
        </w:rPr>
        <w:t>Wonen GeZo. Het subsidiebesluit dateert van 16/12/2009, de subsidiëringsperiode van het project is gestart</w:t>
      </w:r>
      <w:r>
        <w:rPr>
          <w:szCs w:val="22"/>
          <w:lang w:val="nl"/>
        </w:rPr>
        <w:t xml:space="preserve"> op 01/04/2011.</w:t>
      </w:r>
      <w:r w:rsidRPr="00C04F82">
        <w:rPr>
          <w:szCs w:val="22"/>
          <w:lang w:val="nl"/>
        </w:rPr>
        <w:t xml:space="preserve"> Het betreft een project intergemeentelijke samenwerking wonen voor de gemeenten Geraardsbergen en </w:t>
      </w:r>
      <w:smartTag w:uri="urn:schemas-microsoft-com:office:smarttags" w:element="PersonName">
        <w:r w:rsidRPr="00C04F82">
          <w:rPr>
            <w:szCs w:val="22"/>
            <w:lang w:val="nl"/>
          </w:rPr>
          <w:t>Zottegem</w:t>
        </w:r>
      </w:smartTag>
      <w:r w:rsidRPr="00C04F82">
        <w:rPr>
          <w:szCs w:val="22"/>
          <w:lang w:val="nl"/>
        </w:rPr>
        <w:t>. De toegekende Vlaamse subsidie bedraagt 161.934,63 euro.</w:t>
      </w:r>
    </w:p>
    <w:p w:rsidR="00E76C7A" w:rsidRPr="00C04F82" w:rsidRDefault="00E76C7A" w:rsidP="0017085F">
      <w:pPr>
        <w:numPr>
          <w:ilvl w:val="0"/>
          <w:numId w:val="10"/>
        </w:numPr>
        <w:jc w:val="both"/>
        <w:rPr>
          <w:szCs w:val="22"/>
          <w:lang w:val="nl"/>
        </w:rPr>
      </w:pPr>
      <w:r>
        <w:rPr>
          <w:szCs w:val="22"/>
          <w:lang w:val="nl"/>
        </w:rPr>
        <w:t xml:space="preserve">Intergemeentelijke Woonwijzer. Het subsidiebesluit dateert van 15/10/2010, </w:t>
      </w:r>
      <w:r w:rsidRPr="00C04F82">
        <w:rPr>
          <w:szCs w:val="22"/>
          <w:lang w:val="nl"/>
        </w:rPr>
        <w:t>de subsidiërings</w:t>
      </w:r>
      <w:r>
        <w:rPr>
          <w:szCs w:val="22"/>
          <w:lang w:val="nl"/>
        </w:rPr>
        <w:softHyphen/>
      </w:r>
      <w:r w:rsidRPr="00C04F82">
        <w:rPr>
          <w:szCs w:val="22"/>
          <w:lang w:val="nl"/>
        </w:rPr>
        <w:t>periode van het project is gestart</w:t>
      </w:r>
      <w:r>
        <w:rPr>
          <w:szCs w:val="22"/>
          <w:lang w:val="nl"/>
        </w:rPr>
        <w:t xml:space="preserve"> op 01/04/2011. </w:t>
      </w:r>
      <w:r w:rsidRPr="00C04F82">
        <w:rPr>
          <w:szCs w:val="22"/>
          <w:lang w:val="nl"/>
        </w:rPr>
        <w:t>Het betreft een project intergemeentelijke samenwerking wonen voor de gemeenten</w:t>
      </w:r>
      <w:r>
        <w:rPr>
          <w:szCs w:val="22"/>
          <w:lang w:val="nl"/>
        </w:rPr>
        <w:t xml:space="preserve"> Erpe-Mere, </w:t>
      </w:r>
      <w:smartTag w:uri="urn:schemas-microsoft-com:office:smarttags" w:element="PersonName">
        <w:r>
          <w:rPr>
            <w:szCs w:val="22"/>
            <w:lang w:val="nl"/>
          </w:rPr>
          <w:t>Haaltert</w:t>
        </w:r>
      </w:smartTag>
      <w:r>
        <w:rPr>
          <w:szCs w:val="22"/>
          <w:lang w:val="nl"/>
        </w:rPr>
        <w:t xml:space="preserve">, </w:t>
      </w:r>
      <w:smartTag w:uri="urn:schemas-microsoft-com:office:smarttags" w:element="PersonName">
        <w:r>
          <w:rPr>
            <w:szCs w:val="22"/>
            <w:lang w:val="nl"/>
          </w:rPr>
          <w:t>Herzele</w:t>
        </w:r>
      </w:smartTag>
      <w:r>
        <w:rPr>
          <w:szCs w:val="22"/>
          <w:lang w:val="nl"/>
        </w:rPr>
        <w:t xml:space="preserve"> en Sint-Lievens-Houtem. </w:t>
      </w:r>
      <w:r w:rsidRPr="00C04F82">
        <w:rPr>
          <w:szCs w:val="22"/>
          <w:lang w:val="nl"/>
        </w:rPr>
        <w:t>De toegekende Vlaamse subsidie bedraagt</w:t>
      </w:r>
      <w:r>
        <w:rPr>
          <w:szCs w:val="22"/>
          <w:lang w:val="nl"/>
        </w:rPr>
        <w:t xml:space="preserve"> 414.375 euro.</w:t>
      </w:r>
    </w:p>
    <w:p w:rsidR="00E76C7A" w:rsidRPr="00C04F82" w:rsidRDefault="00E76C7A" w:rsidP="0017085F">
      <w:pPr>
        <w:jc w:val="both"/>
        <w:rPr>
          <w:szCs w:val="22"/>
          <w:lang w:val="nl"/>
        </w:rPr>
      </w:pPr>
    </w:p>
    <w:p w:rsidR="00E76C7A" w:rsidRPr="00C04F82" w:rsidRDefault="00E76C7A" w:rsidP="0017085F">
      <w:pPr>
        <w:jc w:val="both"/>
        <w:rPr>
          <w:szCs w:val="22"/>
          <w:lang w:val="nl"/>
        </w:rPr>
      </w:pPr>
      <w:r>
        <w:rPr>
          <w:szCs w:val="22"/>
          <w:lang w:val="nl"/>
        </w:rPr>
        <w:br w:type="page"/>
      </w:r>
      <w:r w:rsidRPr="00C04F82">
        <w:rPr>
          <w:szCs w:val="22"/>
          <w:lang w:val="nl"/>
        </w:rPr>
        <w:t>Elk van deze projecten moet verplicht de drie onderstaande projectactiviteiten uitvoeren:</w:t>
      </w:r>
    </w:p>
    <w:p w:rsidR="00E76C7A" w:rsidRPr="00C04F82" w:rsidRDefault="00E76C7A" w:rsidP="0017085F">
      <w:pPr>
        <w:numPr>
          <w:ilvl w:val="0"/>
          <w:numId w:val="11"/>
        </w:numPr>
        <w:jc w:val="both"/>
        <w:rPr>
          <w:szCs w:val="22"/>
        </w:rPr>
      </w:pPr>
      <w:r w:rsidRPr="00C04F82">
        <w:rPr>
          <w:szCs w:val="22"/>
        </w:rPr>
        <w:t>Activiteit 1°</w:t>
      </w:r>
      <w:r>
        <w:rPr>
          <w:szCs w:val="22"/>
        </w:rPr>
        <w:t>:</w:t>
      </w:r>
      <w:r w:rsidRPr="00C04F82">
        <w:rPr>
          <w:szCs w:val="22"/>
        </w:rPr>
        <w:t xml:space="preserve"> het begeleiden en ondersteunen van de deelnemende gemeenten bij de ontwikkeling van een gemeentelijke beleidsvisie op het vlak van wonen;</w:t>
      </w:r>
    </w:p>
    <w:p w:rsidR="00E76C7A" w:rsidRPr="00C04F82" w:rsidRDefault="00E76C7A" w:rsidP="0017085F">
      <w:pPr>
        <w:numPr>
          <w:ilvl w:val="0"/>
          <w:numId w:val="11"/>
        </w:numPr>
        <w:jc w:val="both"/>
        <w:rPr>
          <w:szCs w:val="22"/>
        </w:rPr>
      </w:pPr>
      <w:r w:rsidRPr="00C04F82">
        <w:rPr>
          <w:szCs w:val="22"/>
        </w:rPr>
        <w:t>Activiteit 2°</w:t>
      </w:r>
      <w:r>
        <w:rPr>
          <w:szCs w:val="22"/>
        </w:rPr>
        <w:t>:</w:t>
      </w:r>
      <w:r w:rsidRPr="00C04F82">
        <w:rPr>
          <w:szCs w:val="22"/>
        </w:rPr>
        <w:t xml:space="preserve"> het faciliteren of uitbreiden van het woonoverleg met alle lokale woonactoren;</w:t>
      </w:r>
    </w:p>
    <w:p w:rsidR="00E76C7A" w:rsidRPr="00C04F82" w:rsidRDefault="00E76C7A" w:rsidP="0017085F">
      <w:pPr>
        <w:numPr>
          <w:ilvl w:val="0"/>
          <w:numId w:val="11"/>
        </w:numPr>
        <w:jc w:val="both"/>
        <w:rPr>
          <w:szCs w:val="22"/>
        </w:rPr>
      </w:pPr>
      <w:r w:rsidRPr="00C04F82">
        <w:rPr>
          <w:szCs w:val="22"/>
        </w:rPr>
        <w:t>Activiteit 3°</w:t>
      </w:r>
      <w:r>
        <w:rPr>
          <w:szCs w:val="22"/>
        </w:rPr>
        <w:t>:</w:t>
      </w:r>
      <w:r w:rsidRPr="00C04F82">
        <w:rPr>
          <w:szCs w:val="22"/>
        </w:rPr>
        <w:t xml:space="preserve"> het aanbieden van gestructureerde basisinformatie aan de inwoners van de deelnemende gemeenten over:</w:t>
      </w:r>
    </w:p>
    <w:p w:rsidR="00E76C7A" w:rsidRPr="00C04F82" w:rsidRDefault="00E76C7A" w:rsidP="0017085F">
      <w:pPr>
        <w:numPr>
          <w:ilvl w:val="0"/>
          <w:numId w:val="12"/>
        </w:numPr>
        <w:jc w:val="both"/>
        <w:rPr>
          <w:szCs w:val="22"/>
        </w:rPr>
      </w:pPr>
      <w:r w:rsidRPr="00C04F82">
        <w:rPr>
          <w:szCs w:val="22"/>
        </w:rPr>
        <w:t xml:space="preserve">gemeentelijke, provinciale, gewestelijke en federale huisvestingsmaatregelen en het respectieve dienstverleningsaanbod; </w:t>
      </w:r>
    </w:p>
    <w:p w:rsidR="00E76C7A" w:rsidRPr="00C04F82" w:rsidRDefault="00E76C7A" w:rsidP="0017085F">
      <w:pPr>
        <w:numPr>
          <w:ilvl w:val="0"/>
          <w:numId w:val="12"/>
        </w:numPr>
        <w:jc w:val="both"/>
        <w:rPr>
          <w:szCs w:val="22"/>
        </w:rPr>
      </w:pPr>
      <w:r w:rsidRPr="00C04F82">
        <w:rPr>
          <w:szCs w:val="22"/>
        </w:rPr>
        <w:t>huuraangelegenheden;</w:t>
      </w:r>
    </w:p>
    <w:p w:rsidR="00E76C7A" w:rsidRPr="00C04F82" w:rsidRDefault="00E76C7A" w:rsidP="0017085F">
      <w:pPr>
        <w:numPr>
          <w:ilvl w:val="0"/>
          <w:numId w:val="12"/>
        </w:numPr>
        <w:jc w:val="both"/>
        <w:rPr>
          <w:szCs w:val="22"/>
        </w:rPr>
      </w:pPr>
      <w:r w:rsidRPr="00C04F82">
        <w:rPr>
          <w:szCs w:val="22"/>
        </w:rPr>
        <w:t>sociaal huren, sociaal kopen en sociaal lenen;</w:t>
      </w:r>
    </w:p>
    <w:p w:rsidR="00E76C7A" w:rsidRPr="00C04F82" w:rsidRDefault="00E76C7A" w:rsidP="0017085F">
      <w:pPr>
        <w:numPr>
          <w:ilvl w:val="0"/>
          <w:numId w:val="12"/>
        </w:numPr>
        <w:jc w:val="both"/>
        <w:rPr>
          <w:szCs w:val="22"/>
        </w:rPr>
      </w:pPr>
      <w:r w:rsidRPr="00C04F82">
        <w:rPr>
          <w:szCs w:val="22"/>
        </w:rPr>
        <w:t>actuele beleidsmaatregelen inzake huisvesting;</w:t>
      </w:r>
    </w:p>
    <w:p w:rsidR="00E76C7A" w:rsidRPr="00C04F82" w:rsidRDefault="00E76C7A" w:rsidP="0017085F">
      <w:pPr>
        <w:jc w:val="both"/>
        <w:rPr>
          <w:szCs w:val="22"/>
          <w:lang w:val="nl"/>
        </w:rPr>
      </w:pPr>
    </w:p>
    <w:p w:rsidR="00E76C7A" w:rsidRPr="00C04F82" w:rsidRDefault="00E76C7A" w:rsidP="0017085F">
      <w:pPr>
        <w:jc w:val="both"/>
        <w:rPr>
          <w:szCs w:val="22"/>
          <w:lang w:val="nl"/>
        </w:rPr>
      </w:pPr>
      <w:r w:rsidRPr="00C04F82">
        <w:rPr>
          <w:szCs w:val="22"/>
          <w:lang w:val="nl"/>
        </w:rPr>
        <w:t>Deze drie verplichte activiteiten moeten aangevuld worden met minstens twee zelfgekozen facultatieve activiteiten.</w:t>
      </w:r>
    </w:p>
    <w:p w:rsidR="00E76C7A" w:rsidRPr="0017085F" w:rsidRDefault="00E76C7A" w:rsidP="00EA15C8">
      <w:pPr>
        <w:jc w:val="both"/>
        <w:rPr>
          <w:lang w:val="nl"/>
        </w:rPr>
      </w:pPr>
    </w:p>
    <w:p w:rsidR="00E76C7A" w:rsidRPr="0020269D" w:rsidRDefault="00E76C7A" w:rsidP="004105E2">
      <w:pPr>
        <w:jc w:val="both"/>
        <w:rPr>
          <w:b/>
          <w:smallCaps/>
          <w:u w:val="single"/>
        </w:rPr>
      </w:pPr>
      <w:r w:rsidRPr="0020269D">
        <w:rPr>
          <w:b/>
          <w:smallCaps/>
          <w:u w:val="single"/>
        </w:rPr>
        <w:t>Steden</w:t>
      </w:r>
    </w:p>
    <w:p w:rsidR="00E76C7A" w:rsidRDefault="00E76C7A" w:rsidP="00EA15C8">
      <w:pPr>
        <w:jc w:val="both"/>
      </w:pPr>
    </w:p>
    <w:p w:rsidR="00E76C7A" w:rsidRPr="005047DF" w:rsidRDefault="00E76C7A" w:rsidP="00D52893">
      <w:pPr>
        <w:pStyle w:val="StandaardSV"/>
        <w:rPr>
          <w:szCs w:val="22"/>
        </w:rPr>
      </w:pPr>
      <w:r w:rsidRPr="005047DF">
        <w:rPr>
          <w:szCs w:val="22"/>
        </w:rPr>
        <w:t>In het kader van het Stedenbeleid werden in 2010 volgende subsidies toegekend voor projecten op het grondgebied Oost-Vlaanderen:</w:t>
      </w:r>
    </w:p>
    <w:p w:rsidR="00E76C7A" w:rsidRPr="005047DF" w:rsidRDefault="00E76C7A" w:rsidP="00D52893">
      <w:pPr>
        <w:pStyle w:val="StandaardSV"/>
        <w:rPr>
          <w:szCs w:val="22"/>
        </w:rPr>
      </w:pPr>
    </w:p>
    <w:p w:rsidR="00E76C7A" w:rsidRPr="00763E99" w:rsidRDefault="00E76C7A" w:rsidP="00D52893">
      <w:pPr>
        <w:pStyle w:val="StandaardSV"/>
        <w:rPr>
          <w:szCs w:val="22"/>
          <w:u w:val="single"/>
        </w:rPr>
      </w:pPr>
      <w:r w:rsidRPr="00763E99">
        <w:rPr>
          <w:szCs w:val="22"/>
          <w:u w:val="single"/>
        </w:rPr>
        <w:t>Projectsubsidie ondersteuning stadsvernieuwingsprojecten:</w:t>
      </w:r>
    </w:p>
    <w:p w:rsidR="00E76C7A" w:rsidRPr="005047DF" w:rsidRDefault="00E76C7A" w:rsidP="00D52893">
      <w:pPr>
        <w:pStyle w:val="StandaardSV"/>
        <w:rPr>
          <w:szCs w:val="22"/>
        </w:rPr>
      </w:pPr>
    </w:p>
    <w:p w:rsidR="00E76C7A" w:rsidRPr="005047DF" w:rsidRDefault="00E76C7A" w:rsidP="000A0CE6">
      <w:pPr>
        <w:autoSpaceDE w:val="0"/>
        <w:autoSpaceDN w:val="0"/>
        <w:adjustRightInd w:val="0"/>
        <w:ind w:left="345" w:hanging="345"/>
        <w:rPr>
          <w:color w:val="000000"/>
          <w:szCs w:val="22"/>
        </w:rPr>
      </w:pPr>
      <w:r w:rsidRPr="005047DF">
        <w:rPr>
          <w:color w:val="000000"/>
          <w:szCs w:val="22"/>
        </w:rPr>
        <w:t>-</w:t>
      </w:r>
      <w:r w:rsidRPr="005047DF">
        <w:rPr>
          <w:color w:val="000000"/>
          <w:szCs w:val="22"/>
        </w:rPr>
        <w:tab/>
        <w:t xml:space="preserve">Stad Deinze, Stedelijk wonen aan de Leie: 2.558.000 euro. </w:t>
      </w:r>
    </w:p>
    <w:p w:rsidR="00E76C7A" w:rsidRPr="005047DF" w:rsidRDefault="00E76C7A" w:rsidP="000A0CE6">
      <w:pPr>
        <w:autoSpaceDE w:val="0"/>
        <w:autoSpaceDN w:val="0"/>
        <w:adjustRightInd w:val="0"/>
        <w:ind w:left="360"/>
        <w:jc w:val="both"/>
        <w:rPr>
          <w:color w:val="000000"/>
          <w:szCs w:val="22"/>
        </w:rPr>
      </w:pPr>
      <w:r w:rsidRPr="005047DF">
        <w:rPr>
          <w:szCs w:val="22"/>
        </w:rPr>
        <w:t xml:space="preserve">Het project combineert een aantal deelprojecten tot een sterke strategische stap in de richting van een volledige ruimtelijke herwaardering en herontwikkeling van de stad, zoals omschreven in het plan Deinze 2020. </w:t>
      </w:r>
    </w:p>
    <w:p w:rsidR="00E76C7A" w:rsidRPr="005047DF" w:rsidRDefault="00E76C7A" w:rsidP="00D52893">
      <w:pPr>
        <w:autoSpaceDE w:val="0"/>
        <w:autoSpaceDN w:val="0"/>
        <w:adjustRightInd w:val="0"/>
        <w:ind w:firstLine="360"/>
        <w:rPr>
          <w:color w:val="000000"/>
          <w:szCs w:val="22"/>
        </w:rPr>
      </w:pPr>
    </w:p>
    <w:p w:rsidR="00E76C7A" w:rsidRPr="005047DF" w:rsidRDefault="00E76C7A" w:rsidP="000A0CE6">
      <w:pPr>
        <w:numPr>
          <w:ilvl w:val="0"/>
          <w:numId w:val="13"/>
        </w:numPr>
        <w:tabs>
          <w:tab w:val="num" w:pos="360"/>
        </w:tabs>
        <w:autoSpaceDE w:val="0"/>
        <w:autoSpaceDN w:val="0"/>
        <w:adjustRightInd w:val="0"/>
        <w:ind w:left="360"/>
        <w:jc w:val="both"/>
        <w:rPr>
          <w:szCs w:val="22"/>
        </w:rPr>
      </w:pPr>
      <w:r w:rsidRPr="005047DF">
        <w:rPr>
          <w:color w:val="000000"/>
          <w:szCs w:val="22"/>
        </w:rPr>
        <w:t xml:space="preserve">Stad Gent, “Oude Dokken- fase 1 “Handelsdok - Oost”, onderdelen 1/4/5A: 2.360.000 euro. </w:t>
      </w:r>
      <w:r w:rsidRPr="005047DF">
        <w:rPr>
          <w:szCs w:val="22"/>
        </w:rPr>
        <w:t xml:space="preserve">Het gaat om een project met een totaalkarakter, gebaseerd op een consequente ruimtelijke planning en een overtuigend stadsontwerp. Het stadsvernieuwingsproject (Fase 1, Handelsdok Oost) is een goed gekozen strategische project dat uitgewerkt wordt in verschillende onderdelen. Dit stadsvernieuwingsproject mikt op hoge kwaliteit, het concept van de fiets- en voetgangersbruggen is typologisch en technologisch innoverend. Vernieuwend is ook de inzet op de uitbouw van een sociale infrastructuur, door de tijdelijke toe-eigening van braakliggende gronden naast de voormalige betoncentrale door een consortium van sociaal-artistieke initiatieven. </w:t>
      </w:r>
    </w:p>
    <w:p w:rsidR="00E76C7A" w:rsidRPr="005047DF" w:rsidRDefault="00E76C7A" w:rsidP="000A0CE6">
      <w:pPr>
        <w:autoSpaceDE w:val="0"/>
        <w:autoSpaceDN w:val="0"/>
        <w:adjustRightInd w:val="0"/>
        <w:ind w:left="720"/>
        <w:jc w:val="both"/>
        <w:rPr>
          <w:color w:val="000000"/>
          <w:szCs w:val="22"/>
        </w:rPr>
      </w:pPr>
    </w:p>
    <w:p w:rsidR="00E76C7A" w:rsidRPr="00763E99" w:rsidRDefault="00E76C7A" w:rsidP="000A0CE6">
      <w:pPr>
        <w:pStyle w:val="Heading6"/>
        <w:spacing w:before="0" w:after="0"/>
        <w:rPr>
          <w:rFonts w:ascii="Times New Roman" w:hAnsi="Times New Roman"/>
          <w:b w:val="0"/>
          <w:bCs w:val="0"/>
          <w:u w:val="single"/>
        </w:rPr>
      </w:pPr>
      <w:r w:rsidRPr="00763E99">
        <w:rPr>
          <w:rFonts w:ascii="Times New Roman" w:hAnsi="Times New Roman"/>
          <w:b w:val="0"/>
          <w:bCs w:val="0"/>
          <w:u w:val="single"/>
        </w:rPr>
        <w:t>Conceptsubsidies ondersteuning stadsvernieuwingsprojecten:</w:t>
      </w:r>
    </w:p>
    <w:p w:rsidR="00E76C7A" w:rsidRPr="005047DF" w:rsidRDefault="00E76C7A" w:rsidP="000A0CE6">
      <w:pPr>
        <w:numPr>
          <w:ilvl w:val="0"/>
          <w:numId w:val="13"/>
        </w:numPr>
        <w:tabs>
          <w:tab w:val="clear" w:pos="66"/>
          <w:tab w:val="num" w:pos="360"/>
        </w:tabs>
        <w:autoSpaceDE w:val="0"/>
        <w:autoSpaceDN w:val="0"/>
        <w:adjustRightInd w:val="0"/>
        <w:ind w:left="360"/>
        <w:jc w:val="both"/>
        <w:rPr>
          <w:color w:val="000000"/>
          <w:szCs w:val="22"/>
        </w:rPr>
      </w:pPr>
      <w:r w:rsidRPr="005047DF">
        <w:rPr>
          <w:color w:val="000000"/>
          <w:szCs w:val="22"/>
        </w:rPr>
        <w:t xml:space="preserve">Stad Aalst, Tragel: 60.000 euro. </w:t>
      </w:r>
    </w:p>
    <w:p w:rsidR="00E76C7A" w:rsidRPr="005047DF" w:rsidRDefault="00E76C7A" w:rsidP="000A0CE6">
      <w:pPr>
        <w:autoSpaceDE w:val="0"/>
        <w:autoSpaceDN w:val="0"/>
        <w:adjustRightInd w:val="0"/>
        <w:ind w:left="360"/>
        <w:jc w:val="both"/>
        <w:rPr>
          <w:szCs w:val="22"/>
        </w:rPr>
      </w:pPr>
      <w:r w:rsidRPr="005047DF">
        <w:rPr>
          <w:color w:val="000000"/>
          <w:szCs w:val="22"/>
        </w:rPr>
        <w:t>Het project beoogt de ontwikkeling van de Trag</w:t>
      </w:r>
      <w:r>
        <w:rPr>
          <w:color w:val="000000"/>
          <w:szCs w:val="22"/>
        </w:rPr>
        <w:t xml:space="preserve">elsite. Het project heeft een </w:t>
      </w:r>
      <w:r w:rsidRPr="005047DF">
        <w:rPr>
          <w:color w:val="000000"/>
          <w:szCs w:val="22"/>
        </w:rPr>
        <w:t>tweevoudige rol namelijk de herontwikkeling van het gebied zelf en de toegankelijkheid organiseren</w:t>
      </w:r>
      <w:r w:rsidRPr="005047DF">
        <w:rPr>
          <w:szCs w:val="22"/>
        </w:rPr>
        <w:t xml:space="preserve"> van het aangrenzend project stationsomgeving. De ontwikkeling van deze site met onder andere ruimte voor een evenementenhal met regionale uitstraling is strategisch zeer belangrijk</w:t>
      </w:r>
    </w:p>
    <w:p w:rsidR="00E76C7A" w:rsidRPr="005047DF" w:rsidRDefault="00E76C7A" w:rsidP="000A0CE6">
      <w:pPr>
        <w:ind w:left="708"/>
        <w:jc w:val="both"/>
        <w:rPr>
          <w:szCs w:val="22"/>
        </w:rPr>
      </w:pPr>
    </w:p>
    <w:p w:rsidR="00E76C7A" w:rsidRPr="00414B07" w:rsidRDefault="00E76C7A" w:rsidP="000A0CE6">
      <w:pPr>
        <w:numPr>
          <w:ilvl w:val="0"/>
          <w:numId w:val="13"/>
        </w:numPr>
        <w:tabs>
          <w:tab w:val="clear" w:pos="66"/>
          <w:tab w:val="num" w:pos="360"/>
          <w:tab w:val="num" w:pos="709"/>
        </w:tabs>
        <w:autoSpaceDE w:val="0"/>
        <w:autoSpaceDN w:val="0"/>
        <w:adjustRightInd w:val="0"/>
        <w:ind w:left="360"/>
        <w:jc w:val="both"/>
        <w:rPr>
          <w:color w:val="000000"/>
          <w:szCs w:val="22"/>
        </w:rPr>
      </w:pPr>
      <w:r w:rsidRPr="00414B07">
        <w:rPr>
          <w:color w:val="000000"/>
          <w:szCs w:val="22"/>
        </w:rPr>
        <w:t xml:space="preserve">Stad Gent, project Herontwikkeling UCO-site (Maïsstraat 124): 60.000 euro. </w:t>
      </w:r>
    </w:p>
    <w:p w:rsidR="00E76C7A" w:rsidRPr="00414B07" w:rsidRDefault="00E76C7A" w:rsidP="000A0CE6">
      <w:pPr>
        <w:autoSpaceDE w:val="0"/>
        <w:autoSpaceDN w:val="0"/>
        <w:adjustRightInd w:val="0"/>
        <w:ind w:left="360"/>
        <w:jc w:val="both"/>
        <w:rPr>
          <w:color w:val="000000"/>
          <w:szCs w:val="22"/>
        </w:rPr>
      </w:pPr>
      <w:r w:rsidRPr="00414B07">
        <w:rPr>
          <w:color w:val="000000"/>
          <w:szCs w:val="22"/>
        </w:rPr>
        <w:t xml:space="preserve">Het project voorziet in een belangrijke investering in sociale economie die gekoppeld wordt aan het benutten van het grote potentieel van de strategisch gelegen site. Dit project sluit bovendien aan bij de expliciete vraag van diverse sociale economiebedrijven om te herlokaliseren en uit te breiden. De conceptsubsidiëring levert een belangrijke bijdrage om dit ambitieuze project op de rails te zetten. </w:t>
      </w:r>
    </w:p>
    <w:p w:rsidR="00E76C7A" w:rsidRPr="005047DF" w:rsidRDefault="00E76C7A" w:rsidP="00D52893">
      <w:pPr>
        <w:pStyle w:val="StandaardSV"/>
        <w:rPr>
          <w:szCs w:val="22"/>
        </w:rPr>
      </w:pPr>
    </w:p>
    <w:p w:rsidR="00E76C7A" w:rsidRPr="00763E99" w:rsidRDefault="00E76C7A" w:rsidP="00D52893">
      <w:pPr>
        <w:pStyle w:val="StandaardSV"/>
        <w:rPr>
          <w:szCs w:val="22"/>
          <w:u w:val="single"/>
        </w:rPr>
      </w:pPr>
      <w:r w:rsidRPr="00763E99">
        <w:rPr>
          <w:szCs w:val="22"/>
          <w:u w:val="single"/>
        </w:rPr>
        <w:t>Originele en innoverende projecten:</w:t>
      </w:r>
    </w:p>
    <w:p w:rsidR="00E76C7A" w:rsidRPr="00414B07" w:rsidRDefault="00E76C7A" w:rsidP="000A0CE6">
      <w:pPr>
        <w:numPr>
          <w:ilvl w:val="0"/>
          <w:numId w:val="13"/>
        </w:numPr>
        <w:tabs>
          <w:tab w:val="clear" w:pos="66"/>
          <w:tab w:val="num" w:pos="360"/>
          <w:tab w:val="num" w:pos="709"/>
        </w:tabs>
        <w:autoSpaceDE w:val="0"/>
        <w:autoSpaceDN w:val="0"/>
        <w:adjustRightInd w:val="0"/>
        <w:ind w:left="360"/>
        <w:jc w:val="both"/>
        <w:rPr>
          <w:color w:val="000000"/>
          <w:szCs w:val="22"/>
        </w:rPr>
      </w:pPr>
      <w:r w:rsidRPr="00414B07">
        <w:rPr>
          <w:color w:val="000000"/>
          <w:szCs w:val="22"/>
        </w:rPr>
        <w:t>cirQ vzw in Gent, het project “DOK</w:t>
      </w:r>
      <w:r>
        <w:rPr>
          <w:color w:val="000000"/>
          <w:szCs w:val="22"/>
        </w:rPr>
        <w:t>strand”</w:t>
      </w:r>
      <w:r w:rsidRPr="00414B07">
        <w:rPr>
          <w:color w:val="000000"/>
          <w:szCs w:val="22"/>
        </w:rPr>
        <w:t xml:space="preserve">: 25.000 euro. </w:t>
      </w:r>
    </w:p>
    <w:p w:rsidR="00E76C7A" w:rsidRPr="00414B07" w:rsidRDefault="00E76C7A" w:rsidP="000A0CE6">
      <w:pPr>
        <w:autoSpaceDE w:val="0"/>
        <w:autoSpaceDN w:val="0"/>
        <w:adjustRightInd w:val="0"/>
        <w:ind w:left="360"/>
        <w:jc w:val="both"/>
        <w:rPr>
          <w:color w:val="000000"/>
          <w:szCs w:val="22"/>
        </w:rPr>
      </w:pPr>
      <w:r w:rsidRPr="00414B07">
        <w:rPr>
          <w:color w:val="000000"/>
          <w:szCs w:val="22"/>
        </w:rPr>
        <w:t>Het project wil van een gure, verlaten en onveilige plaats ee</w:t>
      </w:r>
      <w:r>
        <w:rPr>
          <w:color w:val="000000"/>
          <w:szCs w:val="22"/>
        </w:rPr>
        <w:t>n gezellig, sfeervol en spraak</w:t>
      </w:r>
      <w:r w:rsidRPr="00414B07">
        <w:rPr>
          <w:color w:val="000000"/>
          <w:szCs w:val="22"/>
        </w:rPr>
        <w:t xml:space="preserve">makend geheel maken. Dit </w:t>
      </w:r>
      <w:r>
        <w:rPr>
          <w:color w:val="000000"/>
          <w:szCs w:val="22"/>
        </w:rPr>
        <w:t xml:space="preserve">project </w:t>
      </w:r>
      <w:r w:rsidRPr="00414B07">
        <w:rPr>
          <w:color w:val="000000"/>
          <w:szCs w:val="22"/>
        </w:rPr>
        <w:t xml:space="preserve">betreft een overwegend sociaal en artistiek gebeuren, omdat dit strand op deze plek de logistieke voorloper wordt van een nieuw te ontwikkelen wijk. Het is een sociaal cultureel initiatief in een verloederde industriële omgeving. DOKstrand heeft de nadrukkelijke bedoeling om de sociale cohesie te verbeteren. DOKstrand stelt zich zowel open voor de buurt- en wijkbewoners als voor de inwoners van groot Gent. </w:t>
      </w:r>
    </w:p>
    <w:p w:rsidR="00E76C7A" w:rsidRPr="005047DF" w:rsidRDefault="00E76C7A" w:rsidP="00D52893">
      <w:pPr>
        <w:pStyle w:val="StandaardSV"/>
        <w:rPr>
          <w:szCs w:val="22"/>
        </w:rPr>
      </w:pPr>
    </w:p>
    <w:p w:rsidR="00E76C7A" w:rsidRPr="00763E99" w:rsidRDefault="00E76C7A" w:rsidP="00D52893">
      <w:pPr>
        <w:rPr>
          <w:szCs w:val="22"/>
          <w:u w:val="single"/>
        </w:rPr>
      </w:pPr>
      <w:r w:rsidRPr="00763E99">
        <w:rPr>
          <w:szCs w:val="22"/>
          <w:u w:val="single"/>
        </w:rPr>
        <w:t>“Thuis in de stad”-prijs:</w:t>
      </w:r>
    </w:p>
    <w:p w:rsidR="00E76C7A" w:rsidRPr="00414B07" w:rsidRDefault="00E76C7A" w:rsidP="000A0CE6">
      <w:pPr>
        <w:numPr>
          <w:ilvl w:val="0"/>
          <w:numId w:val="13"/>
        </w:numPr>
        <w:tabs>
          <w:tab w:val="clear" w:pos="66"/>
          <w:tab w:val="num" w:pos="360"/>
          <w:tab w:val="num" w:pos="709"/>
        </w:tabs>
        <w:autoSpaceDE w:val="0"/>
        <w:autoSpaceDN w:val="0"/>
        <w:adjustRightInd w:val="0"/>
        <w:ind w:left="360"/>
        <w:jc w:val="both"/>
        <w:rPr>
          <w:color w:val="000000"/>
          <w:szCs w:val="22"/>
        </w:rPr>
      </w:pPr>
      <w:r w:rsidRPr="00414B07">
        <w:rPr>
          <w:color w:val="000000"/>
          <w:szCs w:val="22"/>
        </w:rPr>
        <w:t>Gent, Bijlokesite STAM: 125.000 euro.</w:t>
      </w:r>
    </w:p>
    <w:p w:rsidR="00E76C7A" w:rsidRPr="00414B07" w:rsidRDefault="00E76C7A" w:rsidP="000A0CE6">
      <w:pPr>
        <w:autoSpaceDE w:val="0"/>
        <w:autoSpaceDN w:val="0"/>
        <w:adjustRightInd w:val="0"/>
        <w:ind w:left="360"/>
        <w:jc w:val="both"/>
        <w:rPr>
          <w:color w:val="000000"/>
          <w:szCs w:val="22"/>
        </w:rPr>
      </w:pPr>
      <w:r w:rsidRPr="00414B07">
        <w:rPr>
          <w:color w:val="000000"/>
          <w:szCs w:val="22"/>
        </w:rPr>
        <w:t xml:space="preserve">De prijs voor categorie 1, “geïntegreerd infrastructureel project” werd toegekend aan </w:t>
      </w:r>
      <w:r>
        <w:rPr>
          <w:color w:val="000000"/>
          <w:szCs w:val="22"/>
        </w:rPr>
        <w:t xml:space="preserve">de stad </w:t>
      </w:r>
      <w:r w:rsidRPr="00414B07">
        <w:rPr>
          <w:color w:val="000000"/>
          <w:szCs w:val="22"/>
        </w:rPr>
        <w:t xml:space="preserve">Gent voor het nieuwe stadsmuseum STAM en de ontsluiting van de Bijlokesite. Door het voormalige abdijcomplex naar een toegankelijke cultuurcampus te herbestemmen, creëerde Gent een toegangspoort tot de stad. Voor bezoekers is het STAM, met de stad als voornaamste collectiestuk, de perfecte uitvalsbasis voor een dagje Gent. Terwijl de buurtbewoners er een tuin als ontmoetingsplek bij kregen. </w:t>
      </w:r>
    </w:p>
    <w:p w:rsidR="00E76C7A" w:rsidRPr="00EA15C8" w:rsidRDefault="00E76C7A" w:rsidP="00EA15C8">
      <w:pPr>
        <w:jc w:val="both"/>
      </w:pPr>
    </w:p>
    <w:p w:rsidR="00E76C7A" w:rsidRPr="0020269D" w:rsidRDefault="00E76C7A" w:rsidP="004105E2">
      <w:pPr>
        <w:jc w:val="both"/>
        <w:rPr>
          <w:b/>
          <w:smallCaps/>
          <w:u w:val="single"/>
        </w:rPr>
      </w:pPr>
      <w:r w:rsidRPr="0020269D">
        <w:rPr>
          <w:b/>
          <w:smallCaps/>
          <w:u w:val="single"/>
        </w:rPr>
        <w:t>Sociale Economie</w:t>
      </w:r>
    </w:p>
    <w:p w:rsidR="00E76C7A" w:rsidRPr="00EA15C8" w:rsidRDefault="00E76C7A" w:rsidP="000A0CE6">
      <w:pPr>
        <w:jc w:val="both"/>
      </w:pPr>
    </w:p>
    <w:p w:rsidR="00E76C7A" w:rsidRDefault="00E76C7A" w:rsidP="000A0CE6">
      <w:pPr>
        <w:pStyle w:val="StandaardSV"/>
        <w:tabs>
          <w:tab w:val="left" w:pos="0"/>
        </w:tabs>
      </w:pPr>
      <w:r>
        <w:t xml:space="preserve">In hoofde van mijn bevoegdheid Sociale Economie financierde in de loop van het jaar 2010 structurele en niet-structurele projecten </w:t>
      </w:r>
      <w:r w:rsidRPr="002F36CD">
        <w:rPr>
          <w:u w:val="single"/>
        </w:rPr>
        <w:t>via het Vlaams subsidieagentschap WSE</w:t>
      </w:r>
      <w:r>
        <w:t xml:space="preserve">, overzicht daarvan bezorg ik u in bijlage 1 voor wat betreft beschutte werkplaatsen en in bijlage 2 voor wat betreft overige SE subsidies 2010.  </w:t>
      </w:r>
    </w:p>
    <w:p w:rsidR="00E76C7A" w:rsidRDefault="00E76C7A" w:rsidP="000A0CE6">
      <w:pPr>
        <w:pStyle w:val="StandaardSV"/>
        <w:tabs>
          <w:tab w:val="left" w:pos="0"/>
        </w:tabs>
        <w:rPr>
          <w:u w:val="single"/>
        </w:rPr>
      </w:pPr>
    </w:p>
    <w:p w:rsidR="00E76C7A" w:rsidRPr="002F36CD" w:rsidRDefault="00E76C7A" w:rsidP="000A0CE6">
      <w:pPr>
        <w:pStyle w:val="StandaardSV"/>
        <w:tabs>
          <w:tab w:val="left" w:pos="0"/>
        </w:tabs>
        <w:rPr>
          <w:u w:val="single"/>
        </w:rPr>
      </w:pPr>
      <w:r w:rsidRPr="002F36CD">
        <w:rPr>
          <w:u w:val="single"/>
        </w:rPr>
        <w:t xml:space="preserve">ESF-agentschap </w:t>
      </w:r>
    </w:p>
    <w:p w:rsidR="00E76C7A" w:rsidRDefault="00E76C7A" w:rsidP="00F7144B">
      <w:pPr>
        <w:jc w:val="both"/>
      </w:pPr>
    </w:p>
    <w:p w:rsidR="00E76C7A" w:rsidRPr="001D6325" w:rsidRDefault="00E76C7A" w:rsidP="00F7144B">
      <w:pPr>
        <w:jc w:val="both"/>
        <w:rPr>
          <w:szCs w:val="22"/>
        </w:rPr>
      </w:pPr>
      <w:r w:rsidRPr="001D6325">
        <w:rPr>
          <w:szCs w:val="22"/>
        </w:rPr>
        <w:t>In bijlage 3 een overzicht va</w:t>
      </w:r>
      <w:r>
        <w:rPr>
          <w:szCs w:val="22"/>
        </w:rPr>
        <w:t>n Oost-Vlaamse projecten die in</w:t>
      </w:r>
      <w:r w:rsidRPr="001D6325">
        <w:rPr>
          <w:szCs w:val="22"/>
        </w:rPr>
        <w:t xml:space="preserve"> 2010 Vlaamse overheidssteun kregen via het ESF-Agentschap. Voor de financiering zijn twee kolommen gemaakt, een voor het regulier Vlaams Cofinancieringsfonds en een voor de middelen die men uitbetaalt aan projecten sociale innovatie (oproep 112) die vanuit het IWT - Competentiepool komen. </w:t>
      </w:r>
    </w:p>
    <w:p w:rsidR="00E76C7A" w:rsidRPr="001D6325" w:rsidRDefault="00E76C7A" w:rsidP="00F7144B">
      <w:pPr>
        <w:jc w:val="both"/>
        <w:rPr>
          <w:szCs w:val="22"/>
        </w:rPr>
      </w:pPr>
    </w:p>
    <w:p w:rsidR="00E76C7A" w:rsidRPr="001D6325" w:rsidRDefault="00E76C7A" w:rsidP="00F7144B">
      <w:pPr>
        <w:jc w:val="both"/>
        <w:rPr>
          <w:szCs w:val="22"/>
        </w:rPr>
      </w:pPr>
      <w:r w:rsidRPr="001D6325">
        <w:rPr>
          <w:szCs w:val="22"/>
        </w:rPr>
        <w:t xml:space="preserve">Het gaat om projecten die in 2010 zijn goedgekeurd én projecten die in een voorgaand jaar zijn goedgekeurd maar in 2010 nog in uitvoering waren. Er kan in hoofde van het ESF </w:t>
      </w:r>
      <w:r w:rsidRPr="001D6325">
        <w:rPr>
          <w:szCs w:val="22"/>
          <w:u w:val="single"/>
        </w:rPr>
        <w:t>geen strikt onderscheid gemaakt worden tussen projecten die als Werk dan wel als Sociale Economie kunnen worden gecatalogeerd.</w:t>
      </w:r>
      <w:r w:rsidRPr="001D6325">
        <w:rPr>
          <w:szCs w:val="22"/>
        </w:rPr>
        <w:t xml:space="preserve"> Bijgevolg wordt deze info ook meegenomen in het antwoord van mijn collega bevoegd voor Werk.  </w:t>
      </w:r>
    </w:p>
    <w:p w:rsidR="00E76C7A" w:rsidRPr="001D6325" w:rsidRDefault="00E76C7A" w:rsidP="00F7144B">
      <w:pPr>
        <w:jc w:val="both"/>
        <w:rPr>
          <w:szCs w:val="22"/>
        </w:rPr>
      </w:pPr>
    </w:p>
    <w:p w:rsidR="00E76C7A" w:rsidRPr="001D6325" w:rsidRDefault="00E76C7A" w:rsidP="00F7144B">
      <w:pPr>
        <w:jc w:val="both"/>
        <w:rPr>
          <w:color w:val="000000"/>
          <w:szCs w:val="22"/>
        </w:rPr>
      </w:pPr>
      <w:r w:rsidRPr="001D6325">
        <w:rPr>
          <w:szCs w:val="22"/>
        </w:rPr>
        <w:t>Voor detailinformatie over de prioriteiten en de oproepen verwijs ik naar de website van het ESF-Agentschap</w:t>
      </w:r>
      <w:r w:rsidRPr="001D6325">
        <w:rPr>
          <w:color w:val="1F497D"/>
          <w:szCs w:val="22"/>
        </w:rPr>
        <w:t xml:space="preserve"> </w:t>
      </w:r>
      <w:hyperlink r:id="rId5" w:history="1">
        <w:r w:rsidRPr="001D6325">
          <w:rPr>
            <w:rStyle w:val="Hyperlink"/>
            <w:szCs w:val="22"/>
          </w:rPr>
          <w:t>www.esf-agentschap.be</w:t>
        </w:r>
      </w:hyperlink>
      <w:r w:rsidRPr="001D6325">
        <w:rPr>
          <w:color w:val="000000"/>
          <w:szCs w:val="22"/>
        </w:rPr>
        <w:t xml:space="preserve">. Detailinformatie over de projecten kan men vinden op de website </w:t>
      </w:r>
      <w:hyperlink r:id="rId6" w:history="1">
        <w:r w:rsidRPr="001D6325">
          <w:rPr>
            <w:rStyle w:val="Hyperlink"/>
            <w:szCs w:val="22"/>
          </w:rPr>
          <w:t>www.esf-producten.be</w:t>
        </w:r>
      </w:hyperlink>
      <w:r w:rsidRPr="001D6325">
        <w:rPr>
          <w:color w:val="000000"/>
          <w:szCs w:val="22"/>
        </w:rPr>
        <w:t>.</w:t>
      </w:r>
    </w:p>
    <w:p w:rsidR="00E76C7A" w:rsidRDefault="00E76C7A" w:rsidP="00F7144B">
      <w:pPr>
        <w:rPr>
          <w:color w:val="000000"/>
        </w:rPr>
      </w:pPr>
    </w:p>
    <w:p w:rsidR="00E76C7A" w:rsidRDefault="00E76C7A" w:rsidP="00EA15C8">
      <w:pPr>
        <w:jc w:val="both"/>
      </w:pPr>
    </w:p>
    <w:p w:rsidR="00E76C7A" w:rsidRPr="000A0CE6" w:rsidRDefault="00E76C7A" w:rsidP="00EA15C8">
      <w:pPr>
        <w:jc w:val="both"/>
        <w:rPr>
          <w:rFonts w:ascii="Times New Roman Vet" w:hAnsi="Times New Roman Vet"/>
          <w:b/>
          <w:smallCaps/>
          <w:color w:val="FF0000"/>
        </w:rPr>
      </w:pPr>
      <w:r>
        <w:rPr>
          <w:rFonts w:ascii="Times New Roman Vet" w:hAnsi="Times New Roman Vet"/>
          <w:b/>
          <w:smallCaps/>
          <w:color w:val="FF0000"/>
        </w:rPr>
        <w:t>bijlagen</w:t>
      </w:r>
    </w:p>
    <w:p w:rsidR="00E76C7A" w:rsidRDefault="00E76C7A" w:rsidP="00EA15C8">
      <w:pPr>
        <w:jc w:val="both"/>
      </w:pPr>
    </w:p>
    <w:p w:rsidR="00E76C7A" w:rsidRDefault="00E76C7A" w:rsidP="000A0CE6">
      <w:pPr>
        <w:numPr>
          <w:ilvl w:val="0"/>
          <w:numId w:val="14"/>
        </w:numPr>
        <w:jc w:val="both"/>
      </w:pPr>
      <w:r>
        <w:t>Structurele en niet structurele projecten via WSE voor beschutte werkplaatsen</w:t>
      </w:r>
    </w:p>
    <w:p w:rsidR="00E76C7A" w:rsidRDefault="00E76C7A" w:rsidP="000A0CE6">
      <w:pPr>
        <w:numPr>
          <w:ilvl w:val="0"/>
          <w:numId w:val="14"/>
        </w:numPr>
        <w:jc w:val="both"/>
      </w:pPr>
      <w:r>
        <w:t>Structurele en niet structurele projecten via WSE voor overige SE subsidies</w:t>
      </w:r>
    </w:p>
    <w:p w:rsidR="00E76C7A" w:rsidRPr="00EA15C8" w:rsidRDefault="00E76C7A" w:rsidP="000A0CE6">
      <w:pPr>
        <w:numPr>
          <w:ilvl w:val="0"/>
          <w:numId w:val="14"/>
        </w:numPr>
        <w:jc w:val="both"/>
      </w:pPr>
      <w:r>
        <w:t>Overzicht van Oost-Vlaamse projecten die in 2010 Vlaamse overheidssteun kregen via ESF-Agentschap</w:t>
      </w:r>
    </w:p>
    <w:sectPr w:rsidR="00E76C7A" w:rsidRPr="00EA15C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B02050"/>
    <w:multiLevelType w:val="hybridMultilevel"/>
    <w:tmpl w:val="ADDEC43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5755860"/>
    <w:multiLevelType w:val="hybridMultilevel"/>
    <w:tmpl w:val="7CD67E2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2E547D67"/>
    <w:multiLevelType w:val="hybridMultilevel"/>
    <w:tmpl w:val="676CF97A"/>
    <w:lvl w:ilvl="0" w:tplc="8F5C6200">
      <w:numFmt w:val="bullet"/>
      <w:lvlText w:val="-"/>
      <w:lvlJc w:val="left"/>
      <w:pPr>
        <w:tabs>
          <w:tab w:val="num" w:pos="66"/>
        </w:tabs>
        <w:ind w:left="66" w:hanging="360"/>
      </w:pPr>
      <w:rPr>
        <w:rFonts w:ascii="Times New Roman" w:eastAsia="Times New Roman" w:hAnsi="Times New Roman" w:hint="default"/>
      </w:rPr>
    </w:lvl>
    <w:lvl w:ilvl="1" w:tplc="04130003">
      <w:start w:val="1"/>
      <w:numFmt w:val="bullet"/>
      <w:lvlText w:val="o"/>
      <w:lvlJc w:val="left"/>
      <w:pPr>
        <w:tabs>
          <w:tab w:val="num" w:pos="720"/>
        </w:tabs>
        <w:ind w:left="720" w:hanging="360"/>
      </w:pPr>
      <w:rPr>
        <w:rFonts w:ascii="Courier New" w:hAnsi="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2160"/>
        </w:tabs>
        <w:ind w:left="2160" w:hanging="360"/>
      </w:pPr>
      <w:rPr>
        <w:rFonts w:ascii="Symbol" w:hAnsi="Symbol" w:hint="default"/>
      </w:rPr>
    </w:lvl>
    <w:lvl w:ilvl="4" w:tplc="04130003">
      <w:start w:val="1"/>
      <w:numFmt w:val="bullet"/>
      <w:lvlText w:val="o"/>
      <w:lvlJc w:val="left"/>
      <w:pPr>
        <w:tabs>
          <w:tab w:val="num" w:pos="2880"/>
        </w:tabs>
        <w:ind w:left="2880" w:hanging="360"/>
      </w:pPr>
      <w:rPr>
        <w:rFonts w:ascii="Courier New" w:hAnsi="Courier New" w:hint="default"/>
      </w:rPr>
    </w:lvl>
    <w:lvl w:ilvl="5" w:tplc="04130005">
      <w:start w:val="1"/>
      <w:numFmt w:val="bullet"/>
      <w:lvlText w:val=""/>
      <w:lvlJc w:val="left"/>
      <w:pPr>
        <w:tabs>
          <w:tab w:val="num" w:pos="3600"/>
        </w:tabs>
        <w:ind w:left="3600" w:hanging="360"/>
      </w:pPr>
      <w:rPr>
        <w:rFonts w:ascii="Wingdings" w:hAnsi="Wingdings" w:hint="default"/>
      </w:rPr>
    </w:lvl>
    <w:lvl w:ilvl="6" w:tplc="04130001">
      <w:start w:val="1"/>
      <w:numFmt w:val="bullet"/>
      <w:lvlText w:val=""/>
      <w:lvlJc w:val="left"/>
      <w:pPr>
        <w:tabs>
          <w:tab w:val="num" w:pos="4320"/>
        </w:tabs>
        <w:ind w:left="4320" w:hanging="360"/>
      </w:pPr>
      <w:rPr>
        <w:rFonts w:ascii="Symbol" w:hAnsi="Symbol" w:hint="default"/>
      </w:rPr>
    </w:lvl>
    <w:lvl w:ilvl="7" w:tplc="04130003">
      <w:start w:val="1"/>
      <w:numFmt w:val="bullet"/>
      <w:lvlText w:val="o"/>
      <w:lvlJc w:val="left"/>
      <w:pPr>
        <w:tabs>
          <w:tab w:val="num" w:pos="5040"/>
        </w:tabs>
        <w:ind w:left="5040" w:hanging="360"/>
      </w:pPr>
      <w:rPr>
        <w:rFonts w:ascii="Courier New" w:hAnsi="Courier New" w:hint="default"/>
      </w:rPr>
    </w:lvl>
    <w:lvl w:ilvl="8" w:tplc="04130005">
      <w:start w:val="1"/>
      <w:numFmt w:val="bullet"/>
      <w:lvlText w:val=""/>
      <w:lvlJc w:val="left"/>
      <w:pPr>
        <w:tabs>
          <w:tab w:val="num" w:pos="5760"/>
        </w:tabs>
        <w:ind w:left="5760" w:hanging="360"/>
      </w:pPr>
      <w:rPr>
        <w:rFonts w:ascii="Wingdings" w:hAnsi="Wingdings" w:hint="default"/>
      </w:rPr>
    </w:lvl>
  </w:abstractNum>
  <w:abstractNum w:abstractNumId="4">
    <w:nsid w:val="32CC766B"/>
    <w:multiLevelType w:val="hybridMultilevel"/>
    <w:tmpl w:val="3BF0C686"/>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5">
    <w:nsid w:val="3ED950CA"/>
    <w:multiLevelType w:val="hybridMultilevel"/>
    <w:tmpl w:val="50203A3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8C61889"/>
    <w:multiLevelType w:val="hybridMultilevel"/>
    <w:tmpl w:val="0674FAD2"/>
    <w:lvl w:ilvl="0" w:tplc="0413000B">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7E3E9DDE"/>
    <w:lvl w:ilvl="0" w:tplc="B6D22E26">
      <w:start w:val="1"/>
      <w:numFmt w:val="decimal"/>
      <w:lvlText w:val="%1."/>
      <w:lvlJc w:val="left"/>
      <w:pPr>
        <w:tabs>
          <w:tab w:val="num" w:pos="360"/>
        </w:tabs>
        <w:ind w:left="360" w:hanging="360"/>
      </w:pPr>
      <w:rPr>
        <w:rFonts w:cs="Times New Roman" w:hint="default"/>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5A3B62C9"/>
    <w:multiLevelType w:val="hybridMultilevel"/>
    <w:tmpl w:val="E946AEB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0">
    <w:nsid w:val="69F76FE1"/>
    <w:multiLevelType w:val="hybridMultilevel"/>
    <w:tmpl w:val="975E9266"/>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FFA5E36"/>
    <w:multiLevelType w:val="hybridMultilevel"/>
    <w:tmpl w:val="11ECFBB8"/>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4"/>
  </w:num>
  <w:num w:numId="4">
    <w:abstractNumId w:val="0"/>
  </w:num>
  <w:num w:numId="5">
    <w:abstractNumId w:val="11"/>
  </w:num>
  <w:num w:numId="6">
    <w:abstractNumId w:val="5"/>
  </w:num>
  <w:num w:numId="7">
    <w:abstractNumId w:val="10"/>
  </w:num>
  <w:num w:numId="8">
    <w:abstractNumId w:val="7"/>
  </w:num>
  <w:num w:numId="9">
    <w:abstractNumId w:val="2"/>
  </w:num>
  <w:num w:numId="10">
    <w:abstractNumId w:val="8"/>
  </w:num>
  <w:num w:numId="11">
    <w:abstractNumId w:val="6"/>
  </w:num>
  <w:num w:numId="12">
    <w:abstractNumId w:val="12"/>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85F"/>
    <w:rsid w:val="00015BF7"/>
    <w:rsid w:val="00073E51"/>
    <w:rsid w:val="00095C78"/>
    <w:rsid w:val="000976E9"/>
    <w:rsid w:val="000A0CE6"/>
    <w:rsid w:val="000C4E8C"/>
    <w:rsid w:val="000C5D58"/>
    <w:rsid w:val="000D3876"/>
    <w:rsid w:val="000F3532"/>
    <w:rsid w:val="00103F3F"/>
    <w:rsid w:val="0017085F"/>
    <w:rsid w:val="001D6325"/>
    <w:rsid w:val="0020269D"/>
    <w:rsid w:val="00210C07"/>
    <w:rsid w:val="002843DB"/>
    <w:rsid w:val="002F36CD"/>
    <w:rsid w:val="00326A58"/>
    <w:rsid w:val="003E3FD0"/>
    <w:rsid w:val="004105E2"/>
    <w:rsid w:val="00414B07"/>
    <w:rsid w:val="00463FCD"/>
    <w:rsid w:val="00471904"/>
    <w:rsid w:val="004E4428"/>
    <w:rsid w:val="005047DF"/>
    <w:rsid w:val="005E38CA"/>
    <w:rsid w:val="0064481C"/>
    <w:rsid w:val="006563FB"/>
    <w:rsid w:val="006A76E7"/>
    <w:rsid w:val="006C67D2"/>
    <w:rsid w:val="006E50EA"/>
    <w:rsid w:val="0071248C"/>
    <w:rsid w:val="007252C7"/>
    <w:rsid w:val="00763E99"/>
    <w:rsid w:val="008D5DB4"/>
    <w:rsid w:val="0091113C"/>
    <w:rsid w:val="009347E0"/>
    <w:rsid w:val="009456B5"/>
    <w:rsid w:val="00996094"/>
    <w:rsid w:val="009D7043"/>
    <w:rsid w:val="009D7E21"/>
    <w:rsid w:val="00A61C86"/>
    <w:rsid w:val="00A90DF2"/>
    <w:rsid w:val="00A96688"/>
    <w:rsid w:val="00A970F0"/>
    <w:rsid w:val="00AD2437"/>
    <w:rsid w:val="00AF7000"/>
    <w:rsid w:val="00B06A7F"/>
    <w:rsid w:val="00B32B02"/>
    <w:rsid w:val="00B45EB2"/>
    <w:rsid w:val="00BC582B"/>
    <w:rsid w:val="00BC6A14"/>
    <w:rsid w:val="00BE425A"/>
    <w:rsid w:val="00C04F82"/>
    <w:rsid w:val="00C81CE1"/>
    <w:rsid w:val="00C91441"/>
    <w:rsid w:val="00D22297"/>
    <w:rsid w:val="00D3333C"/>
    <w:rsid w:val="00D52893"/>
    <w:rsid w:val="00D71D99"/>
    <w:rsid w:val="00D754F2"/>
    <w:rsid w:val="00DB41C0"/>
    <w:rsid w:val="00DC4DB6"/>
    <w:rsid w:val="00DD4121"/>
    <w:rsid w:val="00E028B0"/>
    <w:rsid w:val="00E31F4D"/>
    <w:rsid w:val="00E55200"/>
    <w:rsid w:val="00E76C7A"/>
    <w:rsid w:val="00E85C8D"/>
    <w:rsid w:val="00E94286"/>
    <w:rsid w:val="00EA15C8"/>
    <w:rsid w:val="00EB5225"/>
    <w:rsid w:val="00ED147A"/>
    <w:rsid w:val="00F02A90"/>
    <w:rsid w:val="00F7144B"/>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D52893"/>
    <w:pPr>
      <w:spacing w:before="240" w:after="60"/>
      <w:outlineLvl w:val="5"/>
    </w:pPr>
    <w:rPr>
      <w:rFonts w:ascii="Calibri" w:hAnsi="Calibri"/>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1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2131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2131D"/>
    <w:rPr>
      <w:rFonts w:asciiTheme="majorHAnsi" w:eastAsiaTheme="majorEastAsia" w:hAnsiTheme="majorHAnsi" w:cstheme="majorBidi"/>
      <w:b/>
      <w:bCs/>
      <w:sz w:val="26"/>
      <w:szCs w:val="26"/>
      <w:lang w:val="nl-NL" w:eastAsia="nl-NL"/>
    </w:rPr>
  </w:style>
  <w:style w:type="character" w:customStyle="1" w:styleId="Heading6Char">
    <w:name w:val="Heading 6 Char"/>
    <w:basedOn w:val="DefaultParagraphFont"/>
    <w:link w:val="Heading6"/>
    <w:uiPriority w:val="99"/>
    <w:locked/>
    <w:rsid w:val="00D52893"/>
    <w:rPr>
      <w:rFonts w:ascii="Calibri" w:hAnsi="Calibri" w:cs="Times New Roman"/>
      <w:b/>
      <w:bCs/>
      <w:sz w:val="22"/>
      <w:szCs w:val="22"/>
      <w:lang w:val="nl-NL" w:eastAsia="nl-NL"/>
    </w:rPr>
  </w:style>
  <w:style w:type="paragraph" w:styleId="ListParagraph">
    <w:name w:val="List Paragraph"/>
    <w:basedOn w:val="Normal"/>
    <w:uiPriority w:val="99"/>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2131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VTitel">
    <w:name w:val="SV Titel"/>
    <w:basedOn w:val="Normal"/>
    <w:uiPriority w:val="99"/>
    <w:rsid w:val="00AD2437"/>
    <w:pPr>
      <w:jc w:val="both"/>
    </w:pPr>
    <w:rPr>
      <w:i/>
      <w:szCs w:val="20"/>
    </w:rPr>
  </w:style>
  <w:style w:type="character" w:styleId="Hyperlink">
    <w:name w:val="Hyperlink"/>
    <w:basedOn w:val="DefaultParagraphFont"/>
    <w:uiPriority w:val="99"/>
    <w:rsid w:val="00AD2437"/>
    <w:rPr>
      <w:rFonts w:cs="Times New Roman"/>
      <w:color w:val="0000FF"/>
      <w:u w:val="single"/>
    </w:rPr>
  </w:style>
  <w:style w:type="paragraph" w:styleId="DocumentMap">
    <w:name w:val="Document Map"/>
    <w:basedOn w:val="Normal"/>
    <w:link w:val="DocumentMapChar"/>
    <w:uiPriority w:val="99"/>
    <w:semiHidden/>
    <w:rsid w:val="009456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2131D"/>
    <w:rPr>
      <w:sz w:val="0"/>
      <w:szCs w:val="0"/>
      <w:lang w:val="nl-NL" w:eastAsia="nl-NL"/>
    </w:rPr>
  </w:style>
  <w:style w:type="paragraph" w:customStyle="1" w:styleId="Tekstbrief">
    <w:name w:val="Tekst brief"/>
    <w:basedOn w:val="CommentText"/>
    <w:uiPriority w:val="99"/>
    <w:semiHidden/>
    <w:rsid w:val="00095C78"/>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095C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95C78"/>
    <w:rPr>
      <w:sz w:val="20"/>
      <w:szCs w:val="20"/>
    </w:rPr>
  </w:style>
  <w:style w:type="character" w:customStyle="1" w:styleId="CommentTextChar">
    <w:name w:val="Comment Text Char"/>
    <w:basedOn w:val="DefaultParagraphFont"/>
    <w:link w:val="CommentText"/>
    <w:uiPriority w:val="99"/>
    <w:semiHidden/>
    <w:rsid w:val="00C2131D"/>
    <w:rPr>
      <w:sz w:val="20"/>
      <w:szCs w:val="20"/>
      <w:lang w:val="nl-NL" w:eastAsia="nl-NL"/>
    </w:rPr>
  </w:style>
  <w:style w:type="paragraph" w:styleId="BodyText">
    <w:name w:val="Body Text"/>
    <w:basedOn w:val="Normal"/>
    <w:link w:val="BodyTextChar"/>
    <w:uiPriority w:val="99"/>
    <w:rsid w:val="0017085F"/>
    <w:pPr>
      <w:jc w:val="both"/>
    </w:pPr>
    <w:rPr>
      <w:rFonts w:ascii="Arial" w:hAnsi="Arial"/>
      <w:color w:val="000000"/>
      <w:sz w:val="20"/>
      <w:szCs w:val="20"/>
      <w:lang w:val="nl-BE"/>
    </w:rPr>
  </w:style>
  <w:style w:type="character" w:customStyle="1" w:styleId="BodyTextChar">
    <w:name w:val="Body Text Char"/>
    <w:basedOn w:val="DefaultParagraphFont"/>
    <w:link w:val="BodyText"/>
    <w:uiPriority w:val="99"/>
    <w:locked/>
    <w:rsid w:val="0017085F"/>
    <w:rPr>
      <w:rFonts w:ascii="Arial" w:hAnsi="Arial" w:cs="Times New Roman"/>
      <w:color w:val="000000"/>
      <w:lang w:eastAsia="nl-NL"/>
    </w:rPr>
  </w:style>
  <w:style w:type="paragraph" w:customStyle="1" w:styleId="StandaardSV">
    <w:name w:val="Standaard SV"/>
    <w:basedOn w:val="Normal"/>
    <w:uiPriority w:val="99"/>
    <w:rsid w:val="00D52893"/>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producten.be" TargetMode="External"/><Relationship Id="rId5" Type="http://schemas.openxmlformats.org/officeDocument/2006/relationships/hyperlink" Target="http://www.esf-agentschap.b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obelsge\AppData\Local\Microsoft\Windows\Temporary%20Internet%20Files\Content.MSO\99A2AEA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99A2AEAF</Template>
  <TotalTime>10</TotalTime>
  <Pages>3</Pages>
  <Words>1369</Words>
  <Characters>7533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nobels gerda</dc:creator>
  <cp:keywords/>
  <dc:description/>
  <cp:lastModifiedBy>Vlaams Parlement</cp:lastModifiedBy>
  <cp:revision>4</cp:revision>
  <dcterms:created xsi:type="dcterms:W3CDTF">2011-10-18T12:17:00Z</dcterms:created>
  <dcterms:modified xsi:type="dcterms:W3CDTF">2011-11-14T15:30:00Z</dcterms:modified>
</cp:coreProperties>
</file>