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23093" w:rsidRPr="00DD4121" w:rsidRDefault="00323093"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323093" w:rsidRPr="00015BF7" w:rsidRDefault="00323093"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vlaams minister van economie, buitenlands beleid, landbouw en plattelandsbeleid</w:t>
      </w:r>
      <w:r>
        <w:fldChar w:fldCharType="end"/>
      </w:r>
      <w:bookmarkEnd w:id="1"/>
    </w:p>
    <w:p w:rsidR="00323093" w:rsidRPr="00015BF7" w:rsidRDefault="00323093" w:rsidP="000976E9">
      <w:pPr>
        <w:rPr>
          <w:szCs w:val="22"/>
        </w:rPr>
      </w:pPr>
    </w:p>
    <w:p w:rsidR="00323093" w:rsidRPr="00DB41C0" w:rsidRDefault="00323093" w:rsidP="000976E9">
      <w:pPr>
        <w:pStyle w:val="A-Lijn"/>
      </w:pPr>
    </w:p>
    <w:p w:rsidR="00323093" w:rsidRDefault="00323093" w:rsidP="000976E9">
      <w:pPr>
        <w:pStyle w:val="A-Type"/>
        <w:sectPr w:rsidR="00323093">
          <w:pgSz w:w="11906" w:h="16838"/>
          <w:pgMar w:top="1417" w:right="1417" w:bottom="1417" w:left="1417" w:header="708" w:footer="708" w:gutter="0"/>
          <w:cols w:space="708"/>
          <w:rtlGutter/>
          <w:docGrid w:linePitch="360"/>
        </w:sectPr>
      </w:pPr>
    </w:p>
    <w:p w:rsidR="00323093" w:rsidRDefault="00323093" w:rsidP="000976E9">
      <w:pPr>
        <w:pStyle w:val="A-Type"/>
        <w:sectPr w:rsidR="00323093"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323093" w:rsidRPr="00326A58" w:rsidRDefault="00323093"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445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323093" w:rsidRDefault="00323093"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els robeyns</w:t>
      </w:r>
      <w:r w:rsidRPr="009D7043">
        <w:rPr>
          <w:rStyle w:val="AntwoordNaamMinisterChar"/>
          <w:sz w:val="22"/>
        </w:rPr>
        <w:fldChar w:fldCharType="end"/>
      </w:r>
    </w:p>
    <w:p w:rsidR="00323093" w:rsidRPr="00015BF7" w:rsidRDefault="00323093" w:rsidP="000976E9">
      <w:pPr>
        <w:rPr>
          <w:szCs w:val="22"/>
        </w:rPr>
      </w:pPr>
    </w:p>
    <w:p w:rsidR="00323093" w:rsidRPr="00DB41C0" w:rsidRDefault="00323093" w:rsidP="000976E9">
      <w:pPr>
        <w:pStyle w:val="A-Lijn"/>
      </w:pPr>
    </w:p>
    <w:p w:rsidR="00323093" w:rsidRPr="00DB41C0" w:rsidRDefault="00323093" w:rsidP="000976E9">
      <w:pPr>
        <w:pStyle w:val="A-Lijn"/>
      </w:pPr>
    </w:p>
    <w:p w:rsidR="00323093" w:rsidRDefault="00323093" w:rsidP="00DB41C0">
      <w:pPr>
        <w:sectPr w:rsidR="00323093" w:rsidSect="000976E9">
          <w:type w:val="continuous"/>
          <w:pgSz w:w="11906" w:h="16838"/>
          <w:pgMar w:top="1417" w:right="1417" w:bottom="1417" w:left="1417" w:header="708" w:footer="708" w:gutter="0"/>
          <w:cols w:space="708"/>
          <w:rtlGutter/>
          <w:docGrid w:linePitch="360"/>
        </w:sectPr>
      </w:pPr>
    </w:p>
    <w:p w:rsidR="00323093" w:rsidRPr="0047044C" w:rsidRDefault="00323093" w:rsidP="0047044C">
      <w:pPr>
        <w:pStyle w:val="StandaardSV"/>
        <w:numPr>
          <w:ilvl w:val="0"/>
          <w:numId w:val="3"/>
        </w:numPr>
        <w:suppressAutoHyphens/>
      </w:pPr>
      <w:r w:rsidRPr="0047044C">
        <w:t>Begin 2011 werd er inderdaad gestart met de opmaak van een plan voor het ondersteunen van de lokale productie en de lokale vermarkting in Vlaanderen. Dit strategisch plan korte keten werd opgesteld na consultatie van de betrokken actoren. Zowel producenten, organisaties als beleidsdomeinen en andere beleidsniveaus konden in de eerste helft van 2011 input leveren aan de hand van verschillende workshops die georganiseerd werden. Nadien werd het strategisch plan gefinaliseerd. Op 12 oktober zal het strategisch plan korte keten voorgesteld worden door de Minister-president in de commissie landbouw van het Vlaams Parlement.</w:t>
      </w:r>
    </w:p>
    <w:p w:rsidR="00323093" w:rsidRPr="0047044C" w:rsidRDefault="00323093" w:rsidP="0047044C">
      <w:pPr>
        <w:pStyle w:val="StandaardSV"/>
        <w:suppressAutoHyphens/>
      </w:pPr>
    </w:p>
    <w:p w:rsidR="00323093" w:rsidRPr="0047044C" w:rsidRDefault="00323093" w:rsidP="0047044C">
      <w:pPr>
        <w:pStyle w:val="StandaardSV"/>
        <w:numPr>
          <w:ilvl w:val="0"/>
          <w:numId w:val="3"/>
        </w:numPr>
        <w:suppressAutoHyphens/>
      </w:pPr>
      <w:r w:rsidRPr="0047044C">
        <w:t>In het najaar van 2010 werd een symposium “Korte-keten-initiatieven in Vlaanderen: kansen en beleid” georganiseerd door de sector. Op dit symposium heeft de sector een knelpuntennota voorgesteld. Deze knelpuntennota werd als basis gebruikt voor het opstarten van het strategisch plan korte keten. De door de Minister-president vooropgestelde punten kwamen ook naar voor in deze knelpuntennota. Aan deze vooropgestelde punten werd dus gewerkt in het kader van het strategisch plan voor de korte keten, namelijk:</w:t>
      </w:r>
    </w:p>
    <w:p w:rsidR="00323093" w:rsidRPr="0047044C" w:rsidRDefault="00323093" w:rsidP="0047044C">
      <w:pPr>
        <w:pStyle w:val="StandaardSV"/>
        <w:numPr>
          <w:ilvl w:val="0"/>
          <w:numId w:val="4"/>
        </w:numPr>
        <w:suppressAutoHyphens/>
        <w:ind w:left="720"/>
      </w:pPr>
      <w:r w:rsidRPr="0047044C">
        <w:t xml:space="preserve">Voor het opstellen van het strategisch plan korte keten werd er overleg opgestart. Een eerste aanzet tot structureel overleg is dus al gegeven met het opstarten van dit strategisch plan. In het Strategisch plan is het voorzien om dit overleg structureel te maken onder de vorm van een strategisch platform korte keten en een kennisnetwerk. </w:t>
      </w:r>
    </w:p>
    <w:p w:rsidR="00323093" w:rsidRPr="0047044C" w:rsidRDefault="00323093" w:rsidP="0047044C">
      <w:pPr>
        <w:pStyle w:val="StandaardSV"/>
        <w:numPr>
          <w:ilvl w:val="0"/>
          <w:numId w:val="4"/>
        </w:numPr>
        <w:suppressAutoHyphens/>
        <w:ind w:left="720"/>
      </w:pPr>
      <w:r w:rsidRPr="0047044C">
        <w:t xml:space="preserve">Er werden door de </w:t>
      </w:r>
      <w:r w:rsidRPr="0047044C">
        <w:rPr>
          <w:szCs w:val="22"/>
        </w:rPr>
        <w:t>afdeling Monitoring en Studie al enkele studies uitgevoerd met als thema korte keten en ook het ILVO is met thema bezig. Zo is er binnen het ILVO de TAD (Technologische AdviseerDienst) Zuivel, die een belangrijk aanspreekpunt is voor hoeveproducenten met technische onderzoeksvragen. Daarnaast komt het thema korte keten aan bod in verschillende lopende onderzoeken van de eenheid Landbouw en Maatschappij van het ILVO.</w:t>
      </w:r>
      <w:r w:rsidRPr="0047044C">
        <w:t xml:space="preserve"> Daar het thema onderzoek belangrijk is, werd er in het strategisch plan een doelstelling opgenomen rond het faciliteren van nieuw onderzoek en het meer toegankelijk maken van de reeds bestaande studies</w:t>
      </w:r>
    </w:p>
    <w:p w:rsidR="00323093" w:rsidRPr="0047044C" w:rsidRDefault="00323093" w:rsidP="0047044C">
      <w:pPr>
        <w:pStyle w:val="StandaardSV"/>
        <w:numPr>
          <w:ilvl w:val="0"/>
          <w:numId w:val="4"/>
        </w:numPr>
        <w:suppressAutoHyphens/>
        <w:ind w:left="720"/>
      </w:pPr>
      <w:r w:rsidRPr="0047044C">
        <w:t xml:space="preserve">Ook het organiseren van opleiding is weerhouden als thema in het strategisch plan korte keten. Zo worden in het plan voorstellen gedaan om de korte keten op te nemen in het landbouwonderwijs en de starterscursussen. Ook het aanbod van de vormingscentra moet afgestemd zijn op de noden van de producent. Daarnaast is in het strategisch plan niet enkel vorming voor de producent voorzien, maar ook voor de consument. </w:t>
      </w:r>
    </w:p>
    <w:p w:rsidR="00323093" w:rsidRPr="0047044C" w:rsidRDefault="00323093" w:rsidP="0047044C">
      <w:pPr>
        <w:pStyle w:val="StandaardSV"/>
        <w:numPr>
          <w:ilvl w:val="0"/>
          <w:numId w:val="4"/>
        </w:numPr>
        <w:suppressAutoHyphens/>
        <w:ind w:left="720"/>
      </w:pPr>
      <w:r w:rsidRPr="0047044C">
        <w:t>Structurele financiering voor goedwerkende organisaties als het Steunpunt Hoeveproducten en het Steunpunt Streekproducten wordt vanaf 2012 voorzien. Ook voor 2011 waren er middelen beschikbaar voor deze steunpunten.</w:t>
      </w:r>
    </w:p>
    <w:p w:rsidR="00323093" w:rsidRPr="0047044C" w:rsidRDefault="00323093" w:rsidP="0047044C">
      <w:pPr>
        <w:pStyle w:val="StandaardSV"/>
        <w:numPr>
          <w:ilvl w:val="0"/>
          <w:numId w:val="4"/>
        </w:numPr>
        <w:suppressAutoHyphens/>
        <w:ind w:left="720"/>
      </w:pPr>
      <w:r w:rsidRPr="0047044C">
        <w:t>De consument informeren rond korte keten is opgenomen als doelstelling in het strategisch plan korte keten. Hiervoor moeten alle kanalen zoals VILT en VLAM optimaal benut worden.</w:t>
      </w:r>
    </w:p>
    <w:p w:rsidR="00323093" w:rsidRDefault="00323093" w:rsidP="0047044C">
      <w:pPr>
        <w:pStyle w:val="StandaardSV"/>
        <w:numPr>
          <w:ilvl w:val="0"/>
          <w:numId w:val="4"/>
        </w:numPr>
        <w:suppressAutoHyphens/>
        <w:ind w:left="720"/>
      </w:pPr>
      <w:r w:rsidRPr="0047044C">
        <w:t>Omdat quick-win –projecten kunnen  helpen om de doelstellingen van het strategisch plan korte keten te realiseren zal in oktober een oproep gelanceerd worden voor zulke quick-win-projecten. Hiervoor zal in totaal 50 000 euro worden uitgetrokken. D</w:t>
      </w:r>
      <w:bookmarkStart w:id="6" w:name="_GoBack"/>
      <w:bookmarkEnd w:id="6"/>
      <w:r w:rsidRPr="0047044C">
        <w:t>e maximale subsidie per project zal 7 500  euro bedragen.</w:t>
      </w:r>
    </w:p>
    <w:p w:rsidR="00323093" w:rsidRDefault="00323093" w:rsidP="00BC0886">
      <w:pPr>
        <w:pStyle w:val="StandaardSV"/>
        <w:suppressAutoHyphens/>
        <w:ind w:left="720"/>
      </w:pPr>
    </w:p>
    <w:p w:rsidR="00323093" w:rsidRPr="0047044C" w:rsidRDefault="00323093" w:rsidP="00BC0886">
      <w:pPr>
        <w:pStyle w:val="StandaardSV"/>
        <w:suppressAutoHyphens/>
        <w:ind w:left="720"/>
      </w:pPr>
    </w:p>
    <w:p w:rsidR="00323093" w:rsidRPr="0047044C" w:rsidRDefault="00323093" w:rsidP="0047044C">
      <w:pPr>
        <w:pStyle w:val="ListParagraph"/>
        <w:numPr>
          <w:ilvl w:val="0"/>
          <w:numId w:val="4"/>
        </w:numPr>
        <w:suppressAutoHyphens/>
        <w:ind w:left="720"/>
        <w:jc w:val="both"/>
        <w:rPr>
          <w:sz w:val="22"/>
          <w:szCs w:val="22"/>
        </w:rPr>
      </w:pPr>
      <w:r w:rsidRPr="0047044C">
        <w:rPr>
          <w:sz w:val="22"/>
          <w:szCs w:val="22"/>
        </w:rPr>
        <w:t xml:space="preserve">De mogelijkheid voor het invoeren van de innovatiecheques werd in 2011 onderzocht door de afdeling Monitoring en Studie van het Departement Landbouw en Visserij (Alternatieve financieringsvorm voor de landbouw: een verkenning van drie instrumenten door Van Buggenhout E., Vuylsteke A. &amp; Van Gijseghem D. ). Er is echter nood aan meer onderzoek over dit thema voor het kan ingevoerd worden in de landbouwsector. </w:t>
      </w:r>
    </w:p>
    <w:p w:rsidR="00323093" w:rsidRPr="0047044C" w:rsidRDefault="00323093" w:rsidP="0047044C">
      <w:pPr>
        <w:pStyle w:val="ListParagraph"/>
        <w:suppressAutoHyphens/>
        <w:ind w:left="720"/>
        <w:jc w:val="both"/>
        <w:rPr>
          <w:sz w:val="22"/>
          <w:szCs w:val="22"/>
        </w:rPr>
      </w:pPr>
      <w:r w:rsidRPr="0047044C">
        <w:rPr>
          <w:sz w:val="22"/>
          <w:szCs w:val="22"/>
        </w:rPr>
        <w:t xml:space="preserve">Daarnaast worden ook de mogelijkheden voor korte keten binnen PDPOIII door de administratie onderzocht. </w:t>
      </w:r>
    </w:p>
    <w:sectPr w:rsidR="00323093" w:rsidRPr="0047044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23A74"/>
    <w:multiLevelType w:val="hybridMultilevel"/>
    <w:tmpl w:val="07989A0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
    <w:nsid w:val="7A5E4A52"/>
    <w:multiLevelType w:val="hybridMultilevel"/>
    <w:tmpl w:val="E688AF00"/>
    <w:lvl w:ilvl="0" w:tplc="08130001">
      <w:start w:val="1"/>
      <w:numFmt w:val="bullet"/>
      <w:lvlText w:val=""/>
      <w:lvlJc w:val="left"/>
      <w:pPr>
        <w:ind w:left="1140" w:hanging="360"/>
      </w:pPr>
      <w:rPr>
        <w:rFonts w:ascii="Symbol" w:hAnsi="Symbol" w:hint="default"/>
      </w:rPr>
    </w:lvl>
    <w:lvl w:ilvl="1" w:tplc="08130003" w:tentative="1">
      <w:start w:val="1"/>
      <w:numFmt w:val="bullet"/>
      <w:lvlText w:val="o"/>
      <w:lvlJc w:val="left"/>
      <w:pPr>
        <w:ind w:left="1860" w:hanging="360"/>
      </w:pPr>
      <w:rPr>
        <w:rFonts w:ascii="Courier New" w:hAnsi="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hint="default"/>
      </w:rPr>
    </w:lvl>
    <w:lvl w:ilvl="8" w:tplc="08130005" w:tentative="1">
      <w:start w:val="1"/>
      <w:numFmt w:val="bullet"/>
      <w:lvlText w:val=""/>
      <w:lvlJc w:val="left"/>
      <w:pPr>
        <w:ind w:left="690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0E2F"/>
    <w:rsid w:val="000865DB"/>
    <w:rsid w:val="000976E9"/>
    <w:rsid w:val="000C4E8C"/>
    <w:rsid w:val="000F2F95"/>
    <w:rsid w:val="000F3532"/>
    <w:rsid w:val="001B6E48"/>
    <w:rsid w:val="001F7390"/>
    <w:rsid w:val="00210C07"/>
    <w:rsid w:val="00266E3B"/>
    <w:rsid w:val="002C4DA5"/>
    <w:rsid w:val="00302693"/>
    <w:rsid w:val="00323093"/>
    <w:rsid w:val="00326A58"/>
    <w:rsid w:val="0047044C"/>
    <w:rsid w:val="004E2833"/>
    <w:rsid w:val="00566C53"/>
    <w:rsid w:val="005900AD"/>
    <w:rsid w:val="005E38CA"/>
    <w:rsid w:val="0063138E"/>
    <w:rsid w:val="006548DD"/>
    <w:rsid w:val="00693C0B"/>
    <w:rsid w:val="0071248C"/>
    <w:rsid w:val="007252C7"/>
    <w:rsid w:val="007474BA"/>
    <w:rsid w:val="00785A0D"/>
    <w:rsid w:val="00786CB1"/>
    <w:rsid w:val="007B177C"/>
    <w:rsid w:val="007B5C22"/>
    <w:rsid w:val="007F5EDE"/>
    <w:rsid w:val="007F60A8"/>
    <w:rsid w:val="008346AE"/>
    <w:rsid w:val="00852A7D"/>
    <w:rsid w:val="00860B56"/>
    <w:rsid w:val="00873068"/>
    <w:rsid w:val="00894185"/>
    <w:rsid w:val="008A7067"/>
    <w:rsid w:val="008A713D"/>
    <w:rsid w:val="008C2EDC"/>
    <w:rsid w:val="008D5DB4"/>
    <w:rsid w:val="009347E0"/>
    <w:rsid w:val="009A1049"/>
    <w:rsid w:val="009D7043"/>
    <w:rsid w:val="00A12F89"/>
    <w:rsid w:val="00A42280"/>
    <w:rsid w:val="00A76EC9"/>
    <w:rsid w:val="00A804C0"/>
    <w:rsid w:val="00B45EB2"/>
    <w:rsid w:val="00B60F0E"/>
    <w:rsid w:val="00BC0886"/>
    <w:rsid w:val="00BE425A"/>
    <w:rsid w:val="00C0707D"/>
    <w:rsid w:val="00D71D99"/>
    <w:rsid w:val="00D754F2"/>
    <w:rsid w:val="00DA43E3"/>
    <w:rsid w:val="00DB41C0"/>
    <w:rsid w:val="00DC4DB6"/>
    <w:rsid w:val="00DC4E12"/>
    <w:rsid w:val="00DD19EF"/>
    <w:rsid w:val="00DD4121"/>
    <w:rsid w:val="00E12C5D"/>
    <w:rsid w:val="00E31F4D"/>
    <w:rsid w:val="00E55200"/>
    <w:rsid w:val="00E75830"/>
    <w:rsid w:val="00E9734E"/>
    <w:rsid w:val="00EB10D4"/>
    <w:rsid w:val="00EE3DDB"/>
    <w:rsid w:val="00F369E3"/>
    <w:rsid w:val="00FA29D6"/>
    <w:rsid w:val="00FB3D24"/>
    <w:rsid w:val="00FD5BF4"/>
    <w:rsid w:val="00FE5406"/>
    <w:rsid w:val="00FE60D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A50"/>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E46A50"/>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E46A50"/>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E46A50"/>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link w:val="StandaardSVChar"/>
    <w:uiPriority w:val="99"/>
    <w:rsid w:val="0047044C"/>
    <w:pPr>
      <w:jc w:val="both"/>
    </w:pPr>
    <w:rPr>
      <w:szCs w:val="20"/>
    </w:rPr>
  </w:style>
  <w:style w:type="paragraph" w:styleId="ListParagraph">
    <w:name w:val="List Paragraph"/>
    <w:basedOn w:val="Normal"/>
    <w:uiPriority w:val="99"/>
    <w:qFormat/>
    <w:rsid w:val="0047044C"/>
    <w:pPr>
      <w:ind w:left="708"/>
    </w:pPr>
    <w:rPr>
      <w:sz w:val="24"/>
    </w:rPr>
  </w:style>
  <w:style w:type="character" w:customStyle="1" w:styleId="StandaardSVChar">
    <w:name w:val="Standaard SV Char"/>
    <w:basedOn w:val="DefaultParagraphFont"/>
    <w:link w:val="StandaardSV"/>
    <w:uiPriority w:val="99"/>
    <w:locked/>
    <w:rsid w:val="0047044C"/>
    <w:rPr>
      <w:rFonts w:cs="Times New Roman"/>
      <w:sz w:val="22"/>
      <w:lang w:val="nl-NL" w:eastAsia="nl-NL"/>
    </w:rPr>
  </w:style>
  <w:style w:type="paragraph" w:styleId="BalloonText">
    <w:name w:val="Balloon Text"/>
    <w:basedOn w:val="Normal"/>
    <w:link w:val="BalloonTextChar"/>
    <w:uiPriority w:val="99"/>
    <w:rsid w:val="00BC0886"/>
    <w:rPr>
      <w:rFonts w:ascii="Tahoma" w:hAnsi="Tahoma" w:cs="Tahoma"/>
      <w:sz w:val="16"/>
      <w:szCs w:val="16"/>
    </w:rPr>
  </w:style>
  <w:style w:type="character" w:customStyle="1" w:styleId="BalloonTextChar">
    <w:name w:val="Balloon Text Char"/>
    <w:basedOn w:val="DefaultParagraphFont"/>
    <w:link w:val="BalloonText"/>
    <w:uiPriority w:val="99"/>
    <w:locked/>
    <w:rsid w:val="00BC0886"/>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623</Words>
  <Characters>3432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2</cp:revision>
  <cp:lastPrinted>2011-10-14T11:46:00Z</cp:lastPrinted>
  <dcterms:created xsi:type="dcterms:W3CDTF">2011-10-14T11:47:00Z</dcterms:created>
  <dcterms:modified xsi:type="dcterms:W3CDTF">2011-10-14T11:47:00Z</dcterms:modified>
</cp:coreProperties>
</file>