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ED3" w:rsidRPr="00A8473D" w:rsidRDefault="00365ED3" w:rsidP="00497890">
      <w:pPr>
        <w:jc w:val="both"/>
        <w:rPr>
          <w:rFonts w:ascii="Times New Roman Vet" w:hAnsi="Times New Roman Vet"/>
          <w:b/>
          <w:smallCaps/>
          <w:sz w:val="22"/>
          <w:szCs w:val="22"/>
          <w:lang w:val="nl-BE"/>
        </w:rPr>
      </w:pPr>
      <w:r w:rsidRPr="00A8473D">
        <w:rPr>
          <w:rFonts w:ascii="Times New Roman Vet" w:hAnsi="Times New Roman Vet"/>
          <w:b/>
          <w:smallCaps/>
          <w:sz w:val="22"/>
          <w:szCs w:val="22"/>
          <w:lang w:val="nl-BE"/>
        </w:rPr>
        <w:t>kris peeters</w:t>
      </w:r>
    </w:p>
    <w:p w:rsidR="00365ED3" w:rsidRDefault="00365ED3" w:rsidP="00497890">
      <w:pPr>
        <w:pStyle w:val="StandaardSV"/>
        <w:rPr>
          <w:smallCaps/>
        </w:rPr>
      </w:pPr>
      <w:r w:rsidRPr="00A8473D">
        <w:rPr>
          <w:smallCaps/>
          <w:szCs w:val="22"/>
          <w:lang w:val="nl-BE"/>
        </w:rPr>
        <w:t>minister-president van de vlaamse regering, vlaams minister van economie, buitenlands beleid, landbouw en plattelandsbeleid</w:t>
      </w:r>
    </w:p>
    <w:p w:rsidR="00365ED3" w:rsidRDefault="00365ED3" w:rsidP="00497890">
      <w:pPr>
        <w:pBdr>
          <w:bottom w:val="single" w:sz="4" w:space="1" w:color="auto"/>
        </w:pBdr>
        <w:rPr>
          <w:sz w:val="22"/>
        </w:rPr>
      </w:pPr>
    </w:p>
    <w:p w:rsidR="00365ED3" w:rsidRDefault="00365ED3" w:rsidP="00497890">
      <w:pPr>
        <w:rPr>
          <w:sz w:val="22"/>
        </w:rPr>
      </w:pPr>
    </w:p>
    <w:p w:rsidR="00365ED3" w:rsidRDefault="00365ED3" w:rsidP="00497890">
      <w:pPr>
        <w:rPr>
          <w:b/>
          <w:smallCaps/>
          <w:sz w:val="22"/>
        </w:rPr>
      </w:pPr>
      <w:r>
        <w:rPr>
          <w:b/>
          <w:smallCaps/>
          <w:sz w:val="22"/>
        </w:rPr>
        <w:t>antwoord</w:t>
      </w:r>
    </w:p>
    <w:p w:rsidR="00365ED3" w:rsidRDefault="00365ED3" w:rsidP="00497890">
      <w:pPr>
        <w:rPr>
          <w:sz w:val="22"/>
        </w:rPr>
      </w:pPr>
      <w:r>
        <w:rPr>
          <w:sz w:val="22"/>
        </w:rPr>
        <w:t>op vraag nr. 341 van 7 juni 2011</w:t>
      </w:r>
    </w:p>
    <w:p w:rsidR="00365ED3" w:rsidRDefault="00365ED3" w:rsidP="00497890">
      <w:pPr>
        <w:rPr>
          <w:sz w:val="22"/>
        </w:rPr>
      </w:pPr>
      <w:r>
        <w:rPr>
          <w:sz w:val="22"/>
        </w:rPr>
        <w:t xml:space="preserve">van </w:t>
      </w:r>
      <w:r>
        <w:rPr>
          <w:b/>
          <w:smallCaps/>
          <w:sz w:val="22"/>
          <w:szCs w:val="22"/>
        </w:rPr>
        <w:t>filip watteeuw</w:t>
      </w:r>
    </w:p>
    <w:p w:rsidR="00365ED3" w:rsidRDefault="00365ED3" w:rsidP="00497890">
      <w:pPr>
        <w:pBdr>
          <w:bottom w:val="single" w:sz="4" w:space="1" w:color="auto"/>
        </w:pBdr>
        <w:jc w:val="both"/>
        <w:rPr>
          <w:sz w:val="22"/>
        </w:rPr>
      </w:pPr>
    </w:p>
    <w:p w:rsidR="00365ED3" w:rsidRDefault="00365ED3" w:rsidP="00BB7640">
      <w:pPr>
        <w:jc w:val="both"/>
        <w:rPr>
          <w:sz w:val="22"/>
          <w:szCs w:val="22"/>
        </w:rPr>
      </w:pPr>
    </w:p>
    <w:p w:rsidR="00365ED3" w:rsidRDefault="00365ED3" w:rsidP="00BB7640">
      <w:pPr>
        <w:ind w:left="567"/>
        <w:jc w:val="both"/>
        <w:rPr>
          <w:sz w:val="22"/>
          <w:szCs w:val="22"/>
        </w:rPr>
      </w:pPr>
    </w:p>
    <w:p w:rsidR="00365ED3" w:rsidRDefault="00365ED3" w:rsidP="00884E2A">
      <w:pPr>
        <w:numPr>
          <w:ilvl w:val="0"/>
          <w:numId w:val="7"/>
        </w:numPr>
        <w:ind w:left="567" w:hanging="567"/>
        <w:rPr>
          <w:sz w:val="22"/>
          <w:szCs w:val="22"/>
        </w:rPr>
      </w:pPr>
      <w:r>
        <w:rPr>
          <w:sz w:val="22"/>
          <w:szCs w:val="22"/>
        </w:rPr>
        <w:t xml:space="preserve">Deze oefening was een verkennende analyse en werd intussen afgerond. De analyse is compatibel met soortgelijke internationale en gewestelijke initiatieven. Er zijn een reeks diepte-interviews zowel intern (binnen de Vlaamse overheid) als extern gehouden. Ook is er contact gelegd en overleg gevoerd met een reeks andere beleidsdomeinen zoals Leefmilieu, Energie, Landbouw, Innovatie, Werk en Sociale Economie, Mobiliteit en Openbare werken en Internationaal Ondernemen.  </w:t>
      </w:r>
    </w:p>
    <w:p w:rsidR="00365ED3" w:rsidRDefault="00365ED3" w:rsidP="00884E2A">
      <w:pPr>
        <w:rPr>
          <w:sz w:val="22"/>
          <w:szCs w:val="22"/>
        </w:rPr>
      </w:pPr>
    </w:p>
    <w:p w:rsidR="00365ED3" w:rsidRDefault="00365ED3" w:rsidP="00884E2A">
      <w:pPr>
        <w:ind w:left="567"/>
        <w:rPr>
          <w:sz w:val="22"/>
          <w:szCs w:val="22"/>
        </w:rPr>
      </w:pPr>
      <w:r>
        <w:rPr>
          <w:sz w:val="22"/>
          <w:szCs w:val="22"/>
        </w:rPr>
        <w:t>De analyse vertrekt van een brede afbakening van het concept “groene economie”. Een basisvaststelling is dat binnen de Vlaamse overheid alvast al heel wat gebeurt in diverse beleidsdomeinen, ook al heeft dat frequent andere namen dan “vergroening van de economie”. Dat geldt zowel voor de talrijke beleidsplannen als voor initiatieven op maatregelniveau en de uitdagingen waar zij voor staan. Enkele voorbeelden zijn initiatieven op het vlak van hernieuwbare energie, klimaatbeleid, water-, lucht- en bodembeleid, bio-economie, groene jobs, duurzaam aankoopbeleid, clean tech, ecologiesteun, etc.</w:t>
      </w:r>
    </w:p>
    <w:p w:rsidR="00365ED3" w:rsidRDefault="00365ED3" w:rsidP="00884E2A">
      <w:pPr>
        <w:rPr>
          <w:sz w:val="22"/>
          <w:szCs w:val="22"/>
        </w:rPr>
      </w:pPr>
    </w:p>
    <w:p w:rsidR="00365ED3" w:rsidRDefault="00365ED3" w:rsidP="00884E2A">
      <w:pPr>
        <w:ind w:left="567"/>
        <w:rPr>
          <w:sz w:val="22"/>
          <w:szCs w:val="22"/>
        </w:rPr>
      </w:pPr>
      <w:r>
        <w:rPr>
          <w:sz w:val="22"/>
          <w:szCs w:val="22"/>
        </w:rPr>
        <w:t>Een EWI-Focus georganiseerd door het Departement Economie, Wetenschap en Innovatie (EWI) over dit thema is gepland in september 2011, waar deze verkennende studie in de vorm van een discussienota wordt besproken. Mede op basis hiervan zal een verdere keuze gemaakt worden tussen diverse mogelijke initiatieven om tot een volledige en volwaardige beleidsinstrumentenportfolio te komen, daarbij rekening houdend met het internationale evoluerende kader.</w:t>
      </w:r>
    </w:p>
    <w:p w:rsidR="00365ED3" w:rsidRDefault="00365ED3" w:rsidP="00884E2A">
      <w:pPr>
        <w:rPr>
          <w:sz w:val="22"/>
          <w:szCs w:val="22"/>
        </w:rPr>
      </w:pPr>
      <w:r>
        <w:rPr>
          <w:sz w:val="22"/>
          <w:szCs w:val="22"/>
        </w:rPr>
        <w:t xml:space="preserve"> </w:t>
      </w:r>
    </w:p>
    <w:p w:rsidR="00365ED3" w:rsidRDefault="00365ED3" w:rsidP="00884E2A">
      <w:pPr>
        <w:ind w:left="567"/>
        <w:rPr>
          <w:sz w:val="22"/>
          <w:szCs w:val="22"/>
        </w:rPr>
      </w:pPr>
      <w:r>
        <w:rPr>
          <w:sz w:val="22"/>
          <w:szCs w:val="22"/>
        </w:rPr>
        <w:t xml:space="preserve">In elk geval zal het concreet realiseren van een groenere economie ingebed worden in het Nieuw Industrieel beleid (NIB). </w:t>
      </w:r>
    </w:p>
    <w:p w:rsidR="00365ED3" w:rsidRDefault="00365ED3" w:rsidP="00884E2A">
      <w:pPr>
        <w:rPr>
          <w:sz w:val="22"/>
          <w:szCs w:val="22"/>
        </w:rPr>
      </w:pPr>
    </w:p>
    <w:p w:rsidR="00365ED3" w:rsidRDefault="00365ED3" w:rsidP="00884E2A">
      <w:pPr>
        <w:numPr>
          <w:ilvl w:val="0"/>
          <w:numId w:val="7"/>
        </w:numPr>
        <w:ind w:left="567" w:hanging="567"/>
        <w:rPr>
          <w:sz w:val="22"/>
          <w:szCs w:val="22"/>
        </w:rPr>
      </w:pPr>
      <w:r>
        <w:rPr>
          <w:sz w:val="22"/>
          <w:szCs w:val="22"/>
        </w:rPr>
        <w:t>Er is inderdaad overleg met het beleidsdomein Innovatie, zoals ook tot uitdrukking komt in het Witboek NIB.</w:t>
      </w:r>
    </w:p>
    <w:p w:rsidR="00365ED3" w:rsidRDefault="00365ED3" w:rsidP="00884E2A">
      <w:pPr>
        <w:rPr>
          <w:sz w:val="22"/>
          <w:szCs w:val="22"/>
        </w:rPr>
      </w:pPr>
    </w:p>
    <w:p w:rsidR="00365ED3" w:rsidRDefault="00365ED3" w:rsidP="00884E2A">
      <w:pPr>
        <w:ind w:left="567"/>
        <w:rPr>
          <w:sz w:val="22"/>
          <w:szCs w:val="22"/>
        </w:rPr>
      </w:pPr>
      <w:r>
        <w:rPr>
          <w:sz w:val="22"/>
          <w:szCs w:val="22"/>
        </w:rPr>
        <w:t>Maar niet enkel met innovatie werd contact gelegd, zoals in het antwoord op deelvraag 1 al werd aangestipt. Het breed voeren van overleg is essentieel voor het welslagen van de vergroeningseconomie.</w:t>
      </w:r>
    </w:p>
    <w:p w:rsidR="00365ED3" w:rsidRDefault="00365ED3" w:rsidP="00884E2A">
      <w:pPr>
        <w:rPr>
          <w:sz w:val="22"/>
          <w:szCs w:val="22"/>
        </w:rPr>
      </w:pPr>
    </w:p>
    <w:p w:rsidR="00365ED3" w:rsidRPr="003F450F" w:rsidRDefault="00365ED3" w:rsidP="00884E2A">
      <w:pPr>
        <w:ind w:left="567"/>
        <w:rPr>
          <w:sz w:val="22"/>
          <w:szCs w:val="22"/>
        </w:rPr>
      </w:pPr>
      <w:r>
        <w:rPr>
          <w:sz w:val="22"/>
          <w:szCs w:val="22"/>
        </w:rPr>
        <w:t xml:space="preserve">In dit verband kan ook worden verwezen naar de Werkgroep Duurzame Ontwikkeling, waar recent een specifiek overleg is doorgegaan over het onderwerp “de vergroening van de economie”. Naast informatie-uitwisseling  door de diverse betrokken beleidsdomeinen over de initiatieven die zij nemen, werd ook van start gegaan met het oriënteren van Vlaamse standpunten in voorbereiding van </w:t>
      </w:r>
      <w:r w:rsidRPr="00884E2A">
        <w:rPr>
          <w:b/>
          <w:sz w:val="22"/>
          <w:szCs w:val="22"/>
        </w:rPr>
        <w:t>RIO+20</w:t>
      </w:r>
      <w:r>
        <w:rPr>
          <w:sz w:val="22"/>
          <w:szCs w:val="22"/>
        </w:rPr>
        <w:t xml:space="preserve">, </w:t>
      </w:r>
      <w:r w:rsidRPr="007F0F52">
        <w:rPr>
          <w:sz w:val="22"/>
          <w:szCs w:val="22"/>
        </w:rPr>
        <w:t xml:space="preserve">de VN-conferentie over duurzame ontwikkeling die in juni 2012 plaatsvindt </w:t>
      </w:r>
      <w:r>
        <w:rPr>
          <w:sz w:val="22"/>
          <w:szCs w:val="22"/>
        </w:rPr>
        <w:t xml:space="preserve"> in</w:t>
      </w:r>
      <w:r w:rsidRPr="007F0F52">
        <w:rPr>
          <w:sz w:val="22"/>
          <w:szCs w:val="22"/>
        </w:rPr>
        <w:t xml:space="preserve"> Rio de Janeiro.</w:t>
      </w:r>
      <w:r>
        <w:rPr>
          <w:sz w:val="22"/>
          <w:szCs w:val="22"/>
        </w:rPr>
        <w:t xml:space="preserve"> Deze belangrijke internationale topconferentie heeft het thema “groene economie” heel hoog op de agenda gezet, wat alvast een belangrijk signaal is.</w:t>
      </w:r>
    </w:p>
    <w:sectPr w:rsidR="00365ED3" w:rsidRPr="003F450F" w:rsidSect="00F71F7C">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6381E"/>
    <w:multiLevelType w:val="hybridMultilevel"/>
    <w:tmpl w:val="349802E8"/>
    <w:lvl w:ilvl="0" w:tplc="04130001">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788"/>
        </w:tabs>
        <w:ind w:left="1788" w:hanging="360"/>
      </w:pPr>
      <w:rPr>
        <w:rFonts w:ascii="Courier New" w:hAnsi="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
    <w:nsid w:val="24A512C1"/>
    <w:multiLevelType w:val="hybridMultilevel"/>
    <w:tmpl w:val="6BDC3120"/>
    <w:lvl w:ilvl="0" w:tplc="24F29B5C">
      <w:start w:val="2"/>
      <w:numFmt w:val="decimal"/>
      <w:lvlText w:val="%1."/>
      <w:lvlJc w:val="left"/>
      <w:pPr>
        <w:tabs>
          <w:tab w:val="num" w:pos="720"/>
        </w:tabs>
        <w:ind w:left="720" w:hanging="360"/>
      </w:pPr>
      <w:rPr>
        <w:rFonts w:cs="Times New Roman" w:hint="default"/>
      </w:rPr>
    </w:lvl>
    <w:lvl w:ilvl="1" w:tplc="ADDA0496" w:tentative="1">
      <w:start w:val="1"/>
      <w:numFmt w:val="lowerLetter"/>
      <w:lvlText w:val="%2."/>
      <w:lvlJc w:val="left"/>
      <w:pPr>
        <w:tabs>
          <w:tab w:val="num" w:pos="1440"/>
        </w:tabs>
        <w:ind w:left="1440" w:hanging="360"/>
      </w:pPr>
      <w:rPr>
        <w:rFonts w:cs="Times New Roman"/>
      </w:rPr>
    </w:lvl>
    <w:lvl w:ilvl="2" w:tplc="48CACE60" w:tentative="1">
      <w:start w:val="1"/>
      <w:numFmt w:val="lowerRoman"/>
      <w:lvlText w:val="%3."/>
      <w:lvlJc w:val="right"/>
      <w:pPr>
        <w:tabs>
          <w:tab w:val="num" w:pos="2160"/>
        </w:tabs>
        <w:ind w:left="2160" w:hanging="180"/>
      </w:pPr>
      <w:rPr>
        <w:rFonts w:cs="Times New Roman"/>
      </w:rPr>
    </w:lvl>
    <w:lvl w:ilvl="3" w:tplc="BAAAA47E" w:tentative="1">
      <w:start w:val="1"/>
      <w:numFmt w:val="decimal"/>
      <w:lvlText w:val="%4."/>
      <w:lvlJc w:val="left"/>
      <w:pPr>
        <w:tabs>
          <w:tab w:val="num" w:pos="2880"/>
        </w:tabs>
        <w:ind w:left="2880" w:hanging="360"/>
      </w:pPr>
      <w:rPr>
        <w:rFonts w:cs="Times New Roman"/>
      </w:rPr>
    </w:lvl>
    <w:lvl w:ilvl="4" w:tplc="080AD53E" w:tentative="1">
      <w:start w:val="1"/>
      <w:numFmt w:val="lowerLetter"/>
      <w:lvlText w:val="%5."/>
      <w:lvlJc w:val="left"/>
      <w:pPr>
        <w:tabs>
          <w:tab w:val="num" w:pos="3600"/>
        </w:tabs>
        <w:ind w:left="3600" w:hanging="360"/>
      </w:pPr>
      <w:rPr>
        <w:rFonts w:cs="Times New Roman"/>
      </w:rPr>
    </w:lvl>
    <w:lvl w:ilvl="5" w:tplc="6B82D862" w:tentative="1">
      <w:start w:val="1"/>
      <w:numFmt w:val="lowerRoman"/>
      <w:lvlText w:val="%6."/>
      <w:lvlJc w:val="right"/>
      <w:pPr>
        <w:tabs>
          <w:tab w:val="num" w:pos="4320"/>
        </w:tabs>
        <w:ind w:left="4320" w:hanging="180"/>
      </w:pPr>
      <w:rPr>
        <w:rFonts w:cs="Times New Roman"/>
      </w:rPr>
    </w:lvl>
    <w:lvl w:ilvl="6" w:tplc="DC52CE70" w:tentative="1">
      <w:start w:val="1"/>
      <w:numFmt w:val="decimal"/>
      <w:lvlText w:val="%7."/>
      <w:lvlJc w:val="left"/>
      <w:pPr>
        <w:tabs>
          <w:tab w:val="num" w:pos="5040"/>
        </w:tabs>
        <w:ind w:left="5040" w:hanging="360"/>
      </w:pPr>
      <w:rPr>
        <w:rFonts w:cs="Times New Roman"/>
      </w:rPr>
    </w:lvl>
    <w:lvl w:ilvl="7" w:tplc="5672D592" w:tentative="1">
      <w:start w:val="1"/>
      <w:numFmt w:val="lowerLetter"/>
      <w:lvlText w:val="%8."/>
      <w:lvlJc w:val="left"/>
      <w:pPr>
        <w:tabs>
          <w:tab w:val="num" w:pos="5760"/>
        </w:tabs>
        <w:ind w:left="5760" w:hanging="360"/>
      </w:pPr>
      <w:rPr>
        <w:rFonts w:cs="Times New Roman"/>
      </w:rPr>
    </w:lvl>
    <w:lvl w:ilvl="8" w:tplc="00FAB43A" w:tentative="1">
      <w:start w:val="1"/>
      <w:numFmt w:val="lowerRoman"/>
      <w:lvlText w:val="%9."/>
      <w:lvlJc w:val="right"/>
      <w:pPr>
        <w:tabs>
          <w:tab w:val="num" w:pos="6480"/>
        </w:tabs>
        <w:ind w:left="6480" w:hanging="180"/>
      </w:pPr>
      <w:rPr>
        <w:rFonts w:cs="Times New Roman"/>
      </w:rPr>
    </w:lvl>
  </w:abstractNum>
  <w:abstractNum w:abstractNumId="2">
    <w:nsid w:val="2ECA4276"/>
    <w:multiLevelType w:val="hybridMultilevel"/>
    <w:tmpl w:val="C7F21996"/>
    <w:lvl w:ilvl="0" w:tplc="04130001">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788"/>
        </w:tabs>
        <w:ind w:left="1788" w:hanging="360"/>
      </w:pPr>
      <w:rPr>
        <w:rFonts w:ascii="Courier New" w:hAnsi="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3">
    <w:nsid w:val="303E6B08"/>
    <w:multiLevelType w:val="multilevel"/>
    <w:tmpl w:val="B1C8B4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3CA1277A"/>
    <w:multiLevelType w:val="hybridMultilevel"/>
    <w:tmpl w:val="C9B8379C"/>
    <w:lvl w:ilvl="0" w:tplc="0413000F">
      <w:start w:val="1"/>
      <w:numFmt w:val="decimal"/>
      <w:lvlText w:val="%1."/>
      <w:lvlJc w:val="left"/>
      <w:pPr>
        <w:tabs>
          <w:tab w:val="num" w:pos="360"/>
        </w:tabs>
        <w:ind w:left="360" w:hanging="360"/>
      </w:pPr>
      <w:rPr>
        <w:rFonts w:cs="Times New Roman"/>
      </w:rPr>
    </w:lvl>
    <w:lvl w:ilvl="1" w:tplc="04130019">
      <w:start w:val="1"/>
      <w:numFmt w:val="lowerLetter"/>
      <w:lvlText w:val="%2."/>
      <w:lvlJc w:val="left"/>
      <w:pPr>
        <w:tabs>
          <w:tab w:val="num" w:pos="1080"/>
        </w:tabs>
        <w:ind w:left="1080" w:hanging="360"/>
      </w:pPr>
      <w:rPr>
        <w:rFonts w:cs="Times New Roman"/>
      </w:rPr>
    </w:lvl>
    <w:lvl w:ilvl="2" w:tplc="0413001B">
      <w:start w:val="1"/>
      <w:numFmt w:val="lowerRoman"/>
      <w:lvlText w:val="%3."/>
      <w:lvlJc w:val="right"/>
      <w:pPr>
        <w:tabs>
          <w:tab w:val="num" w:pos="1800"/>
        </w:tabs>
        <w:ind w:left="1800" w:hanging="180"/>
      </w:pPr>
      <w:rPr>
        <w:rFonts w:cs="Times New Roman"/>
      </w:rPr>
    </w:lvl>
    <w:lvl w:ilvl="3" w:tplc="0413000F">
      <w:start w:val="1"/>
      <w:numFmt w:val="decimal"/>
      <w:lvlText w:val="%4."/>
      <w:lvlJc w:val="left"/>
      <w:pPr>
        <w:tabs>
          <w:tab w:val="num" w:pos="2520"/>
        </w:tabs>
        <w:ind w:left="2520" w:hanging="360"/>
      </w:pPr>
      <w:rPr>
        <w:rFonts w:cs="Times New Roman"/>
      </w:rPr>
    </w:lvl>
    <w:lvl w:ilvl="4" w:tplc="04130019">
      <w:start w:val="1"/>
      <w:numFmt w:val="lowerLetter"/>
      <w:lvlText w:val="%5."/>
      <w:lvlJc w:val="left"/>
      <w:pPr>
        <w:tabs>
          <w:tab w:val="num" w:pos="3240"/>
        </w:tabs>
        <w:ind w:left="3240" w:hanging="360"/>
      </w:pPr>
      <w:rPr>
        <w:rFonts w:cs="Times New Roman"/>
      </w:rPr>
    </w:lvl>
    <w:lvl w:ilvl="5" w:tplc="0413001B">
      <w:start w:val="1"/>
      <w:numFmt w:val="lowerRoman"/>
      <w:lvlText w:val="%6."/>
      <w:lvlJc w:val="right"/>
      <w:pPr>
        <w:tabs>
          <w:tab w:val="num" w:pos="3960"/>
        </w:tabs>
        <w:ind w:left="3960" w:hanging="180"/>
      </w:pPr>
      <w:rPr>
        <w:rFonts w:cs="Times New Roman"/>
      </w:rPr>
    </w:lvl>
    <w:lvl w:ilvl="6" w:tplc="0413000F">
      <w:start w:val="1"/>
      <w:numFmt w:val="decimal"/>
      <w:lvlText w:val="%7."/>
      <w:lvlJc w:val="left"/>
      <w:pPr>
        <w:tabs>
          <w:tab w:val="num" w:pos="4680"/>
        </w:tabs>
        <w:ind w:left="4680" w:hanging="360"/>
      </w:pPr>
      <w:rPr>
        <w:rFonts w:cs="Times New Roman"/>
      </w:rPr>
    </w:lvl>
    <w:lvl w:ilvl="7" w:tplc="04130019">
      <w:start w:val="1"/>
      <w:numFmt w:val="lowerLetter"/>
      <w:lvlText w:val="%8."/>
      <w:lvlJc w:val="left"/>
      <w:pPr>
        <w:tabs>
          <w:tab w:val="num" w:pos="5400"/>
        </w:tabs>
        <w:ind w:left="5400" w:hanging="360"/>
      </w:pPr>
      <w:rPr>
        <w:rFonts w:cs="Times New Roman"/>
      </w:rPr>
    </w:lvl>
    <w:lvl w:ilvl="8" w:tplc="0413001B">
      <w:start w:val="1"/>
      <w:numFmt w:val="lowerRoman"/>
      <w:lvlText w:val="%9."/>
      <w:lvlJc w:val="right"/>
      <w:pPr>
        <w:tabs>
          <w:tab w:val="num" w:pos="6120"/>
        </w:tabs>
        <w:ind w:left="6120" w:hanging="180"/>
      </w:pPr>
      <w:rPr>
        <w:rFonts w:cs="Times New Roman"/>
      </w:rPr>
    </w:lvl>
  </w:abstractNum>
  <w:abstractNum w:abstractNumId="5">
    <w:nsid w:val="5ED009CC"/>
    <w:multiLevelType w:val="hybridMultilevel"/>
    <w:tmpl w:val="0B6CA9CE"/>
    <w:lvl w:ilvl="0" w:tplc="FDA06A0E">
      <w:start w:val="1"/>
      <w:numFmt w:val="bullet"/>
      <w:lvlText w:val="-"/>
      <w:lvlJc w:val="left"/>
      <w:pPr>
        <w:ind w:left="1080" w:hanging="360"/>
      </w:pPr>
      <w:rPr>
        <w:rFonts w:ascii="Times New Roman" w:eastAsia="Times New Roman" w:hAnsi="Times New Roman" w:hint="default"/>
      </w:rPr>
    </w:lvl>
    <w:lvl w:ilvl="1" w:tplc="08130003">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nsid w:val="6E631020"/>
    <w:multiLevelType w:val="hybridMultilevel"/>
    <w:tmpl w:val="1FB6D092"/>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num w:numId="1">
    <w:abstractNumId w:val="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2C40"/>
    <w:rsid w:val="00042964"/>
    <w:rsid w:val="00045E43"/>
    <w:rsid w:val="000C4C18"/>
    <w:rsid w:val="00157A87"/>
    <w:rsid w:val="001747B4"/>
    <w:rsid w:val="00190C33"/>
    <w:rsid w:val="001B6267"/>
    <w:rsid w:val="001F0937"/>
    <w:rsid w:val="001F7773"/>
    <w:rsid w:val="002730B7"/>
    <w:rsid w:val="002B0B27"/>
    <w:rsid w:val="00365ED3"/>
    <w:rsid w:val="003F450F"/>
    <w:rsid w:val="00445A6F"/>
    <w:rsid w:val="00497890"/>
    <w:rsid w:val="005431C7"/>
    <w:rsid w:val="005A4527"/>
    <w:rsid w:val="006114A2"/>
    <w:rsid w:val="006A324D"/>
    <w:rsid w:val="006C416E"/>
    <w:rsid w:val="006F7264"/>
    <w:rsid w:val="007637D8"/>
    <w:rsid w:val="00774814"/>
    <w:rsid w:val="007A666B"/>
    <w:rsid w:val="007B527F"/>
    <w:rsid w:val="007F0F52"/>
    <w:rsid w:val="008058A4"/>
    <w:rsid w:val="00884E2A"/>
    <w:rsid w:val="00886AE4"/>
    <w:rsid w:val="00996BD9"/>
    <w:rsid w:val="009976C1"/>
    <w:rsid w:val="009E2C40"/>
    <w:rsid w:val="00A13D4B"/>
    <w:rsid w:val="00A8473D"/>
    <w:rsid w:val="00AB0AA4"/>
    <w:rsid w:val="00AB3814"/>
    <w:rsid w:val="00BB7640"/>
    <w:rsid w:val="00C62C3C"/>
    <w:rsid w:val="00D522C8"/>
    <w:rsid w:val="00D73742"/>
    <w:rsid w:val="00E34217"/>
    <w:rsid w:val="00F02D35"/>
    <w:rsid w:val="00F71F7C"/>
    <w:rsid w:val="00FD27C5"/>
    <w:rsid w:val="00FE39D0"/>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F7C"/>
    <w:rPr>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ardSV">
    <w:name w:val="Standaard SV"/>
    <w:basedOn w:val="Normal"/>
    <w:uiPriority w:val="99"/>
    <w:rsid w:val="00F71F7C"/>
    <w:pPr>
      <w:jc w:val="both"/>
    </w:pPr>
    <w:rPr>
      <w:sz w:val="22"/>
      <w:szCs w:val="20"/>
    </w:rPr>
  </w:style>
  <w:style w:type="paragraph" w:styleId="BalloonText">
    <w:name w:val="Balloon Text"/>
    <w:basedOn w:val="Normal"/>
    <w:link w:val="BalloonTextChar"/>
    <w:uiPriority w:val="99"/>
    <w:semiHidden/>
    <w:rsid w:val="00F71F7C"/>
    <w:rPr>
      <w:rFonts w:ascii="Tahoma" w:hAnsi="Tahoma" w:cs="Tahoma"/>
      <w:sz w:val="16"/>
      <w:szCs w:val="16"/>
    </w:rPr>
  </w:style>
  <w:style w:type="character" w:customStyle="1" w:styleId="BalloonTextChar">
    <w:name w:val="Balloon Text Char"/>
    <w:basedOn w:val="DefaultParagraphFont"/>
    <w:link w:val="BalloonText"/>
    <w:uiPriority w:val="99"/>
    <w:semiHidden/>
    <w:rsid w:val="00650345"/>
    <w:rPr>
      <w:sz w:val="0"/>
      <w:szCs w:val="0"/>
      <w:lang w:val="nl-NL" w:eastAsia="nl-NL"/>
    </w:rPr>
  </w:style>
  <w:style w:type="paragraph" w:styleId="EnvelopeAddress">
    <w:name w:val="envelope address"/>
    <w:basedOn w:val="Normal"/>
    <w:uiPriority w:val="99"/>
    <w:rsid w:val="002730B7"/>
    <w:pPr>
      <w:framePr w:w="7920" w:h="1980" w:hRule="exact" w:hSpace="141" w:wrap="auto" w:hAnchor="page" w:xAlign="center" w:yAlign="bottom"/>
      <w:ind w:left="2880"/>
    </w:pPr>
    <w:rPr>
      <w:szCs w:val="20"/>
    </w:rPr>
  </w:style>
  <w:style w:type="paragraph" w:customStyle="1" w:styleId="SVTitel">
    <w:name w:val="SV Titel"/>
    <w:basedOn w:val="Normal"/>
    <w:uiPriority w:val="99"/>
    <w:rsid w:val="00190C33"/>
    <w:pPr>
      <w:jc w:val="both"/>
    </w:pPr>
    <w:rPr>
      <w:i/>
      <w:sz w:val="22"/>
      <w:szCs w:val="20"/>
    </w:rPr>
  </w:style>
  <w:style w:type="paragraph" w:styleId="ListParagraph">
    <w:name w:val="List Paragraph"/>
    <w:basedOn w:val="Normal"/>
    <w:uiPriority w:val="99"/>
    <w:qFormat/>
    <w:rsid w:val="00774814"/>
    <w:pPr>
      <w:ind w:left="720"/>
      <w:contextualSpacing/>
    </w:pPr>
  </w:style>
</w:styles>
</file>

<file path=word/webSettings.xml><?xml version="1.0" encoding="utf-8"?>
<w:webSettings xmlns:r="http://schemas.openxmlformats.org/officeDocument/2006/relationships" xmlns:w="http://schemas.openxmlformats.org/wordprocessingml/2006/main">
  <w:divs>
    <w:div w:id="638001328">
      <w:marLeft w:val="0"/>
      <w:marRight w:val="0"/>
      <w:marTop w:val="0"/>
      <w:marBottom w:val="0"/>
      <w:divBdr>
        <w:top w:val="none" w:sz="0" w:space="0" w:color="auto"/>
        <w:left w:val="none" w:sz="0" w:space="0" w:color="auto"/>
        <w:bottom w:val="none" w:sz="0" w:space="0" w:color="auto"/>
        <w:right w:val="none" w:sz="0" w:space="0" w:color="auto"/>
      </w:divBdr>
    </w:div>
    <w:div w:id="6380013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Werkbestanden%20Erwin%20Dewallef\Parlementaire%20vragen\Procesbeschrijving%20en%20sjablonen\sjablonen%20parlementaire%20vragen\Schriftelijke%20vraag%20-%20antwoord%20-%20bijlag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Schriftelijke vraag - antwoord - bijlage 3</Template>
  <TotalTime>1</TotalTime>
  <Pages>1</Pages>
  <Words>429</Words>
  <Characters>2362</Characters>
  <Application>Microsoft Office Outlook</Application>
  <DocSecurity>0</DocSecurity>
  <Lines>0</Lines>
  <Paragraphs>0</Paragraphs>
  <ScaleCrop>false</ScaleCrop>
  <Company>MVG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 VANDENBROUCKE</dc:title>
  <dc:subject/>
  <dc:creator>dewaller</dc:creator>
  <cp:keywords/>
  <dc:description/>
  <cp:lastModifiedBy>Vlaams Parlement</cp:lastModifiedBy>
  <cp:revision>2</cp:revision>
  <cp:lastPrinted>2011-08-25T13:00:00Z</cp:lastPrinted>
  <dcterms:created xsi:type="dcterms:W3CDTF">2011-08-25T13:01:00Z</dcterms:created>
  <dcterms:modified xsi:type="dcterms:W3CDTF">2011-08-25T13:01:00Z</dcterms:modified>
</cp:coreProperties>
</file>