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F2" w:rsidRPr="00A8473D" w:rsidRDefault="00AE2BF2" w:rsidP="00497890">
      <w:pPr>
        <w:jc w:val="both"/>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AE2BF2" w:rsidRDefault="00AE2BF2" w:rsidP="00497890">
      <w:pPr>
        <w:pStyle w:val="StandaardSV"/>
        <w:rPr>
          <w:smallCaps/>
        </w:rPr>
      </w:pPr>
      <w:r w:rsidRPr="00A8473D">
        <w:rPr>
          <w:smallCaps/>
          <w:szCs w:val="22"/>
          <w:lang w:val="nl-BE"/>
        </w:rPr>
        <w:t>minister-president van de vlaamse regering, vlaams minister van economie, buitenlands beleid, landbouw en plattelandsbeleid</w:t>
      </w:r>
    </w:p>
    <w:p w:rsidR="00AE2BF2" w:rsidRDefault="00AE2BF2" w:rsidP="00497890">
      <w:pPr>
        <w:pBdr>
          <w:bottom w:val="single" w:sz="4" w:space="1" w:color="auto"/>
        </w:pBdr>
        <w:rPr>
          <w:sz w:val="22"/>
        </w:rPr>
      </w:pPr>
    </w:p>
    <w:p w:rsidR="00AE2BF2" w:rsidRDefault="00AE2BF2" w:rsidP="00497890">
      <w:pPr>
        <w:rPr>
          <w:sz w:val="22"/>
        </w:rPr>
      </w:pPr>
    </w:p>
    <w:p w:rsidR="00AE2BF2" w:rsidRDefault="00AE2BF2" w:rsidP="00497890">
      <w:pPr>
        <w:rPr>
          <w:b/>
          <w:smallCaps/>
          <w:sz w:val="22"/>
        </w:rPr>
      </w:pPr>
      <w:r>
        <w:rPr>
          <w:b/>
          <w:smallCaps/>
          <w:sz w:val="22"/>
        </w:rPr>
        <w:t>antwoord</w:t>
      </w:r>
    </w:p>
    <w:p w:rsidR="00AE2BF2" w:rsidRDefault="00AE2BF2" w:rsidP="00497890">
      <w:pPr>
        <w:rPr>
          <w:sz w:val="22"/>
        </w:rPr>
      </w:pPr>
      <w:r>
        <w:rPr>
          <w:sz w:val="22"/>
        </w:rPr>
        <w:t>op vraag nr. 339 van 6 juni 2011</w:t>
      </w:r>
    </w:p>
    <w:p w:rsidR="00AE2BF2" w:rsidRDefault="00AE2BF2" w:rsidP="00497890">
      <w:pPr>
        <w:rPr>
          <w:sz w:val="22"/>
        </w:rPr>
      </w:pPr>
      <w:r>
        <w:rPr>
          <w:sz w:val="22"/>
        </w:rPr>
        <w:t xml:space="preserve">van </w:t>
      </w:r>
      <w:r>
        <w:rPr>
          <w:b/>
          <w:smallCaps/>
          <w:sz w:val="22"/>
          <w:szCs w:val="22"/>
        </w:rPr>
        <w:t>güler turan</w:t>
      </w:r>
    </w:p>
    <w:p w:rsidR="00AE2BF2" w:rsidRDefault="00AE2BF2" w:rsidP="00497890">
      <w:pPr>
        <w:pBdr>
          <w:bottom w:val="single" w:sz="4" w:space="1" w:color="auto"/>
        </w:pBdr>
        <w:jc w:val="both"/>
        <w:rPr>
          <w:sz w:val="22"/>
        </w:rPr>
      </w:pPr>
    </w:p>
    <w:p w:rsidR="00AE2BF2" w:rsidRDefault="00AE2BF2" w:rsidP="00BB7640">
      <w:pPr>
        <w:jc w:val="both"/>
        <w:rPr>
          <w:sz w:val="22"/>
          <w:szCs w:val="22"/>
        </w:rPr>
      </w:pPr>
    </w:p>
    <w:p w:rsidR="00AE2BF2" w:rsidRDefault="00AE2BF2" w:rsidP="00BB7640">
      <w:pPr>
        <w:ind w:left="567"/>
        <w:jc w:val="both"/>
        <w:rPr>
          <w:sz w:val="22"/>
          <w:szCs w:val="22"/>
        </w:rPr>
      </w:pPr>
    </w:p>
    <w:p w:rsidR="00AE2BF2" w:rsidRDefault="00AE2BF2" w:rsidP="002331A9">
      <w:pPr>
        <w:pStyle w:val="NormalWeb"/>
        <w:numPr>
          <w:ilvl w:val="0"/>
          <w:numId w:val="8"/>
        </w:numPr>
        <w:spacing w:before="0" w:beforeAutospacing="0" w:after="0" w:afterAutospacing="0"/>
        <w:jc w:val="both"/>
        <w:rPr>
          <w:sz w:val="22"/>
          <w:szCs w:val="22"/>
        </w:rPr>
      </w:pPr>
      <w:r>
        <w:rPr>
          <w:sz w:val="22"/>
          <w:szCs w:val="22"/>
        </w:rPr>
        <w:t>De doelsectoren voor Turkije zijn machines, bouw en cleantech.</w:t>
      </w:r>
    </w:p>
    <w:p w:rsidR="00AE2BF2" w:rsidRDefault="00AE2BF2" w:rsidP="00AD6885">
      <w:pPr>
        <w:pStyle w:val="NormalWeb"/>
        <w:spacing w:before="0" w:beforeAutospacing="0" w:after="0" w:afterAutospacing="0"/>
        <w:jc w:val="both"/>
        <w:rPr>
          <w:sz w:val="22"/>
          <w:szCs w:val="22"/>
        </w:rPr>
      </w:pPr>
    </w:p>
    <w:p w:rsidR="00AE2BF2" w:rsidRDefault="00AE2BF2" w:rsidP="00AD6885">
      <w:pPr>
        <w:pStyle w:val="NormalWeb"/>
        <w:spacing w:before="0" w:beforeAutospacing="0" w:after="0" w:afterAutospacing="0"/>
        <w:jc w:val="both"/>
        <w:rPr>
          <w:sz w:val="22"/>
          <w:szCs w:val="22"/>
        </w:rPr>
      </w:pPr>
    </w:p>
    <w:p w:rsidR="00AE2BF2" w:rsidRDefault="00AE2BF2" w:rsidP="00AD6885">
      <w:pPr>
        <w:pStyle w:val="StandaardSV"/>
        <w:ind w:left="284" w:hanging="284"/>
        <w:rPr>
          <w:szCs w:val="22"/>
        </w:rPr>
      </w:pPr>
      <w:r>
        <w:rPr>
          <w:szCs w:val="22"/>
        </w:rPr>
        <w:t xml:space="preserve">2. </w:t>
      </w:r>
      <w:r>
        <w:rPr>
          <w:szCs w:val="22"/>
        </w:rPr>
        <w:tab/>
        <w:t>In Istanboel is een Vlaams Economisch Vertegenwoordiger op post die de markt actief bewerkt – ter bevordering van zowel de Vlaamse uitvoer naar Turkije als de Turkse bedrijfsinvesteringen in Vlaanderen.</w:t>
      </w:r>
    </w:p>
    <w:p w:rsidR="00AE2BF2" w:rsidRDefault="00AE2BF2" w:rsidP="00AD6885">
      <w:pPr>
        <w:pStyle w:val="StandaardSV"/>
        <w:ind w:left="284" w:hanging="284"/>
        <w:rPr>
          <w:szCs w:val="22"/>
        </w:rPr>
      </w:pPr>
    </w:p>
    <w:p w:rsidR="00AE2BF2" w:rsidRDefault="00AE2BF2" w:rsidP="00AD6885">
      <w:pPr>
        <w:pStyle w:val="StandaardSV"/>
        <w:ind w:left="284"/>
      </w:pPr>
      <w:r>
        <w:rPr>
          <w:szCs w:val="22"/>
        </w:rPr>
        <w:t xml:space="preserve">Turkije is één van de focuslanden waarop FIT zijn inspanningen prioriteert. Jaarlijks wordt een </w:t>
      </w:r>
      <w:r w:rsidRPr="005F2FFC">
        <w:rPr>
          <w:szCs w:val="22"/>
        </w:rPr>
        <w:t xml:space="preserve">multisectorale </w:t>
      </w:r>
      <w:r>
        <w:rPr>
          <w:szCs w:val="22"/>
        </w:rPr>
        <w:t xml:space="preserve">zakenreis naar Turkije </w:t>
      </w:r>
      <w:r w:rsidRPr="005F2FFC">
        <w:rPr>
          <w:szCs w:val="22"/>
        </w:rPr>
        <w:t xml:space="preserve">georganiseerd. </w:t>
      </w:r>
      <w:r w:rsidRPr="00EF125E">
        <w:t xml:space="preserve">In 2011 </w:t>
      </w:r>
      <w:r>
        <w:t>bezocht deze</w:t>
      </w:r>
      <w:r w:rsidRPr="00EF125E">
        <w:t xml:space="preserve"> de economische topregio’s van Turkije: Istanboel en Izmir.</w:t>
      </w:r>
      <w:r>
        <w:rPr>
          <w:i/>
        </w:rPr>
        <w:t xml:space="preserve"> </w:t>
      </w:r>
      <w:r w:rsidRPr="00EF125E">
        <w:t>In 2012 volgt een prinselijke missie</w:t>
      </w:r>
      <w:r>
        <w:t>.</w:t>
      </w:r>
      <w:r w:rsidRPr="00D33007">
        <w:rPr>
          <w:i/>
        </w:rPr>
        <w:t xml:space="preserve"> </w:t>
      </w:r>
      <w:r w:rsidRPr="00EF125E">
        <w:t>In 2013</w:t>
      </w:r>
      <w:r>
        <w:t xml:space="preserve"> zal er een zending naar</w:t>
      </w:r>
      <w:r w:rsidRPr="00EF125E">
        <w:t xml:space="preserve"> het oosten van Turkije </w:t>
      </w:r>
      <w:r>
        <w:t>worden georganiseerd</w:t>
      </w:r>
      <w:r w:rsidRPr="00EF125E">
        <w:t>.</w:t>
      </w:r>
    </w:p>
    <w:p w:rsidR="00AE2BF2" w:rsidRPr="00D33007" w:rsidRDefault="00AE2BF2" w:rsidP="00AD6885">
      <w:pPr>
        <w:pStyle w:val="StandaardSV"/>
        <w:ind w:left="284"/>
        <w:rPr>
          <w:i/>
        </w:rPr>
      </w:pPr>
    </w:p>
    <w:p w:rsidR="00AE2BF2" w:rsidRDefault="00AE2BF2" w:rsidP="00AD6885">
      <w:pPr>
        <w:pStyle w:val="StandaardSV"/>
        <w:ind w:left="284"/>
        <w:rPr>
          <w:szCs w:val="22"/>
        </w:rPr>
      </w:pPr>
      <w:r w:rsidRPr="00360FB8">
        <w:rPr>
          <w:szCs w:val="22"/>
        </w:rPr>
        <w:t>Naast deze multisectorale zakenreizen zet FIT nog andere activiteiten op, zoals het uitnodigen van Turkse aankopers en het organiseren van seminaries. In mei 2011 werd een succesvol seminarie georganiseerd met Turkse experts in de bouwsector en met aankopers van Turkse project</w:t>
      </w:r>
      <w:r>
        <w:rPr>
          <w:szCs w:val="22"/>
        </w:rPr>
        <w:t>-</w:t>
      </w:r>
      <w:r w:rsidRPr="00360FB8">
        <w:rPr>
          <w:szCs w:val="22"/>
        </w:rPr>
        <w:t>ontwikkelaars. Na het seminarie konden Vlaamse bedrijven hun diensten en producten aan hen voorstellen in een individueel zakengesprek.</w:t>
      </w:r>
      <w:r>
        <w:rPr>
          <w:szCs w:val="22"/>
        </w:rPr>
        <w:t xml:space="preserve"> In 2010 organiseerde FIT in samenwerking met KPMG een investeringsseminarie in Istanboel, tijdens een handelsmissie die ik heb geleid.</w:t>
      </w:r>
    </w:p>
    <w:p w:rsidR="00AE2BF2" w:rsidRDefault="00AE2BF2" w:rsidP="00AD6885">
      <w:pPr>
        <w:pStyle w:val="StandaardSV"/>
        <w:ind w:left="360"/>
        <w:rPr>
          <w:i/>
        </w:rPr>
      </w:pPr>
    </w:p>
    <w:p w:rsidR="00AE2BF2" w:rsidRDefault="00AE2BF2" w:rsidP="00AD6885">
      <w:pPr>
        <w:pStyle w:val="StandaardSV"/>
        <w:ind w:left="360"/>
        <w:rPr>
          <w:i/>
        </w:rPr>
      </w:pPr>
    </w:p>
    <w:p w:rsidR="00AE2BF2" w:rsidRPr="00EB6E2B" w:rsidRDefault="00AE2BF2" w:rsidP="00AD6885">
      <w:pPr>
        <w:pStyle w:val="StandaardSV"/>
        <w:ind w:left="284" w:hanging="284"/>
        <w:rPr>
          <w:szCs w:val="22"/>
        </w:rPr>
      </w:pPr>
      <w:r>
        <w:rPr>
          <w:szCs w:val="22"/>
        </w:rPr>
        <w:t xml:space="preserve">3. </w:t>
      </w:r>
      <w:r>
        <w:rPr>
          <w:szCs w:val="22"/>
        </w:rPr>
        <w:tab/>
        <w:t>De Vlaamse overheid</w:t>
      </w:r>
      <w:r w:rsidRPr="004A36D8">
        <w:rPr>
          <w:szCs w:val="22"/>
        </w:rPr>
        <w:t xml:space="preserve"> houdt geen statistieken bij van het aantal Vlaamse investeringen in Turkije. </w:t>
      </w:r>
      <w:r>
        <w:rPr>
          <w:szCs w:val="22"/>
        </w:rPr>
        <w:t xml:space="preserve">In 2010 hebben ondernemingen zoals </w:t>
      </w:r>
      <w:r w:rsidRPr="004A36D8">
        <w:rPr>
          <w:szCs w:val="22"/>
        </w:rPr>
        <w:t xml:space="preserve">NV Agfa Healthcare, NV Best Sorting Technologies en NV Waterleau </w:t>
      </w:r>
      <w:r>
        <w:rPr>
          <w:szCs w:val="22"/>
        </w:rPr>
        <w:t>in 2010 dochterbedrijven in Turkije</w:t>
      </w:r>
      <w:r w:rsidRPr="004A36D8">
        <w:rPr>
          <w:szCs w:val="22"/>
        </w:rPr>
        <w:t xml:space="preserve"> opgericht, na het inwinnen van informatie bij FIT en/</w:t>
      </w:r>
      <w:r>
        <w:rPr>
          <w:szCs w:val="22"/>
        </w:rPr>
        <w:t>of deelname aan acties van FIT</w:t>
      </w:r>
      <w:r w:rsidRPr="004A36D8">
        <w:rPr>
          <w:szCs w:val="22"/>
        </w:rPr>
        <w:t xml:space="preserve"> </w:t>
      </w:r>
      <w:r>
        <w:rPr>
          <w:szCs w:val="22"/>
        </w:rPr>
        <w:t>op de Turkse markt.</w:t>
      </w:r>
      <w:r w:rsidRPr="005C74DE">
        <w:rPr>
          <w:i/>
        </w:rPr>
        <w:t xml:space="preserve"> </w:t>
      </w:r>
      <w:r>
        <w:rPr>
          <w:i/>
        </w:rPr>
        <w:t xml:space="preserve"> </w:t>
      </w:r>
      <w:r w:rsidRPr="00EB6E2B">
        <w:rPr>
          <w:szCs w:val="22"/>
        </w:rPr>
        <w:t>Preciese statistische gegevens ontbreken evenwel.</w:t>
      </w:r>
    </w:p>
    <w:p w:rsidR="00AE2BF2" w:rsidRDefault="00AE2BF2" w:rsidP="00AD6885">
      <w:pPr>
        <w:pStyle w:val="StandaardSV"/>
        <w:rPr>
          <w:i/>
        </w:rPr>
      </w:pPr>
    </w:p>
    <w:p w:rsidR="00AE2BF2" w:rsidRDefault="00AE2BF2" w:rsidP="00AD6885">
      <w:pPr>
        <w:pStyle w:val="StandaardSV"/>
        <w:rPr>
          <w:i/>
        </w:rPr>
      </w:pPr>
    </w:p>
    <w:p w:rsidR="00AE2BF2" w:rsidRDefault="00AE2BF2" w:rsidP="002331A9">
      <w:pPr>
        <w:pStyle w:val="StandaardSV"/>
        <w:numPr>
          <w:ilvl w:val="0"/>
          <w:numId w:val="9"/>
        </w:numPr>
      </w:pPr>
      <w:r>
        <w:t>Er werden in 2010 geen Turkse investeringen in Vlaanderen geregistreerd.</w:t>
      </w:r>
    </w:p>
    <w:p w:rsidR="00AE2BF2" w:rsidRDefault="00AE2BF2" w:rsidP="00AD6885">
      <w:pPr>
        <w:pStyle w:val="StandaardSV"/>
      </w:pPr>
    </w:p>
    <w:p w:rsidR="00AE2BF2" w:rsidRDefault="00AE2BF2" w:rsidP="00AD6885">
      <w:pPr>
        <w:pStyle w:val="StandaardSV"/>
      </w:pPr>
    </w:p>
    <w:p w:rsidR="00AE2BF2" w:rsidRDefault="00AE2BF2" w:rsidP="00AD6885">
      <w:pPr>
        <w:pStyle w:val="StandaardSV"/>
        <w:ind w:left="284" w:hanging="284"/>
      </w:pPr>
      <w:r>
        <w:t>5.</w:t>
      </w:r>
      <w:r>
        <w:tab/>
        <w:t xml:space="preserve">De drie onderstaande tabellen bieden een overzicht van de belangrijkste economische relaties tussen Vlaanderen en Turkije. </w:t>
      </w:r>
    </w:p>
    <w:p w:rsidR="00AE2BF2" w:rsidRDefault="00AE2BF2" w:rsidP="00AD6885">
      <w:pPr>
        <w:pStyle w:val="StandaardSV"/>
      </w:pPr>
    </w:p>
    <w:p w:rsidR="00AE2BF2" w:rsidRDefault="00AE2BF2" w:rsidP="00AD6885">
      <w:pPr>
        <w:pStyle w:val="StandaardSV"/>
        <w:ind w:left="284"/>
        <w:rPr>
          <w:noProof/>
          <w:lang w:val="nl-BE" w:eastAsia="nl-BE"/>
        </w:rPr>
      </w:pPr>
      <w:r>
        <w:t xml:space="preserve">De eerste tabel biedt een overzicht van de handel tussen Vlaanderen en Turkije (uitgedrukt in miljard euro). </w:t>
      </w:r>
      <w:r>
        <w:rPr>
          <w:lang w:val="nl-BE"/>
        </w:rPr>
        <w:t>De uitvoer naar Turkije ging er in 2010</w:t>
      </w:r>
      <w:r w:rsidRPr="00DB4ADD">
        <w:rPr>
          <w:lang w:val="nl-BE"/>
        </w:rPr>
        <w:t xml:space="preserve"> spectaculair op vooruit waardoor </w:t>
      </w:r>
      <w:r>
        <w:rPr>
          <w:lang w:val="nl-BE"/>
        </w:rPr>
        <w:t>de invloed van de crisis op onze uitvoercijfers met Turkije volledig is uitgewist. H</w:t>
      </w:r>
      <w:r w:rsidRPr="00DB4ADD">
        <w:rPr>
          <w:lang w:val="nl-BE"/>
        </w:rPr>
        <w:t xml:space="preserve">et overschot op de handelsbalans met Turkije </w:t>
      </w:r>
      <w:r>
        <w:rPr>
          <w:lang w:val="nl-BE"/>
        </w:rPr>
        <w:t>is sterk</w:t>
      </w:r>
      <w:r w:rsidRPr="00DB4ADD">
        <w:rPr>
          <w:lang w:val="nl-BE"/>
        </w:rPr>
        <w:t xml:space="preserve"> toegenomen tot bijna € 1,4 </w:t>
      </w:r>
      <w:r>
        <w:rPr>
          <w:lang w:val="nl-BE"/>
        </w:rPr>
        <w:t>miljard. De invoer liet in 2010</w:t>
      </w:r>
      <w:r w:rsidRPr="00DB4ADD">
        <w:rPr>
          <w:lang w:val="nl-BE"/>
        </w:rPr>
        <w:t xml:space="preserve"> eveneens stevige groeicijfers noteren</w:t>
      </w:r>
      <w:r>
        <w:rPr>
          <w:lang w:val="nl-BE"/>
        </w:rPr>
        <w:t>.</w:t>
      </w:r>
    </w:p>
    <w:p w:rsidR="00AE2BF2" w:rsidRDefault="00AE2BF2">
      <w:pPr>
        <w:rPr>
          <w:sz w:val="22"/>
          <w:szCs w:val="20"/>
        </w:rPr>
      </w:pPr>
      <w:r>
        <w:br w:type="page"/>
      </w:r>
    </w:p>
    <w:p w:rsidR="00AE2BF2" w:rsidRPr="004A36D8" w:rsidRDefault="00AE2BF2" w:rsidP="00AD6885">
      <w:pPr>
        <w:pStyle w:val="StandaardSV"/>
      </w:pPr>
    </w:p>
    <w:tbl>
      <w:tblPr>
        <w:tblW w:w="8695" w:type="dxa"/>
        <w:tblInd w:w="392" w:type="dxa"/>
        <w:tblBorders>
          <w:top w:val="single" w:sz="12" w:space="0" w:color="000000"/>
          <w:bottom w:val="single" w:sz="12" w:space="0" w:color="000000"/>
          <w:insideH w:val="single" w:sz="6" w:space="0" w:color="000000"/>
        </w:tblBorders>
        <w:tblLayout w:type="fixed"/>
        <w:tblLook w:val="00A0"/>
      </w:tblPr>
      <w:tblGrid>
        <w:gridCol w:w="1122"/>
        <w:gridCol w:w="1515"/>
        <w:gridCol w:w="1514"/>
        <w:gridCol w:w="1515"/>
        <w:gridCol w:w="1421"/>
        <w:gridCol w:w="1608"/>
      </w:tblGrid>
      <w:tr w:rsidR="00AE2BF2" w:rsidRPr="00E03292" w:rsidTr="00DE0300">
        <w:trPr>
          <w:trHeight w:val="315"/>
        </w:trPr>
        <w:tc>
          <w:tcPr>
            <w:tcW w:w="1122" w:type="dxa"/>
            <w:tcBorders>
              <w:top w:val="nil"/>
              <w:bottom w:val="single" w:sz="12" w:space="0" w:color="000000"/>
              <w:right w:val="single" w:sz="12" w:space="0" w:color="000000"/>
            </w:tcBorders>
            <w:noWrap/>
          </w:tcPr>
          <w:p w:rsidR="00AE2BF2" w:rsidRPr="00DE0300" w:rsidRDefault="00AE2BF2" w:rsidP="00DE0300">
            <w:pPr>
              <w:jc w:val="center"/>
              <w:rPr>
                <w:b/>
                <w:bCs/>
                <w:color w:val="000000"/>
                <w:sz w:val="22"/>
                <w:szCs w:val="22"/>
                <w:lang w:val="nl-BE" w:eastAsia="nl-BE"/>
              </w:rPr>
            </w:pPr>
          </w:p>
        </w:tc>
        <w:tc>
          <w:tcPr>
            <w:tcW w:w="1515" w:type="dxa"/>
            <w:tcBorders>
              <w:top w:val="single" w:sz="12" w:space="0" w:color="000000"/>
              <w:left w:val="single" w:sz="12" w:space="0" w:color="000000"/>
              <w:bottom w:val="single" w:sz="12" w:space="0" w:color="000000"/>
            </w:tcBorders>
            <w:noWrap/>
          </w:tcPr>
          <w:p w:rsidR="00AE2BF2" w:rsidRPr="00DE0300" w:rsidRDefault="00AE2BF2" w:rsidP="00DE0300">
            <w:pPr>
              <w:jc w:val="center"/>
              <w:rPr>
                <w:b/>
                <w:bCs/>
                <w:color w:val="000000"/>
                <w:sz w:val="22"/>
                <w:szCs w:val="22"/>
                <w:lang w:val="nl-BE" w:eastAsia="nl-BE"/>
              </w:rPr>
            </w:pPr>
            <w:r w:rsidRPr="00DE0300">
              <w:rPr>
                <w:b/>
                <w:bCs/>
                <w:color w:val="000000"/>
                <w:sz w:val="22"/>
                <w:szCs w:val="22"/>
                <w:lang w:val="nl-BE" w:eastAsia="nl-BE"/>
              </w:rPr>
              <w:t>Uitvoer</w:t>
            </w:r>
          </w:p>
        </w:tc>
        <w:tc>
          <w:tcPr>
            <w:tcW w:w="1514" w:type="dxa"/>
            <w:tcBorders>
              <w:top w:val="single" w:sz="12" w:space="0" w:color="000000"/>
              <w:bottom w:val="single" w:sz="12" w:space="0" w:color="000000"/>
            </w:tcBorders>
            <w:noWrap/>
          </w:tcPr>
          <w:p w:rsidR="00AE2BF2" w:rsidRPr="00DE0300" w:rsidRDefault="00AE2BF2" w:rsidP="00DE0300">
            <w:pPr>
              <w:jc w:val="center"/>
              <w:rPr>
                <w:b/>
                <w:bCs/>
                <w:color w:val="000000"/>
                <w:sz w:val="22"/>
                <w:szCs w:val="22"/>
                <w:lang w:val="nl-BE" w:eastAsia="nl-BE"/>
              </w:rPr>
            </w:pPr>
            <w:r w:rsidRPr="00DE0300">
              <w:rPr>
                <w:b/>
                <w:bCs/>
                <w:color w:val="000000"/>
                <w:sz w:val="22"/>
                <w:szCs w:val="22"/>
                <w:lang w:val="nl-BE" w:eastAsia="nl-BE"/>
              </w:rPr>
              <w:t>Groei</w:t>
            </w:r>
          </w:p>
        </w:tc>
        <w:tc>
          <w:tcPr>
            <w:tcW w:w="1515" w:type="dxa"/>
            <w:tcBorders>
              <w:top w:val="single" w:sz="12" w:space="0" w:color="000000"/>
              <w:bottom w:val="single" w:sz="12" w:space="0" w:color="000000"/>
            </w:tcBorders>
            <w:noWrap/>
          </w:tcPr>
          <w:p w:rsidR="00AE2BF2" w:rsidRPr="00DE0300" w:rsidRDefault="00AE2BF2" w:rsidP="00DE0300">
            <w:pPr>
              <w:jc w:val="center"/>
              <w:rPr>
                <w:b/>
                <w:bCs/>
                <w:color w:val="000000"/>
                <w:sz w:val="22"/>
                <w:szCs w:val="22"/>
                <w:lang w:val="nl-BE" w:eastAsia="nl-BE"/>
              </w:rPr>
            </w:pPr>
            <w:r w:rsidRPr="00DE0300">
              <w:rPr>
                <w:b/>
                <w:bCs/>
                <w:color w:val="000000"/>
                <w:sz w:val="22"/>
                <w:szCs w:val="22"/>
                <w:lang w:val="nl-BE" w:eastAsia="nl-BE"/>
              </w:rPr>
              <w:t>Invoer</w:t>
            </w:r>
          </w:p>
        </w:tc>
        <w:tc>
          <w:tcPr>
            <w:tcW w:w="1421" w:type="dxa"/>
            <w:tcBorders>
              <w:top w:val="single" w:sz="12" w:space="0" w:color="000000"/>
              <w:bottom w:val="single" w:sz="12" w:space="0" w:color="000000"/>
            </w:tcBorders>
            <w:noWrap/>
          </w:tcPr>
          <w:p w:rsidR="00AE2BF2" w:rsidRPr="00DE0300" w:rsidRDefault="00AE2BF2" w:rsidP="00DE0300">
            <w:pPr>
              <w:jc w:val="center"/>
              <w:rPr>
                <w:b/>
                <w:bCs/>
                <w:color w:val="000000"/>
                <w:sz w:val="22"/>
                <w:szCs w:val="22"/>
                <w:lang w:val="nl-BE" w:eastAsia="nl-BE"/>
              </w:rPr>
            </w:pPr>
            <w:r w:rsidRPr="00DE0300">
              <w:rPr>
                <w:b/>
                <w:bCs/>
                <w:color w:val="000000"/>
                <w:sz w:val="22"/>
                <w:szCs w:val="22"/>
                <w:lang w:val="nl-BE" w:eastAsia="nl-BE"/>
              </w:rPr>
              <w:t>Groei</w:t>
            </w:r>
          </w:p>
        </w:tc>
        <w:tc>
          <w:tcPr>
            <w:tcW w:w="1608" w:type="dxa"/>
            <w:tcBorders>
              <w:top w:val="single" w:sz="12" w:space="0" w:color="000000"/>
              <w:bottom w:val="single" w:sz="12" w:space="0" w:color="000000"/>
            </w:tcBorders>
            <w:noWrap/>
          </w:tcPr>
          <w:p w:rsidR="00AE2BF2" w:rsidRPr="00DE0300" w:rsidRDefault="00AE2BF2" w:rsidP="00DE0300">
            <w:pPr>
              <w:jc w:val="center"/>
              <w:rPr>
                <w:b/>
                <w:bCs/>
                <w:color w:val="000000"/>
                <w:sz w:val="22"/>
                <w:szCs w:val="22"/>
                <w:lang w:val="nl-BE" w:eastAsia="nl-BE"/>
              </w:rPr>
            </w:pPr>
            <w:r w:rsidRPr="00DE0300">
              <w:rPr>
                <w:b/>
                <w:bCs/>
                <w:color w:val="000000"/>
                <w:sz w:val="22"/>
                <w:szCs w:val="22"/>
                <w:lang w:val="nl-BE" w:eastAsia="nl-BE"/>
              </w:rPr>
              <w:t>Handelsbalans</w:t>
            </w:r>
          </w:p>
        </w:tc>
      </w:tr>
      <w:tr w:rsidR="00AE2BF2" w:rsidRPr="00E03292" w:rsidTr="00DE0300">
        <w:trPr>
          <w:trHeight w:val="300"/>
        </w:trPr>
        <w:tc>
          <w:tcPr>
            <w:tcW w:w="1122" w:type="dxa"/>
            <w:tcBorders>
              <w:top w:val="single" w:sz="12" w:space="0" w:color="000000"/>
              <w:right w:val="single" w:sz="12" w:space="0" w:color="000000"/>
            </w:tcBorders>
            <w:noWrap/>
          </w:tcPr>
          <w:p w:rsidR="00AE2BF2" w:rsidRPr="00DE0300" w:rsidRDefault="00AE2BF2" w:rsidP="00DE0300">
            <w:pPr>
              <w:jc w:val="center"/>
              <w:rPr>
                <w:b/>
                <w:color w:val="000000"/>
                <w:sz w:val="22"/>
                <w:szCs w:val="22"/>
                <w:lang w:val="nl-BE" w:eastAsia="nl-BE"/>
              </w:rPr>
            </w:pPr>
            <w:r w:rsidRPr="00DE0300">
              <w:rPr>
                <w:b/>
                <w:color w:val="000000"/>
                <w:sz w:val="22"/>
                <w:szCs w:val="22"/>
                <w:lang w:val="nl-BE" w:eastAsia="nl-BE"/>
              </w:rPr>
              <w:t>2006</w:t>
            </w:r>
          </w:p>
        </w:tc>
        <w:tc>
          <w:tcPr>
            <w:tcW w:w="1515" w:type="dxa"/>
            <w:tcBorders>
              <w:left w:val="single" w:sz="12" w:space="0" w:color="000000"/>
            </w:tcBorders>
            <w:noWrap/>
          </w:tcPr>
          <w:p w:rsidR="00AE2BF2" w:rsidRPr="00DE0300" w:rsidRDefault="00AE2BF2" w:rsidP="00DE0300">
            <w:pPr>
              <w:ind w:right="392"/>
              <w:jc w:val="right"/>
              <w:rPr>
                <w:color w:val="000000"/>
                <w:sz w:val="22"/>
                <w:szCs w:val="22"/>
                <w:lang w:val="nl-BE" w:eastAsia="nl-BE"/>
              </w:rPr>
            </w:pPr>
            <w:r w:rsidRPr="00DE0300">
              <w:rPr>
                <w:color w:val="000000"/>
                <w:sz w:val="22"/>
                <w:szCs w:val="22"/>
                <w:lang w:val="nl-BE" w:eastAsia="nl-BE"/>
              </w:rPr>
              <w:t>2,616</w:t>
            </w:r>
          </w:p>
        </w:tc>
        <w:tc>
          <w:tcPr>
            <w:tcW w:w="1514" w:type="dxa"/>
            <w:noWrap/>
          </w:tcPr>
          <w:p w:rsidR="00AE2BF2" w:rsidRPr="00DE0300" w:rsidRDefault="00AE2BF2" w:rsidP="00DE0300">
            <w:pPr>
              <w:ind w:right="392"/>
              <w:jc w:val="right"/>
              <w:rPr>
                <w:color w:val="000000"/>
                <w:sz w:val="22"/>
                <w:szCs w:val="22"/>
                <w:lang w:val="nl-BE" w:eastAsia="nl-BE"/>
              </w:rPr>
            </w:pPr>
          </w:p>
        </w:tc>
        <w:tc>
          <w:tcPr>
            <w:tcW w:w="1515" w:type="dxa"/>
            <w:noWrap/>
          </w:tcPr>
          <w:p w:rsidR="00AE2BF2" w:rsidRPr="00DE0300" w:rsidRDefault="00AE2BF2" w:rsidP="00DE0300">
            <w:pPr>
              <w:ind w:right="392"/>
              <w:jc w:val="right"/>
              <w:rPr>
                <w:color w:val="000000"/>
                <w:sz w:val="22"/>
                <w:szCs w:val="22"/>
                <w:lang w:val="nl-BE" w:eastAsia="nl-BE"/>
              </w:rPr>
            </w:pPr>
            <w:r w:rsidRPr="00DE0300">
              <w:rPr>
                <w:color w:val="000000"/>
                <w:sz w:val="22"/>
                <w:szCs w:val="22"/>
                <w:lang w:val="nl-BE" w:eastAsia="nl-BE"/>
              </w:rPr>
              <w:t>1,827</w:t>
            </w:r>
          </w:p>
        </w:tc>
        <w:tc>
          <w:tcPr>
            <w:tcW w:w="1421" w:type="dxa"/>
            <w:noWrap/>
          </w:tcPr>
          <w:p w:rsidR="00AE2BF2" w:rsidRPr="00DE0300" w:rsidRDefault="00AE2BF2" w:rsidP="00DE0300">
            <w:pPr>
              <w:ind w:right="392"/>
              <w:jc w:val="right"/>
              <w:rPr>
                <w:color w:val="000000"/>
                <w:sz w:val="22"/>
                <w:szCs w:val="22"/>
                <w:lang w:val="nl-BE" w:eastAsia="nl-BE"/>
              </w:rPr>
            </w:pPr>
          </w:p>
        </w:tc>
        <w:tc>
          <w:tcPr>
            <w:tcW w:w="1608" w:type="dxa"/>
            <w:noWrap/>
          </w:tcPr>
          <w:p w:rsidR="00AE2BF2" w:rsidRPr="00DE0300" w:rsidRDefault="00AE2BF2" w:rsidP="00DE0300">
            <w:pPr>
              <w:ind w:right="392"/>
              <w:jc w:val="right"/>
              <w:rPr>
                <w:color w:val="000000"/>
                <w:sz w:val="22"/>
                <w:szCs w:val="22"/>
                <w:lang w:val="nl-BE" w:eastAsia="nl-BE"/>
              </w:rPr>
            </w:pPr>
          </w:p>
        </w:tc>
      </w:tr>
      <w:tr w:rsidR="00AE2BF2" w:rsidRPr="00E03292" w:rsidTr="00DE0300">
        <w:trPr>
          <w:trHeight w:val="300"/>
        </w:trPr>
        <w:tc>
          <w:tcPr>
            <w:tcW w:w="1122" w:type="dxa"/>
            <w:tcBorders>
              <w:right w:val="single" w:sz="12" w:space="0" w:color="000000"/>
            </w:tcBorders>
            <w:noWrap/>
          </w:tcPr>
          <w:p w:rsidR="00AE2BF2" w:rsidRPr="00DE0300" w:rsidRDefault="00AE2BF2" w:rsidP="00DE0300">
            <w:pPr>
              <w:jc w:val="center"/>
              <w:rPr>
                <w:b/>
                <w:color w:val="000000"/>
                <w:sz w:val="22"/>
                <w:szCs w:val="22"/>
                <w:lang w:val="nl-BE" w:eastAsia="nl-BE"/>
              </w:rPr>
            </w:pPr>
            <w:r w:rsidRPr="00DE0300">
              <w:rPr>
                <w:b/>
                <w:color w:val="000000"/>
                <w:sz w:val="22"/>
                <w:szCs w:val="22"/>
                <w:lang w:val="nl-BE" w:eastAsia="nl-BE"/>
              </w:rPr>
              <w:t>2007</w:t>
            </w:r>
          </w:p>
        </w:tc>
        <w:tc>
          <w:tcPr>
            <w:tcW w:w="1515" w:type="dxa"/>
            <w:tcBorders>
              <w:left w:val="single" w:sz="12" w:space="0" w:color="000000"/>
            </w:tcBorders>
            <w:noWrap/>
          </w:tcPr>
          <w:p w:rsidR="00AE2BF2" w:rsidRPr="00DE0300" w:rsidRDefault="00AE2BF2" w:rsidP="00DE0300">
            <w:pPr>
              <w:ind w:right="392"/>
              <w:jc w:val="right"/>
              <w:rPr>
                <w:color w:val="000000"/>
                <w:sz w:val="22"/>
                <w:szCs w:val="22"/>
                <w:lang w:val="nl-BE" w:eastAsia="nl-BE"/>
              </w:rPr>
            </w:pPr>
            <w:r w:rsidRPr="00DE0300">
              <w:rPr>
                <w:color w:val="000000"/>
                <w:sz w:val="22"/>
                <w:szCs w:val="22"/>
                <w:lang w:val="nl-BE" w:eastAsia="nl-BE"/>
              </w:rPr>
              <w:t>2,803</w:t>
            </w:r>
          </w:p>
        </w:tc>
        <w:tc>
          <w:tcPr>
            <w:tcW w:w="1514" w:type="dxa"/>
            <w:noWrap/>
          </w:tcPr>
          <w:p w:rsidR="00AE2BF2" w:rsidRPr="00DE0300" w:rsidRDefault="00AE2BF2" w:rsidP="00DE0300">
            <w:pPr>
              <w:ind w:right="392"/>
              <w:jc w:val="right"/>
              <w:rPr>
                <w:color w:val="000000"/>
                <w:sz w:val="22"/>
                <w:szCs w:val="22"/>
                <w:lang w:val="nl-BE" w:eastAsia="nl-BE"/>
              </w:rPr>
            </w:pPr>
            <w:r w:rsidRPr="00DE0300">
              <w:rPr>
                <w:color w:val="000000"/>
                <w:sz w:val="22"/>
                <w:szCs w:val="22"/>
                <w:lang w:val="nl-BE" w:eastAsia="nl-BE"/>
              </w:rPr>
              <w:t>7,17%</w:t>
            </w:r>
          </w:p>
        </w:tc>
        <w:tc>
          <w:tcPr>
            <w:tcW w:w="1515" w:type="dxa"/>
            <w:noWrap/>
          </w:tcPr>
          <w:p w:rsidR="00AE2BF2" w:rsidRPr="00DE0300" w:rsidRDefault="00AE2BF2" w:rsidP="00DE0300">
            <w:pPr>
              <w:ind w:right="392"/>
              <w:jc w:val="right"/>
              <w:rPr>
                <w:color w:val="000000"/>
                <w:sz w:val="22"/>
                <w:szCs w:val="22"/>
                <w:lang w:val="nl-BE" w:eastAsia="nl-BE"/>
              </w:rPr>
            </w:pPr>
            <w:r w:rsidRPr="00DE0300">
              <w:rPr>
                <w:color w:val="000000"/>
                <w:sz w:val="22"/>
                <w:szCs w:val="22"/>
                <w:lang w:val="nl-BE" w:eastAsia="nl-BE"/>
              </w:rPr>
              <w:t>2,243</w:t>
            </w:r>
          </w:p>
        </w:tc>
        <w:tc>
          <w:tcPr>
            <w:tcW w:w="1421" w:type="dxa"/>
            <w:noWrap/>
          </w:tcPr>
          <w:p w:rsidR="00AE2BF2" w:rsidRPr="00DE0300" w:rsidRDefault="00AE2BF2" w:rsidP="00DE0300">
            <w:pPr>
              <w:ind w:right="392"/>
              <w:jc w:val="right"/>
              <w:rPr>
                <w:color w:val="000000"/>
                <w:sz w:val="22"/>
                <w:szCs w:val="22"/>
                <w:lang w:val="nl-BE" w:eastAsia="nl-BE"/>
              </w:rPr>
            </w:pPr>
            <w:r w:rsidRPr="00DE0300">
              <w:rPr>
                <w:color w:val="000000"/>
                <w:sz w:val="22"/>
                <w:szCs w:val="22"/>
                <w:lang w:val="nl-BE" w:eastAsia="nl-BE"/>
              </w:rPr>
              <w:t>22,76%</w:t>
            </w:r>
          </w:p>
        </w:tc>
        <w:tc>
          <w:tcPr>
            <w:tcW w:w="1608" w:type="dxa"/>
            <w:noWrap/>
          </w:tcPr>
          <w:p w:rsidR="00AE2BF2" w:rsidRPr="00DE0300" w:rsidRDefault="00AE2BF2" w:rsidP="00DE0300">
            <w:pPr>
              <w:ind w:right="392"/>
              <w:jc w:val="right"/>
              <w:rPr>
                <w:color w:val="000000"/>
                <w:sz w:val="22"/>
                <w:szCs w:val="22"/>
                <w:lang w:val="nl-BE" w:eastAsia="nl-BE"/>
              </w:rPr>
            </w:pPr>
            <w:r w:rsidRPr="00DE0300">
              <w:rPr>
                <w:color w:val="000000"/>
                <w:sz w:val="22"/>
                <w:szCs w:val="22"/>
                <w:lang w:val="nl-BE" w:eastAsia="nl-BE"/>
              </w:rPr>
              <w:t>0,560</w:t>
            </w:r>
          </w:p>
        </w:tc>
      </w:tr>
      <w:tr w:rsidR="00AE2BF2" w:rsidRPr="00E03292" w:rsidTr="00DE0300">
        <w:trPr>
          <w:trHeight w:val="300"/>
        </w:trPr>
        <w:tc>
          <w:tcPr>
            <w:tcW w:w="1122" w:type="dxa"/>
            <w:tcBorders>
              <w:right w:val="single" w:sz="12" w:space="0" w:color="000000"/>
            </w:tcBorders>
            <w:noWrap/>
          </w:tcPr>
          <w:p w:rsidR="00AE2BF2" w:rsidRPr="00DE0300" w:rsidRDefault="00AE2BF2" w:rsidP="00DE0300">
            <w:pPr>
              <w:jc w:val="center"/>
              <w:rPr>
                <w:b/>
                <w:color w:val="000000"/>
                <w:sz w:val="22"/>
                <w:szCs w:val="22"/>
                <w:lang w:val="nl-BE" w:eastAsia="nl-BE"/>
              </w:rPr>
            </w:pPr>
            <w:r w:rsidRPr="00DE0300">
              <w:rPr>
                <w:b/>
                <w:color w:val="000000"/>
                <w:sz w:val="22"/>
                <w:szCs w:val="22"/>
                <w:lang w:val="nl-BE" w:eastAsia="nl-BE"/>
              </w:rPr>
              <w:t>2008</w:t>
            </w:r>
          </w:p>
        </w:tc>
        <w:tc>
          <w:tcPr>
            <w:tcW w:w="1515" w:type="dxa"/>
            <w:tcBorders>
              <w:left w:val="single" w:sz="12" w:space="0" w:color="000000"/>
            </w:tcBorders>
            <w:noWrap/>
          </w:tcPr>
          <w:p w:rsidR="00AE2BF2" w:rsidRPr="00DE0300" w:rsidRDefault="00AE2BF2" w:rsidP="00DE0300">
            <w:pPr>
              <w:ind w:right="392"/>
              <w:jc w:val="right"/>
              <w:rPr>
                <w:color w:val="000000"/>
                <w:sz w:val="22"/>
                <w:szCs w:val="22"/>
                <w:lang w:val="nl-BE" w:eastAsia="nl-BE"/>
              </w:rPr>
            </w:pPr>
            <w:r w:rsidRPr="00DE0300">
              <w:rPr>
                <w:color w:val="000000"/>
                <w:sz w:val="22"/>
                <w:szCs w:val="22"/>
                <w:lang w:val="nl-BE" w:eastAsia="nl-BE"/>
              </w:rPr>
              <w:t>3,008</w:t>
            </w:r>
          </w:p>
        </w:tc>
        <w:tc>
          <w:tcPr>
            <w:tcW w:w="1514" w:type="dxa"/>
            <w:noWrap/>
          </w:tcPr>
          <w:p w:rsidR="00AE2BF2" w:rsidRPr="00DE0300" w:rsidRDefault="00AE2BF2" w:rsidP="00DE0300">
            <w:pPr>
              <w:ind w:right="392"/>
              <w:jc w:val="right"/>
              <w:rPr>
                <w:color w:val="000000"/>
                <w:sz w:val="22"/>
                <w:szCs w:val="22"/>
                <w:lang w:val="nl-BE" w:eastAsia="nl-BE"/>
              </w:rPr>
            </w:pPr>
            <w:r w:rsidRPr="00DE0300">
              <w:rPr>
                <w:color w:val="000000"/>
                <w:sz w:val="22"/>
                <w:szCs w:val="22"/>
                <w:lang w:val="nl-BE" w:eastAsia="nl-BE"/>
              </w:rPr>
              <w:t>7,31%</w:t>
            </w:r>
          </w:p>
        </w:tc>
        <w:tc>
          <w:tcPr>
            <w:tcW w:w="1515" w:type="dxa"/>
            <w:noWrap/>
          </w:tcPr>
          <w:p w:rsidR="00AE2BF2" w:rsidRPr="00DE0300" w:rsidRDefault="00AE2BF2" w:rsidP="00DE0300">
            <w:pPr>
              <w:ind w:right="392"/>
              <w:jc w:val="right"/>
              <w:rPr>
                <w:color w:val="000000"/>
                <w:sz w:val="22"/>
                <w:szCs w:val="22"/>
                <w:lang w:val="nl-BE" w:eastAsia="nl-BE"/>
              </w:rPr>
            </w:pPr>
            <w:r w:rsidRPr="00DE0300">
              <w:rPr>
                <w:color w:val="000000"/>
                <w:sz w:val="22"/>
                <w:szCs w:val="22"/>
                <w:lang w:val="nl-BE" w:eastAsia="nl-BE"/>
              </w:rPr>
              <w:t>2,440</w:t>
            </w:r>
          </w:p>
        </w:tc>
        <w:tc>
          <w:tcPr>
            <w:tcW w:w="1421" w:type="dxa"/>
            <w:noWrap/>
          </w:tcPr>
          <w:p w:rsidR="00AE2BF2" w:rsidRPr="00DE0300" w:rsidRDefault="00AE2BF2" w:rsidP="00DE0300">
            <w:pPr>
              <w:ind w:right="392"/>
              <w:jc w:val="right"/>
              <w:rPr>
                <w:color w:val="000000"/>
                <w:sz w:val="22"/>
                <w:szCs w:val="22"/>
                <w:lang w:val="nl-BE" w:eastAsia="nl-BE"/>
              </w:rPr>
            </w:pPr>
            <w:r w:rsidRPr="00DE0300">
              <w:rPr>
                <w:color w:val="000000"/>
                <w:sz w:val="22"/>
                <w:szCs w:val="22"/>
                <w:lang w:val="nl-BE" w:eastAsia="nl-BE"/>
              </w:rPr>
              <w:t>8,76%</w:t>
            </w:r>
          </w:p>
        </w:tc>
        <w:tc>
          <w:tcPr>
            <w:tcW w:w="1608" w:type="dxa"/>
            <w:noWrap/>
          </w:tcPr>
          <w:p w:rsidR="00AE2BF2" w:rsidRPr="00DE0300" w:rsidRDefault="00AE2BF2" w:rsidP="00DE0300">
            <w:pPr>
              <w:ind w:right="392"/>
              <w:jc w:val="right"/>
              <w:rPr>
                <w:color w:val="000000"/>
                <w:sz w:val="22"/>
                <w:szCs w:val="22"/>
                <w:lang w:val="nl-BE" w:eastAsia="nl-BE"/>
              </w:rPr>
            </w:pPr>
            <w:r w:rsidRPr="00DE0300">
              <w:rPr>
                <w:color w:val="000000"/>
                <w:sz w:val="22"/>
                <w:szCs w:val="22"/>
                <w:lang w:val="nl-BE" w:eastAsia="nl-BE"/>
              </w:rPr>
              <w:t>0,568</w:t>
            </w:r>
          </w:p>
        </w:tc>
      </w:tr>
      <w:tr w:rsidR="00AE2BF2" w:rsidRPr="00E03292" w:rsidTr="00DE0300">
        <w:trPr>
          <w:trHeight w:val="300"/>
        </w:trPr>
        <w:tc>
          <w:tcPr>
            <w:tcW w:w="1122" w:type="dxa"/>
            <w:tcBorders>
              <w:right w:val="single" w:sz="12" w:space="0" w:color="000000"/>
            </w:tcBorders>
            <w:noWrap/>
          </w:tcPr>
          <w:p w:rsidR="00AE2BF2" w:rsidRPr="00DE0300" w:rsidRDefault="00AE2BF2" w:rsidP="00DE0300">
            <w:pPr>
              <w:jc w:val="center"/>
              <w:rPr>
                <w:b/>
                <w:color w:val="000000"/>
                <w:sz w:val="22"/>
                <w:szCs w:val="22"/>
                <w:lang w:val="nl-BE" w:eastAsia="nl-BE"/>
              </w:rPr>
            </w:pPr>
            <w:r w:rsidRPr="00DE0300">
              <w:rPr>
                <w:b/>
                <w:color w:val="000000"/>
                <w:sz w:val="22"/>
                <w:szCs w:val="22"/>
                <w:lang w:val="nl-BE" w:eastAsia="nl-BE"/>
              </w:rPr>
              <w:t>2009</w:t>
            </w:r>
          </w:p>
        </w:tc>
        <w:tc>
          <w:tcPr>
            <w:tcW w:w="1515" w:type="dxa"/>
            <w:tcBorders>
              <w:left w:val="single" w:sz="12" w:space="0" w:color="000000"/>
            </w:tcBorders>
            <w:noWrap/>
          </w:tcPr>
          <w:p w:rsidR="00AE2BF2" w:rsidRPr="00DE0300" w:rsidRDefault="00AE2BF2" w:rsidP="00DE0300">
            <w:pPr>
              <w:ind w:right="392"/>
              <w:jc w:val="right"/>
              <w:rPr>
                <w:color w:val="000000"/>
                <w:sz w:val="22"/>
                <w:szCs w:val="22"/>
                <w:lang w:val="nl-BE" w:eastAsia="nl-BE"/>
              </w:rPr>
            </w:pPr>
            <w:r w:rsidRPr="00DE0300">
              <w:rPr>
                <w:color w:val="000000"/>
                <w:sz w:val="22"/>
                <w:szCs w:val="22"/>
                <w:lang w:val="nl-BE" w:eastAsia="nl-BE"/>
              </w:rPr>
              <w:t>2,679</w:t>
            </w:r>
          </w:p>
        </w:tc>
        <w:tc>
          <w:tcPr>
            <w:tcW w:w="1514" w:type="dxa"/>
            <w:noWrap/>
          </w:tcPr>
          <w:p w:rsidR="00AE2BF2" w:rsidRPr="00DE0300" w:rsidRDefault="00AE2BF2" w:rsidP="00DE0300">
            <w:pPr>
              <w:ind w:right="392"/>
              <w:jc w:val="right"/>
              <w:rPr>
                <w:color w:val="000000"/>
                <w:sz w:val="22"/>
                <w:szCs w:val="22"/>
                <w:lang w:val="nl-BE" w:eastAsia="nl-BE"/>
              </w:rPr>
            </w:pPr>
            <w:r w:rsidRPr="00DE0300">
              <w:rPr>
                <w:color w:val="000000"/>
                <w:sz w:val="22"/>
                <w:szCs w:val="22"/>
                <w:lang w:val="nl-BE" w:eastAsia="nl-BE"/>
              </w:rPr>
              <w:t>-10,93%</w:t>
            </w:r>
          </w:p>
        </w:tc>
        <w:tc>
          <w:tcPr>
            <w:tcW w:w="1515" w:type="dxa"/>
            <w:noWrap/>
          </w:tcPr>
          <w:p w:rsidR="00AE2BF2" w:rsidRPr="00DE0300" w:rsidRDefault="00AE2BF2" w:rsidP="00DE0300">
            <w:pPr>
              <w:ind w:right="392"/>
              <w:jc w:val="right"/>
              <w:rPr>
                <w:color w:val="000000"/>
                <w:sz w:val="22"/>
                <w:szCs w:val="22"/>
                <w:lang w:val="nl-BE" w:eastAsia="nl-BE"/>
              </w:rPr>
            </w:pPr>
            <w:r w:rsidRPr="00DE0300">
              <w:rPr>
                <w:color w:val="000000"/>
                <w:sz w:val="22"/>
                <w:szCs w:val="22"/>
                <w:lang w:val="nl-BE" w:eastAsia="nl-BE"/>
              </w:rPr>
              <w:t>1,918</w:t>
            </w:r>
          </w:p>
        </w:tc>
        <w:tc>
          <w:tcPr>
            <w:tcW w:w="1421" w:type="dxa"/>
            <w:noWrap/>
          </w:tcPr>
          <w:p w:rsidR="00AE2BF2" w:rsidRPr="00DE0300" w:rsidRDefault="00AE2BF2" w:rsidP="00DE0300">
            <w:pPr>
              <w:ind w:right="392"/>
              <w:jc w:val="right"/>
              <w:rPr>
                <w:color w:val="000000"/>
                <w:sz w:val="22"/>
                <w:szCs w:val="22"/>
                <w:lang w:val="nl-BE" w:eastAsia="nl-BE"/>
              </w:rPr>
            </w:pPr>
            <w:r w:rsidRPr="00DE0300">
              <w:rPr>
                <w:color w:val="000000"/>
                <w:sz w:val="22"/>
                <w:szCs w:val="22"/>
                <w:lang w:val="nl-BE" w:eastAsia="nl-BE"/>
              </w:rPr>
              <w:t>-21,38%</w:t>
            </w:r>
          </w:p>
        </w:tc>
        <w:tc>
          <w:tcPr>
            <w:tcW w:w="1608" w:type="dxa"/>
            <w:noWrap/>
          </w:tcPr>
          <w:p w:rsidR="00AE2BF2" w:rsidRPr="00DE0300" w:rsidRDefault="00AE2BF2" w:rsidP="00DE0300">
            <w:pPr>
              <w:ind w:right="392"/>
              <w:jc w:val="right"/>
              <w:rPr>
                <w:color w:val="000000"/>
                <w:sz w:val="22"/>
                <w:szCs w:val="22"/>
                <w:lang w:val="nl-BE" w:eastAsia="nl-BE"/>
              </w:rPr>
            </w:pPr>
            <w:r w:rsidRPr="00DE0300">
              <w:rPr>
                <w:color w:val="000000"/>
                <w:sz w:val="22"/>
                <w:szCs w:val="22"/>
                <w:lang w:val="nl-BE" w:eastAsia="nl-BE"/>
              </w:rPr>
              <w:t>0,761</w:t>
            </w:r>
          </w:p>
        </w:tc>
      </w:tr>
      <w:tr w:rsidR="00AE2BF2" w:rsidRPr="00E03292" w:rsidTr="00DE0300">
        <w:trPr>
          <w:trHeight w:val="315"/>
        </w:trPr>
        <w:tc>
          <w:tcPr>
            <w:tcW w:w="1122" w:type="dxa"/>
            <w:tcBorders>
              <w:bottom w:val="single" w:sz="12" w:space="0" w:color="000000"/>
              <w:right w:val="single" w:sz="12" w:space="0" w:color="000000"/>
            </w:tcBorders>
            <w:noWrap/>
          </w:tcPr>
          <w:p w:rsidR="00AE2BF2" w:rsidRPr="00DE0300" w:rsidRDefault="00AE2BF2" w:rsidP="00DE0300">
            <w:pPr>
              <w:jc w:val="center"/>
              <w:rPr>
                <w:b/>
                <w:color w:val="000000"/>
                <w:sz w:val="22"/>
                <w:szCs w:val="22"/>
                <w:lang w:val="nl-BE" w:eastAsia="nl-BE"/>
              </w:rPr>
            </w:pPr>
            <w:r w:rsidRPr="00DE0300">
              <w:rPr>
                <w:b/>
                <w:color w:val="000000"/>
                <w:sz w:val="22"/>
                <w:szCs w:val="22"/>
                <w:lang w:val="nl-BE" w:eastAsia="nl-BE"/>
              </w:rPr>
              <w:t>2010</w:t>
            </w:r>
          </w:p>
        </w:tc>
        <w:tc>
          <w:tcPr>
            <w:tcW w:w="1515" w:type="dxa"/>
            <w:tcBorders>
              <w:left w:val="single" w:sz="12" w:space="0" w:color="000000"/>
              <w:bottom w:val="single" w:sz="12" w:space="0" w:color="000000"/>
            </w:tcBorders>
            <w:noWrap/>
          </w:tcPr>
          <w:p w:rsidR="00AE2BF2" w:rsidRPr="00DE0300" w:rsidRDefault="00AE2BF2" w:rsidP="00DE0300">
            <w:pPr>
              <w:ind w:right="392"/>
              <w:jc w:val="right"/>
              <w:rPr>
                <w:color w:val="000000"/>
                <w:sz w:val="22"/>
                <w:szCs w:val="22"/>
                <w:lang w:val="nl-BE" w:eastAsia="nl-BE"/>
              </w:rPr>
            </w:pPr>
            <w:r w:rsidRPr="00DE0300">
              <w:rPr>
                <w:color w:val="000000"/>
                <w:sz w:val="22"/>
                <w:szCs w:val="22"/>
                <w:lang w:val="nl-BE" w:eastAsia="nl-BE"/>
              </w:rPr>
              <w:t>3,689</w:t>
            </w:r>
          </w:p>
        </w:tc>
        <w:tc>
          <w:tcPr>
            <w:tcW w:w="1514" w:type="dxa"/>
            <w:tcBorders>
              <w:bottom w:val="single" w:sz="12" w:space="0" w:color="000000"/>
            </w:tcBorders>
            <w:noWrap/>
          </w:tcPr>
          <w:p w:rsidR="00AE2BF2" w:rsidRPr="00DE0300" w:rsidRDefault="00AE2BF2" w:rsidP="00DE0300">
            <w:pPr>
              <w:ind w:right="392"/>
              <w:jc w:val="right"/>
              <w:rPr>
                <w:color w:val="000000"/>
                <w:sz w:val="22"/>
                <w:szCs w:val="22"/>
                <w:lang w:val="nl-BE" w:eastAsia="nl-BE"/>
              </w:rPr>
            </w:pPr>
            <w:r w:rsidRPr="00DE0300">
              <w:rPr>
                <w:color w:val="000000"/>
                <w:sz w:val="22"/>
                <w:szCs w:val="22"/>
                <w:lang w:val="nl-BE" w:eastAsia="nl-BE"/>
              </w:rPr>
              <w:t>37,69%</w:t>
            </w:r>
          </w:p>
        </w:tc>
        <w:tc>
          <w:tcPr>
            <w:tcW w:w="1515" w:type="dxa"/>
            <w:tcBorders>
              <w:bottom w:val="single" w:sz="12" w:space="0" w:color="000000"/>
            </w:tcBorders>
            <w:noWrap/>
          </w:tcPr>
          <w:p w:rsidR="00AE2BF2" w:rsidRPr="00DE0300" w:rsidRDefault="00AE2BF2" w:rsidP="00DE0300">
            <w:pPr>
              <w:ind w:right="392"/>
              <w:jc w:val="right"/>
              <w:rPr>
                <w:color w:val="000000"/>
                <w:sz w:val="22"/>
                <w:szCs w:val="22"/>
                <w:lang w:val="nl-BE" w:eastAsia="nl-BE"/>
              </w:rPr>
            </w:pPr>
            <w:r w:rsidRPr="00DE0300">
              <w:rPr>
                <w:color w:val="000000"/>
                <w:sz w:val="22"/>
                <w:szCs w:val="22"/>
                <w:lang w:val="nl-BE" w:eastAsia="nl-BE"/>
              </w:rPr>
              <w:t>2,306</w:t>
            </w:r>
          </w:p>
        </w:tc>
        <w:tc>
          <w:tcPr>
            <w:tcW w:w="1421" w:type="dxa"/>
            <w:tcBorders>
              <w:bottom w:val="single" w:sz="12" w:space="0" w:color="000000"/>
            </w:tcBorders>
            <w:noWrap/>
          </w:tcPr>
          <w:p w:rsidR="00AE2BF2" w:rsidRPr="00DE0300" w:rsidRDefault="00AE2BF2" w:rsidP="00DE0300">
            <w:pPr>
              <w:ind w:right="392"/>
              <w:jc w:val="right"/>
              <w:rPr>
                <w:color w:val="000000"/>
                <w:sz w:val="22"/>
                <w:szCs w:val="22"/>
                <w:lang w:val="nl-BE" w:eastAsia="nl-BE"/>
              </w:rPr>
            </w:pPr>
            <w:r w:rsidRPr="00DE0300">
              <w:rPr>
                <w:color w:val="000000"/>
                <w:sz w:val="22"/>
                <w:szCs w:val="22"/>
                <w:lang w:val="nl-BE" w:eastAsia="nl-BE"/>
              </w:rPr>
              <w:t>20,22%</w:t>
            </w:r>
          </w:p>
        </w:tc>
        <w:tc>
          <w:tcPr>
            <w:tcW w:w="1608" w:type="dxa"/>
            <w:tcBorders>
              <w:bottom w:val="single" w:sz="12" w:space="0" w:color="000000"/>
            </w:tcBorders>
            <w:noWrap/>
          </w:tcPr>
          <w:p w:rsidR="00AE2BF2" w:rsidRPr="00DE0300" w:rsidRDefault="00AE2BF2" w:rsidP="00DE0300">
            <w:pPr>
              <w:ind w:right="392"/>
              <w:jc w:val="right"/>
              <w:rPr>
                <w:color w:val="000000"/>
                <w:sz w:val="22"/>
                <w:szCs w:val="22"/>
                <w:lang w:val="nl-BE" w:eastAsia="nl-BE"/>
              </w:rPr>
            </w:pPr>
            <w:r w:rsidRPr="00DE0300">
              <w:rPr>
                <w:color w:val="000000"/>
                <w:sz w:val="22"/>
                <w:szCs w:val="22"/>
                <w:lang w:val="nl-BE" w:eastAsia="nl-BE"/>
              </w:rPr>
              <w:t>1,383</w:t>
            </w:r>
          </w:p>
        </w:tc>
      </w:tr>
    </w:tbl>
    <w:p w:rsidR="00AE2BF2" w:rsidRDefault="00AE2BF2" w:rsidP="00AD6885">
      <w:pPr>
        <w:pStyle w:val="NormalWeb"/>
        <w:spacing w:before="0" w:beforeAutospacing="0" w:after="0" w:afterAutospacing="0"/>
        <w:jc w:val="both"/>
        <w:rPr>
          <w:sz w:val="22"/>
          <w:szCs w:val="22"/>
        </w:rPr>
      </w:pPr>
    </w:p>
    <w:p w:rsidR="00AE2BF2" w:rsidRDefault="00AE2BF2" w:rsidP="00AD6885">
      <w:pPr>
        <w:pStyle w:val="StandaardSV"/>
        <w:rPr>
          <w:szCs w:val="22"/>
        </w:rPr>
      </w:pPr>
    </w:p>
    <w:p w:rsidR="00AE2BF2" w:rsidRDefault="00AE2BF2" w:rsidP="00AD6885">
      <w:pPr>
        <w:pStyle w:val="StandaardSV"/>
        <w:ind w:left="284"/>
        <w:rPr>
          <w:szCs w:val="22"/>
        </w:rPr>
      </w:pPr>
      <w:r>
        <w:rPr>
          <w:szCs w:val="22"/>
        </w:rPr>
        <w:t>De tweede tabel geeft een overzicht van de belangrijkste in- en uitvoerproducten in de handel tussen Vlaanderen en Turkije in 2010.</w:t>
      </w:r>
    </w:p>
    <w:p w:rsidR="00AE2BF2" w:rsidRDefault="00AE2BF2" w:rsidP="00AD6885">
      <w:pPr>
        <w:pStyle w:val="StandaardSV"/>
        <w:rPr>
          <w:szCs w:val="22"/>
        </w:rPr>
      </w:pPr>
    </w:p>
    <w:tbl>
      <w:tblPr>
        <w:tblW w:w="0" w:type="auto"/>
        <w:tblInd w:w="39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tblPr>
      <w:tblGrid>
        <w:gridCol w:w="4410"/>
        <w:gridCol w:w="4410"/>
      </w:tblGrid>
      <w:tr w:rsidR="00AE2BF2" w:rsidRPr="00A96D91" w:rsidTr="00DE0300">
        <w:tc>
          <w:tcPr>
            <w:tcW w:w="4410" w:type="dxa"/>
            <w:tcBorders>
              <w:top w:val="nil"/>
              <w:left w:val="nil"/>
              <w:bottom w:val="single" w:sz="12" w:space="0" w:color="000000"/>
            </w:tcBorders>
          </w:tcPr>
          <w:p w:rsidR="00AE2BF2" w:rsidRPr="00DE0300" w:rsidRDefault="00AE2BF2" w:rsidP="002331A9">
            <w:pPr>
              <w:pStyle w:val="StandaardSV"/>
              <w:rPr>
                <w:b/>
                <w:bCs/>
                <w:szCs w:val="22"/>
              </w:rPr>
            </w:pPr>
            <w:r w:rsidRPr="00DE0300">
              <w:rPr>
                <w:b/>
                <w:bCs/>
                <w:szCs w:val="22"/>
              </w:rPr>
              <w:t>Belangrijkste exportproducten naar Turkije</w:t>
            </w:r>
          </w:p>
        </w:tc>
        <w:tc>
          <w:tcPr>
            <w:tcW w:w="4410" w:type="dxa"/>
            <w:tcBorders>
              <w:top w:val="nil"/>
              <w:bottom w:val="single" w:sz="12" w:space="0" w:color="000000"/>
              <w:right w:val="nil"/>
            </w:tcBorders>
          </w:tcPr>
          <w:p w:rsidR="00AE2BF2" w:rsidRPr="00DE0300" w:rsidRDefault="00AE2BF2" w:rsidP="002331A9">
            <w:pPr>
              <w:pStyle w:val="StandaardSV"/>
              <w:rPr>
                <w:b/>
                <w:bCs/>
                <w:szCs w:val="22"/>
              </w:rPr>
            </w:pPr>
            <w:r w:rsidRPr="00DE0300">
              <w:rPr>
                <w:b/>
                <w:bCs/>
                <w:szCs w:val="22"/>
              </w:rPr>
              <w:t>Belangrijkste importproducten uit Turkije</w:t>
            </w:r>
          </w:p>
        </w:tc>
      </w:tr>
      <w:tr w:rsidR="00AE2BF2" w:rsidRPr="00A96D91" w:rsidTr="00DE0300">
        <w:tc>
          <w:tcPr>
            <w:tcW w:w="4410" w:type="dxa"/>
            <w:tcBorders>
              <w:top w:val="single" w:sz="12" w:space="0" w:color="000000"/>
              <w:left w:val="nil"/>
            </w:tcBorders>
          </w:tcPr>
          <w:p w:rsidR="00AE2BF2" w:rsidRPr="00DE0300" w:rsidRDefault="00AE2BF2" w:rsidP="002331A9">
            <w:pPr>
              <w:pStyle w:val="StandaardSV"/>
              <w:rPr>
                <w:b/>
                <w:bCs/>
                <w:szCs w:val="22"/>
              </w:rPr>
            </w:pPr>
            <w:r w:rsidRPr="00DE0300">
              <w:rPr>
                <w:bCs/>
                <w:szCs w:val="22"/>
              </w:rPr>
              <w:t>kunststoffen en toepassingen (16,98%)</w:t>
            </w:r>
          </w:p>
        </w:tc>
        <w:tc>
          <w:tcPr>
            <w:tcW w:w="4410" w:type="dxa"/>
            <w:tcBorders>
              <w:top w:val="single" w:sz="12" w:space="0" w:color="000000"/>
              <w:right w:val="nil"/>
            </w:tcBorders>
          </w:tcPr>
          <w:p w:rsidR="00AE2BF2" w:rsidRPr="00DE0300" w:rsidRDefault="00AE2BF2" w:rsidP="002331A9">
            <w:pPr>
              <w:pStyle w:val="StandaardSV"/>
              <w:rPr>
                <w:szCs w:val="22"/>
              </w:rPr>
            </w:pPr>
            <w:r w:rsidRPr="00DE0300">
              <w:rPr>
                <w:szCs w:val="22"/>
              </w:rPr>
              <w:t>auto’s, tractoren en rijwielen (40,49%)</w:t>
            </w:r>
          </w:p>
        </w:tc>
      </w:tr>
      <w:tr w:rsidR="00AE2BF2" w:rsidRPr="00A96D91" w:rsidTr="00DE0300">
        <w:tc>
          <w:tcPr>
            <w:tcW w:w="4410" w:type="dxa"/>
            <w:tcBorders>
              <w:left w:val="nil"/>
            </w:tcBorders>
          </w:tcPr>
          <w:p w:rsidR="00AE2BF2" w:rsidRPr="00DE0300" w:rsidRDefault="00AE2BF2" w:rsidP="002331A9">
            <w:pPr>
              <w:pStyle w:val="StandaardSV"/>
              <w:rPr>
                <w:b/>
                <w:bCs/>
                <w:szCs w:val="22"/>
              </w:rPr>
            </w:pPr>
            <w:r w:rsidRPr="00DE0300">
              <w:rPr>
                <w:bCs/>
                <w:szCs w:val="22"/>
              </w:rPr>
              <w:t>gietijzer, ijzer en staal (16,25%)</w:t>
            </w:r>
          </w:p>
        </w:tc>
        <w:tc>
          <w:tcPr>
            <w:tcW w:w="4410" w:type="dxa"/>
            <w:tcBorders>
              <w:right w:val="nil"/>
            </w:tcBorders>
          </w:tcPr>
          <w:p w:rsidR="00AE2BF2" w:rsidRPr="00DE0300" w:rsidRDefault="00AE2BF2" w:rsidP="002331A9">
            <w:pPr>
              <w:pStyle w:val="StandaardSV"/>
              <w:rPr>
                <w:szCs w:val="22"/>
              </w:rPr>
            </w:pPr>
            <w:r w:rsidRPr="00DE0300">
              <w:rPr>
                <w:szCs w:val="22"/>
              </w:rPr>
              <w:t>kleding (8,05%)</w:t>
            </w:r>
          </w:p>
        </w:tc>
      </w:tr>
      <w:tr w:rsidR="00AE2BF2" w:rsidRPr="00A96D91" w:rsidTr="00DE0300">
        <w:tc>
          <w:tcPr>
            <w:tcW w:w="4410" w:type="dxa"/>
            <w:tcBorders>
              <w:left w:val="nil"/>
            </w:tcBorders>
          </w:tcPr>
          <w:p w:rsidR="00AE2BF2" w:rsidRPr="00DE0300" w:rsidRDefault="00AE2BF2" w:rsidP="002331A9">
            <w:pPr>
              <w:pStyle w:val="StandaardSV"/>
              <w:rPr>
                <w:b/>
                <w:bCs/>
                <w:szCs w:val="22"/>
              </w:rPr>
            </w:pPr>
            <w:r w:rsidRPr="00DE0300">
              <w:rPr>
                <w:bCs/>
                <w:szCs w:val="22"/>
              </w:rPr>
              <w:t>machines, mechanische werktuigen (9,21%)</w:t>
            </w:r>
          </w:p>
        </w:tc>
        <w:tc>
          <w:tcPr>
            <w:tcW w:w="4410" w:type="dxa"/>
            <w:tcBorders>
              <w:right w:val="nil"/>
            </w:tcBorders>
          </w:tcPr>
          <w:p w:rsidR="00AE2BF2" w:rsidRPr="00DE0300" w:rsidRDefault="00AE2BF2" w:rsidP="002331A9">
            <w:pPr>
              <w:pStyle w:val="StandaardSV"/>
              <w:rPr>
                <w:szCs w:val="22"/>
              </w:rPr>
            </w:pPr>
            <w:r w:rsidRPr="00DE0300">
              <w:rPr>
                <w:szCs w:val="22"/>
              </w:rPr>
              <w:t>elektrische machines (7,69%)</w:t>
            </w:r>
          </w:p>
        </w:tc>
      </w:tr>
      <w:tr w:rsidR="00AE2BF2" w:rsidRPr="00A96D91" w:rsidTr="00DE0300">
        <w:tc>
          <w:tcPr>
            <w:tcW w:w="4410" w:type="dxa"/>
            <w:tcBorders>
              <w:left w:val="nil"/>
            </w:tcBorders>
          </w:tcPr>
          <w:p w:rsidR="00AE2BF2" w:rsidRPr="00DE0300" w:rsidRDefault="00AE2BF2" w:rsidP="002331A9">
            <w:pPr>
              <w:pStyle w:val="StandaardSV"/>
              <w:rPr>
                <w:b/>
                <w:bCs/>
                <w:szCs w:val="22"/>
              </w:rPr>
            </w:pPr>
            <w:r w:rsidRPr="00DE0300">
              <w:rPr>
                <w:bCs/>
                <w:szCs w:val="22"/>
              </w:rPr>
              <w:t>farmaceutica (9,14%)</w:t>
            </w:r>
          </w:p>
        </w:tc>
        <w:tc>
          <w:tcPr>
            <w:tcW w:w="4410" w:type="dxa"/>
            <w:tcBorders>
              <w:right w:val="nil"/>
            </w:tcBorders>
          </w:tcPr>
          <w:p w:rsidR="00AE2BF2" w:rsidRPr="00DE0300" w:rsidRDefault="00AE2BF2" w:rsidP="002331A9">
            <w:pPr>
              <w:pStyle w:val="StandaardSV"/>
              <w:rPr>
                <w:szCs w:val="22"/>
              </w:rPr>
            </w:pPr>
            <w:r w:rsidRPr="00DE0300">
              <w:rPr>
                <w:szCs w:val="22"/>
              </w:rPr>
              <w:t>machines, mechanische werktuigen (5,16%)</w:t>
            </w:r>
          </w:p>
        </w:tc>
      </w:tr>
      <w:tr w:rsidR="00AE2BF2" w:rsidRPr="00A96D91" w:rsidTr="00DE0300">
        <w:tc>
          <w:tcPr>
            <w:tcW w:w="4410" w:type="dxa"/>
            <w:tcBorders>
              <w:left w:val="nil"/>
              <w:bottom w:val="nil"/>
            </w:tcBorders>
          </w:tcPr>
          <w:p w:rsidR="00AE2BF2" w:rsidRPr="00DE0300" w:rsidRDefault="00AE2BF2" w:rsidP="002331A9">
            <w:pPr>
              <w:pStyle w:val="StandaardSV"/>
              <w:rPr>
                <w:b/>
                <w:bCs/>
                <w:szCs w:val="22"/>
              </w:rPr>
            </w:pPr>
            <w:r w:rsidRPr="00DE0300">
              <w:rPr>
                <w:bCs/>
                <w:szCs w:val="22"/>
              </w:rPr>
              <w:t>minerale brandstoffen (8,48%)</w:t>
            </w:r>
          </w:p>
        </w:tc>
        <w:tc>
          <w:tcPr>
            <w:tcW w:w="4410" w:type="dxa"/>
            <w:tcBorders>
              <w:bottom w:val="nil"/>
              <w:right w:val="nil"/>
            </w:tcBorders>
          </w:tcPr>
          <w:p w:rsidR="00AE2BF2" w:rsidRPr="00DE0300" w:rsidRDefault="00AE2BF2" w:rsidP="002331A9">
            <w:pPr>
              <w:pStyle w:val="StandaardSV"/>
              <w:rPr>
                <w:szCs w:val="22"/>
              </w:rPr>
            </w:pPr>
            <w:r w:rsidRPr="00DE0300">
              <w:rPr>
                <w:szCs w:val="22"/>
              </w:rPr>
              <w:t>kunststof en toepassingen (4,54%)</w:t>
            </w:r>
          </w:p>
        </w:tc>
      </w:tr>
    </w:tbl>
    <w:p w:rsidR="00AE2BF2" w:rsidRDefault="00AE2BF2" w:rsidP="00AD6885">
      <w:pPr>
        <w:pStyle w:val="StandaardSV"/>
        <w:rPr>
          <w:szCs w:val="22"/>
        </w:rPr>
      </w:pPr>
    </w:p>
    <w:p w:rsidR="00AE2BF2" w:rsidRDefault="00AE2BF2" w:rsidP="00AD6885">
      <w:pPr>
        <w:ind w:left="284"/>
        <w:rPr>
          <w:sz w:val="22"/>
          <w:szCs w:val="22"/>
          <w:lang w:val="nl-BE"/>
        </w:rPr>
      </w:pPr>
      <w:r>
        <w:rPr>
          <w:sz w:val="22"/>
          <w:szCs w:val="22"/>
        </w:rPr>
        <w:t>De derde tabel</w:t>
      </w:r>
      <w:r>
        <w:rPr>
          <w:sz w:val="22"/>
          <w:szCs w:val="22"/>
          <w:lang w:val="nl-BE"/>
        </w:rPr>
        <w:t xml:space="preserve"> geeft een overzicht van het aantal aangetrokken investeringsprojecten uit Turkije.</w:t>
      </w:r>
    </w:p>
    <w:p w:rsidR="00AE2BF2" w:rsidRPr="00A96D91" w:rsidRDefault="00AE2BF2" w:rsidP="00AD6885">
      <w:pPr>
        <w:rPr>
          <w:sz w:val="22"/>
          <w:szCs w:val="22"/>
          <w:lang w:val="nl-BE"/>
        </w:rPr>
      </w:pPr>
    </w:p>
    <w:tbl>
      <w:tblPr>
        <w:tblW w:w="0" w:type="auto"/>
        <w:tblInd w:w="392" w:type="dxa"/>
        <w:tblLook w:val="00A0"/>
      </w:tblPr>
      <w:tblGrid>
        <w:gridCol w:w="2197"/>
        <w:gridCol w:w="2197"/>
        <w:gridCol w:w="2197"/>
        <w:gridCol w:w="2197"/>
      </w:tblGrid>
      <w:tr w:rsidR="00AE2BF2" w:rsidTr="00DE0300">
        <w:tc>
          <w:tcPr>
            <w:tcW w:w="2197" w:type="dxa"/>
            <w:tcBorders>
              <w:top w:val="single" w:sz="12" w:space="0" w:color="000000"/>
              <w:bottom w:val="single" w:sz="4" w:space="0" w:color="000000"/>
            </w:tcBorders>
            <w:vAlign w:val="center"/>
          </w:tcPr>
          <w:p w:rsidR="00AE2BF2" w:rsidRPr="00DE0300" w:rsidRDefault="00AE2BF2" w:rsidP="00DE0300">
            <w:pPr>
              <w:pStyle w:val="StandaardSV"/>
              <w:jc w:val="center"/>
              <w:rPr>
                <w:b/>
                <w:bCs/>
                <w:szCs w:val="22"/>
                <w:lang w:val="nl-BE"/>
              </w:rPr>
            </w:pPr>
            <w:r w:rsidRPr="00DE0300">
              <w:rPr>
                <w:b/>
                <w:bCs/>
                <w:szCs w:val="22"/>
                <w:lang w:val="nl-BE"/>
              </w:rPr>
              <w:t>2007</w:t>
            </w:r>
          </w:p>
        </w:tc>
        <w:tc>
          <w:tcPr>
            <w:tcW w:w="2197" w:type="dxa"/>
            <w:tcBorders>
              <w:top w:val="single" w:sz="12" w:space="0" w:color="000000"/>
              <w:left w:val="nil"/>
              <w:bottom w:val="single" w:sz="4" w:space="0" w:color="000000"/>
            </w:tcBorders>
            <w:vAlign w:val="center"/>
          </w:tcPr>
          <w:p w:rsidR="00AE2BF2" w:rsidRPr="00DE0300" w:rsidRDefault="00AE2BF2" w:rsidP="00DE0300">
            <w:pPr>
              <w:pStyle w:val="StandaardSV"/>
              <w:jc w:val="center"/>
              <w:rPr>
                <w:b/>
                <w:bCs/>
                <w:szCs w:val="22"/>
                <w:lang w:val="nl-BE"/>
              </w:rPr>
            </w:pPr>
            <w:r w:rsidRPr="00DE0300">
              <w:rPr>
                <w:b/>
                <w:bCs/>
                <w:szCs w:val="22"/>
                <w:lang w:val="nl-BE"/>
              </w:rPr>
              <w:t>2008</w:t>
            </w:r>
          </w:p>
        </w:tc>
        <w:tc>
          <w:tcPr>
            <w:tcW w:w="2197" w:type="dxa"/>
            <w:tcBorders>
              <w:top w:val="single" w:sz="12" w:space="0" w:color="000000"/>
              <w:bottom w:val="single" w:sz="4" w:space="0" w:color="000000"/>
            </w:tcBorders>
            <w:vAlign w:val="center"/>
          </w:tcPr>
          <w:p w:rsidR="00AE2BF2" w:rsidRPr="00DE0300" w:rsidRDefault="00AE2BF2" w:rsidP="00DE0300">
            <w:pPr>
              <w:pStyle w:val="StandaardSV"/>
              <w:jc w:val="center"/>
              <w:rPr>
                <w:b/>
                <w:bCs/>
                <w:szCs w:val="22"/>
                <w:lang w:val="nl-BE"/>
              </w:rPr>
            </w:pPr>
            <w:r w:rsidRPr="00DE0300">
              <w:rPr>
                <w:b/>
                <w:bCs/>
                <w:szCs w:val="22"/>
                <w:lang w:val="nl-BE"/>
              </w:rPr>
              <w:t>2009</w:t>
            </w:r>
          </w:p>
        </w:tc>
        <w:tc>
          <w:tcPr>
            <w:tcW w:w="2197" w:type="dxa"/>
            <w:tcBorders>
              <w:top w:val="single" w:sz="12" w:space="0" w:color="000000"/>
              <w:bottom w:val="single" w:sz="4" w:space="0" w:color="000000"/>
            </w:tcBorders>
            <w:vAlign w:val="center"/>
          </w:tcPr>
          <w:p w:rsidR="00AE2BF2" w:rsidRPr="00DE0300" w:rsidRDefault="00AE2BF2" w:rsidP="00DE0300">
            <w:pPr>
              <w:pStyle w:val="StandaardSV"/>
              <w:jc w:val="center"/>
              <w:rPr>
                <w:b/>
                <w:bCs/>
                <w:szCs w:val="22"/>
                <w:lang w:val="nl-BE"/>
              </w:rPr>
            </w:pPr>
            <w:r w:rsidRPr="00DE0300">
              <w:rPr>
                <w:b/>
                <w:bCs/>
                <w:szCs w:val="22"/>
                <w:lang w:val="nl-BE"/>
              </w:rPr>
              <w:t>2010</w:t>
            </w:r>
          </w:p>
        </w:tc>
      </w:tr>
      <w:tr w:rsidR="00AE2BF2" w:rsidTr="00DE0300">
        <w:tc>
          <w:tcPr>
            <w:tcW w:w="2197" w:type="dxa"/>
            <w:tcBorders>
              <w:top w:val="single" w:sz="4" w:space="0" w:color="000000"/>
              <w:bottom w:val="single" w:sz="12" w:space="0" w:color="000000"/>
            </w:tcBorders>
            <w:vAlign w:val="center"/>
          </w:tcPr>
          <w:p w:rsidR="00AE2BF2" w:rsidRPr="00DE0300" w:rsidRDefault="00AE2BF2" w:rsidP="00DE0300">
            <w:pPr>
              <w:pStyle w:val="StandaardSV"/>
              <w:jc w:val="center"/>
              <w:rPr>
                <w:b/>
                <w:bCs/>
                <w:szCs w:val="22"/>
                <w:lang w:val="nl-BE"/>
              </w:rPr>
            </w:pPr>
            <w:r w:rsidRPr="00DE0300">
              <w:rPr>
                <w:bCs/>
                <w:szCs w:val="22"/>
                <w:lang w:val="nl-BE"/>
              </w:rPr>
              <w:t>3</w:t>
            </w:r>
          </w:p>
        </w:tc>
        <w:tc>
          <w:tcPr>
            <w:tcW w:w="2197" w:type="dxa"/>
            <w:tcBorders>
              <w:top w:val="single" w:sz="4" w:space="0" w:color="000000"/>
              <w:left w:val="nil"/>
              <w:bottom w:val="single" w:sz="12" w:space="0" w:color="000000"/>
            </w:tcBorders>
            <w:vAlign w:val="center"/>
          </w:tcPr>
          <w:p w:rsidR="00AE2BF2" w:rsidRPr="00DE0300" w:rsidRDefault="00AE2BF2" w:rsidP="00DE0300">
            <w:pPr>
              <w:pStyle w:val="StandaardSV"/>
              <w:jc w:val="center"/>
              <w:rPr>
                <w:szCs w:val="22"/>
                <w:lang w:val="nl-BE"/>
              </w:rPr>
            </w:pPr>
            <w:r w:rsidRPr="00DE0300">
              <w:rPr>
                <w:szCs w:val="22"/>
                <w:lang w:val="nl-BE"/>
              </w:rPr>
              <w:t>0</w:t>
            </w:r>
          </w:p>
        </w:tc>
        <w:tc>
          <w:tcPr>
            <w:tcW w:w="2197" w:type="dxa"/>
            <w:tcBorders>
              <w:top w:val="single" w:sz="4" w:space="0" w:color="000000"/>
              <w:bottom w:val="single" w:sz="12" w:space="0" w:color="000000"/>
            </w:tcBorders>
            <w:vAlign w:val="center"/>
          </w:tcPr>
          <w:p w:rsidR="00AE2BF2" w:rsidRPr="00DE0300" w:rsidRDefault="00AE2BF2" w:rsidP="00DE0300">
            <w:pPr>
              <w:pStyle w:val="StandaardSV"/>
              <w:jc w:val="center"/>
              <w:rPr>
                <w:szCs w:val="22"/>
                <w:lang w:val="nl-BE"/>
              </w:rPr>
            </w:pPr>
            <w:r w:rsidRPr="00DE0300">
              <w:rPr>
                <w:szCs w:val="22"/>
                <w:lang w:val="nl-BE"/>
              </w:rPr>
              <w:t>1</w:t>
            </w:r>
          </w:p>
        </w:tc>
        <w:tc>
          <w:tcPr>
            <w:tcW w:w="2197" w:type="dxa"/>
            <w:tcBorders>
              <w:top w:val="single" w:sz="4" w:space="0" w:color="000000"/>
              <w:bottom w:val="single" w:sz="12" w:space="0" w:color="000000"/>
            </w:tcBorders>
            <w:vAlign w:val="center"/>
          </w:tcPr>
          <w:p w:rsidR="00AE2BF2" w:rsidRPr="00DE0300" w:rsidRDefault="00AE2BF2" w:rsidP="00DE0300">
            <w:pPr>
              <w:pStyle w:val="StandaardSV"/>
              <w:jc w:val="center"/>
              <w:rPr>
                <w:szCs w:val="22"/>
                <w:lang w:val="nl-BE"/>
              </w:rPr>
            </w:pPr>
            <w:r w:rsidRPr="00DE0300">
              <w:rPr>
                <w:szCs w:val="22"/>
                <w:lang w:val="nl-BE"/>
              </w:rPr>
              <w:t>0</w:t>
            </w:r>
          </w:p>
        </w:tc>
      </w:tr>
    </w:tbl>
    <w:p w:rsidR="00AE2BF2" w:rsidRPr="00A96D91" w:rsidRDefault="00AE2BF2" w:rsidP="00AD6885">
      <w:pPr>
        <w:pStyle w:val="StandaardSV"/>
        <w:rPr>
          <w:szCs w:val="22"/>
          <w:lang w:val="nl-BE"/>
        </w:rPr>
      </w:pPr>
    </w:p>
    <w:p w:rsidR="00AE2BF2" w:rsidRDefault="00AE2BF2" w:rsidP="00AD6885">
      <w:pPr>
        <w:ind w:left="284"/>
        <w:jc w:val="both"/>
        <w:rPr>
          <w:sz w:val="22"/>
          <w:szCs w:val="22"/>
        </w:rPr>
      </w:pPr>
    </w:p>
    <w:p w:rsidR="00AE2BF2" w:rsidRPr="00AF7B02" w:rsidRDefault="00AE2BF2" w:rsidP="00AD6885">
      <w:pPr>
        <w:ind w:left="284"/>
        <w:jc w:val="both"/>
        <w:rPr>
          <w:sz w:val="22"/>
          <w:szCs w:val="22"/>
        </w:rPr>
      </w:pPr>
      <w:r w:rsidRPr="00AF7B02">
        <w:rPr>
          <w:sz w:val="22"/>
          <w:szCs w:val="22"/>
        </w:rPr>
        <w:t xml:space="preserve">Tot slot </w:t>
      </w:r>
      <w:r>
        <w:rPr>
          <w:sz w:val="22"/>
          <w:szCs w:val="22"/>
        </w:rPr>
        <w:t xml:space="preserve">is Vlaanderen voor Turkije ook een groeiende toeristische markt en bron van inkomsten.  </w:t>
      </w:r>
      <w:r w:rsidRPr="00AF7B02">
        <w:rPr>
          <w:sz w:val="22"/>
          <w:szCs w:val="22"/>
        </w:rPr>
        <w:t xml:space="preserve">Turkije </w:t>
      </w:r>
      <w:r>
        <w:rPr>
          <w:sz w:val="22"/>
          <w:szCs w:val="22"/>
        </w:rPr>
        <w:t>is tussen 1998 en 2008 opgeklommen van de tiende tot de vierde belangrijkste buitenlandse vakantiebestemming voor Vlamingen die langere tijd op reis gaan.</w:t>
      </w:r>
    </w:p>
    <w:p w:rsidR="00AE2BF2" w:rsidRPr="003F450F" w:rsidRDefault="00AE2BF2" w:rsidP="002331A9">
      <w:pPr>
        <w:ind w:left="567"/>
        <w:rPr>
          <w:sz w:val="22"/>
          <w:szCs w:val="22"/>
        </w:rPr>
      </w:pPr>
    </w:p>
    <w:sectPr w:rsidR="00AE2BF2" w:rsidRPr="003F450F" w:rsidSect="001E0506">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6381E"/>
    <w:multiLevelType w:val="hybridMultilevel"/>
    <w:tmpl w:val="349802E8"/>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
    <w:nsid w:val="24A512C1"/>
    <w:multiLevelType w:val="hybridMultilevel"/>
    <w:tmpl w:val="6BDC3120"/>
    <w:lvl w:ilvl="0" w:tplc="69E6269E">
      <w:start w:val="2"/>
      <w:numFmt w:val="decimal"/>
      <w:lvlText w:val="%1."/>
      <w:lvlJc w:val="left"/>
      <w:pPr>
        <w:tabs>
          <w:tab w:val="num" w:pos="720"/>
        </w:tabs>
        <w:ind w:left="720" w:hanging="360"/>
      </w:pPr>
      <w:rPr>
        <w:rFonts w:cs="Times New Roman" w:hint="default"/>
      </w:rPr>
    </w:lvl>
    <w:lvl w:ilvl="1" w:tplc="CBF0557E" w:tentative="1">
      <w:start w:val="1"/>
      <w:numFmt w:val="lowerLetter"/>
      <w:lvlText w:val="%2."/>
      <w:lvlJc w:val="left"/>
      <w:pPr>
        <w:tabs>
          <w:tab w:val="num" w:pos="1440"/>
        </w:tabs>
        <w:ind w:left="1440" w:hanging="360"/>
      </w:pPr>
      <w:rPr>
        <w:rFonts w:cs="Times New Roman"/>
      </w:rPr>
    </w:lvl>
    <w:lvl w:ilvl="2" w:tplc="57164C50" w:tentative="1">
      <w:start w:val="1"/>
      <w:numFmt w:val="lowerRoman"/>
      <w:lvlText w:val="%3."/>
      <w:lvlJc w:val="right"/>
      <w:pPr>
        <w:tabs>
          <w:tab w:val="num" w:pos="2160"/>
        </w:tabs>
        <w:ind w:left="2160" w:hanging="180"/>
      </w:pPr>
      <w:rPr>
        <w:rFonts w:cs="Times New Roman"/>
      </w:rPr>
    </w:lvl>
    <w:lvl w:ilvl="3" w:tplc="30D49B12" w:tentative="1">
      <w:start w:val="1"/>
      <w:numFmt w:val="decimal"/>
      <w:lvlText w:val="%4."/>
      <w:lvlJc w:val="left"/>
      <w:pPr>
        <w:tabs>
          <w:tab w:val="num" w:pos="2880"/>
        </w:tabs>
        <w:ind w:left="2880" w:hanging="360"/>
      </w:pPr>
      <w:rPr>
        <w:rFonts w:cs="Times New Roman"/>
      </w:rPr>
    </w:lvl>
    <w:lvl w:ilvl="4" w:tplc="8D4C3E3E" w:tentative="1">
      <w:start w:val="1"/>
      <w:numFmt w:val="lowerLetter"/>
      <w:lvlText w:val="%5."/>
      <w:lvlJc w:val="left"/>
      <w:pPr>
        <w:tabs>
          <w:tab w:val="num" w:pos="3600"/>
        </w:tabs>
        <w:ind w:left="3600" w:hanging="360"/>
      </w:pPr>
      <w:rPr>
        <w:rFonts w:cs="Times New Roman"/>
      </w:rPr>
    </w:lvl>
    <w:lvl w:ilvl="5" w:tplc="23DE7CF6" w:tentative="1">
      <w:start w:val="1"/>
      <w:numFmt w:val="lowerRoman"/>
      <w:lvlText w:val="%6."/>
      <w:lvlJc w:val="right"/>
      <w:pPr>
        <w:tabs>
          <w:tab w:val="num" w:pos="4320"/>
        </w:tabs>
        <w:ind w:left="4320" w:hanging="180"/>
      </w:pPr>
      <w:rPr>
        <w:rFonts w:cs="Times New Roman"/>
      </w:rPr>
    </w:lvl>
    <w:lvl w:ilvl="6" w:tplc="80EE918A" w:tentative="1">
      <w:start w:val="1"/>
      <w:numFmt w:val="decimal"/>
      <w:lvlText w:val="%7."/>
      <w:lvlJc w:val="left"/>
      <w:pPr>
        <w:tabs>
          <w:tab w:val="num" w:pos="5040"/>
        </w:tabs>
        <w:ind w:left="5040" w:hanging="360"/>
      </w:pPr>
      <w:rPr>
        <w:rFonts w:cs="Times New Roman"/>
      </w:rPr>
    </w:lvl>
    <w:lvl w:ilvl="7" w:tplc="EEC80DC4" w:tentative="1">
      <w:start w:val="1"/>
      <w:numFmt w:val="lowerLetter"/>
      <w:lvlText w:val="%8."/>
      <w:lvlJc w:val="left"/>
      <w:pPr>
        <w:tabs>
          <w:tab w:val="num" w:pos="5760"/>
        </w:tabs>
        <w:ind w:left="5760" w:hanging="360"/>
      </w:pPr>
      <w:rPr>
        <w:rFonts w:cs="Times New Roman"/>
      </w:rPr>
    </w:lvl>
    <w:lvl w:ilvl="8" w:tplc="6F80E88A" w:tentative="1">
      <w:start w:val="1"/>
      <w:numFmt w:val="lowerRoman"/>
      <w:lvlText w:val="%9."/>
      <w:lvlJc w:val="right"/>
      <w:pPr>
        <w:tabs>
          <w:tab w:val="num" w:pos="6480"/>
        </w:tabs>
        <w:ind w:left="6480" w:hanging="180"/>
      </w:pPr>
      <w:rPr>
        <w:rFonts w:cs="Times New Roman"/>
      </w:rPr>
    </w:lvl>
  </w:abstractNum>
  <w:abstractNum w:abstractNumId="2">
    <w:nsid w:val="2ECA4276"/>
    <w:multiLevelType w:val="hybridMultilevel"/>
    <w:tmpl w:val="C7F21996"/>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
    <w:nsid w:val="30196A15"/>
    <w:multiLevelType w:val="hybridMultilevel"/>
    <w:tmpl w:val="DDAE0BEE"/>
    <w:lvl w:ilvl="0" w:tplc="CC4063D6">
      <w:start w:val="4"/>
      <w:numFmt w:val="decimal"/>
      <w:lvlText w:val="%1."/>
      <w:lvlJc w:val="left"/>
      <w:pPr>
        <w:ind w:left="36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CA1277A"/>
    <w:multiLevelType w:val="hybridMultilevel"/>
    <w:tmpl w:val="C9B8379C"/>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6">
    <w:nsid w:val="55C934CF"/>
    <w:multiLevelType w:val="hybridMultilevel"/>
    <w:tmpl w:val="2FF04F6C"/>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7">
    <w:nsid w:val="5ED009CC"/>
    <w:multiLevelType w:val="hybridMultilevel"/>
    <w:tmpl w:val="0B6CA9CE"/>
    <w:lvl w:ilvl="0" w:tplc="FDA06A0E">
      <w:start w:val="1"/>
      <w:numFmt w:val="bullet"/>
      <w:lvlText w:val="-"/>
      <w:lvlJc w:val="left"/>
      <w:pPr>
        <w:ind w:left="1080" w:hanging="360"/>
      </w:pPr>
      <w:rPr>
        <w:rFonts w:ascii="Times New Roman" w:eastAsia="Times New Roman" w:hAnsi="Times New Roman"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nsid w:val="6E631020"/>
    <w:multiLevelType w:val="hybridMultilevel"/>
    <w:tmpl w:val="1FB6D092"/>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C40"/>
    <w:rsid w:val="00042964"/>
    <w:rsid w:val="00045E43"/>
    <w:rsid w:val="000C4C18"/>
    <w:rsid w:val="00157A87"/>
    <w:rsid w:val="00171D3D"/>
    <w:rsid w:val="001747B4"/>
    <w:rsid w:val="00190C33"/>
    <w:rsid w:val="001B6267"/>
    <w:rsid w:val="001E0506"/>
    <w:rsid w:val="001F0937"/>
    <w:rsid w:val="001F7773"/>
    <w:rsid w:val="002331A9"/>
    <w:rsid w:val="002730B7"/>
    <w:rsid w:val="002B0B27"/>
    <w:rsid w:val="00360FB8"/>
    <w:rsid w:val="003F450F"/>
    <w:rsid w:val="00445A6F"/>
    <w:rsid w:val="00497890"/>
    <w:rsid w:val="004A36D8"/>
    <w:rsid w:val="005431C7"/>
    <w:rsid w:val="005A4527"/>
    <w:rsid w:val="005C74DE"/>
    <w:rsid w:val="005F2FFC"/>
    <w:rsid w:val="006114A2"/>
    <w:rsid w:val="006A324D"/>
    <w:rsid w:val="006C416E"/>
    <w:rsid w:val="006F7264"/>
    <w:rsid w:val="007637D8"/>
    <w:rsid w:val="00774814"/>
    <w:rsid w:val="007A666B"/>
    <w:rsid w:val="007B527F"/>
    <w:rsid w:val="007F0F52"/>
    <w:rsid w:val="008058A4"/>
    <w:rsid w:val="00884E2A"/>
    <w:rsid w:val="00886AE4"/>
    <w:rsid w:val="00996BD9"/>
    <w:rsid w:val="009976C1"/>
    <w:rsid w:val="009E2C40"/>
    <w:rsid w:val="00A13D4B"/>
    <w:rsid w:val="00A8473D"/>
    <w:rsid w:val="00A96D91"/>
    <w:rsid w:val="00AB0AA4"/>
    <w:rsid w:val="00AD6885"/>
    <w:rsid w:val="00AE2BF2"/>
    <w:rsid w:val="00AF7B02"/>
    <w:rsid w:val="00BB7640"/>
    <w:rsid w:val="00C62C3C"/>
    <w:rsid w:val="00D33007"/>
    <w:rsid w:val="00D522C8"/>
    <w:rsid w:val="00D73742"/>
    <w:rsid w:val="00DB4ADD"/>
    <w:rsid w:val="00DC2CB5"/>
    <w:rsid w:val="00DE0300"/>
    <w:rsid w:val="00DF3589"/>
    <w:rsid w:val="00E03292"/>
    <w:rsid w:val="00EB6E2B"/>
    <w:rsid w:val="00EF125E"/>
    <w:rsid w:val="00F02D35"/>
    <w:rsid w:val="00F52AFE"/>
    <w:rsid w:val="00FD27C5"/>
    <w:rsid w:val="00FE39D0"/>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506"/>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SV">
    <w:name w:val="Standaard SV"/>
    <w:basedOn w:val="Normal"/>
    <w:uiPriority w:val="99"/>
    <w:rsid w:val="001E0506"/>
    <w:pPr>
      <w:jc w:val="both"/>
    </w:pPr>
    <w:rPr>
      <w:sz w:val="22"/>
      <w:szCs w:val="20"/>
    </w:rPr>
  </w:style>
  <w:style w:type="paragraph" w:styleId="BalloonText">
    <w:name w:val="Balloon Text"/>
    <w:basedOn w:val="Normal"/>
    <w:link w:val="BalloonTextChar"/>
    <w:uiPriority w:val="99"/>
    <w:semiHidden/>
    <w:rsid w:val="001E0506"/>
    <w:rPr>
      <w:rFonts w:ascii="Tahoma" w:hAnsi="Tahoma" w:cs="Tahoma"/>
      <w:sz w:val="16"/>
      <w:szCs w:val="16"/>
    </w:rPr>
  </w:style>
  <w:style w:type="character" w:customStyle="1" w:styleId="BalloonTextChar">
    <w:name w:val="Balloon Text Char"/>
    <w:basedOn w:val="DefaultParagraphFont"/>
    <w:link w:val="BalloonText"/>
    <w:uiPriority w:val="99"/>
    <w:semiHidden/>
    <w:rsid w:val="00F162BD"/>
    <w:rPr>
      <w:sz w:val="0"/>
      <w:szCs w:val="0"/>
      <w:lang w:val="nl-NL" w:eastAsia="nl-NL"/>
    </w:rPr>
  </w:style>
  <w:style w:type="paragraph" w:styleId="EnvelopeAddress">
    <w:name w:val="envelope address"/>
    <w:basedOn w:val="Normal"/>
    <w:uiPriority w:val="99"/>
    <w:rsid w:val="002730B7"/>
    <w:pPr>
      <w:framePr w:w="7920" w:h="1980" w:hRule="exact" w:hSpace="141" w:wrap="auto" w:hAnchor="page" w:xAlign="center" w:yAlign="bottom"/>
      <w:ind w:left="2880"/>
    </w:pPr>
    <w:rPr>
      <w:szCs w:val="20"/>
    </w:rPr>
  </w:style>
  <w:style w:type="paragraph" w:customStyle="1" w:styleId="SVTitel">
    <w:name w:val="SV Titel"/>
    <w:basedOn w:val="Normal"/>
    <w:uiPriority w:val="99"/>
    <w:rsid w:val="00190C33"/>
    <w:pPr>
      <w:jc w:val="both"/>
    </w:pPr>
    <w:rPr>
      <w:i/>
      <w:sz w:val="22"/>
      <w:szCs w:val="20"/>
    </w:rPr>
  </w:style>
  <w:style w:type="paragraph" w:styleId="ListParagraph">
    <w:name w:val="List Paragraph"/>
    <w:basedOn w:val="Normal"/>
    <w:uiPriority w:val="99"/>
    <w:qFormat/>
    <w:rsid w:val="00774814"/>
    <w:pPr>
      <w:ind w:left="720"/>
      <w:contextualSpacing/>
    </w:pPr>
  </w:style>
  <w:style w:type="paragraph" w:styleId="NormalWeb">
    <w:name w:val="Normal (Web)"/>
    <w:basedOn w:val="Normal"/>
    <w:uiPriority w:val="99"/>
    <w:rsid w:val="00AD6885"/>
    <w:pPr>
      <w:spacing w:before="100" w:beforeAutospacing="1" w:after="100" w:afterAutospacing="1"/>
    </w:pPr>
  </w:style>
  <w:style w:type="table" w:styleId="TableList3">
    <w:name w:val="Table List 3"/>
    <w:basedOn w:val="TableNormal"/>
    <w:uiPriority w:val="99"/>
    <w:rsid w:val="00AD6885"/>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Simple2">
    <w:name w:val="Table Simple 2"/>
    <w:basedOn w:val="TableNormal"/>
    <w:uiPriority w:val="99"/>
    <w:rsid w:val="00AD6885"/>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664018201">
      <w:marLeft w:val="0"/>
      <w:marRight w:val="0"/>
      <w:marTop w:val="0"/>
      <w:marBottom w:val="0"/>
      <w:divBdr>
        <w:top w:val="none" w:sz="0" w:space="0" w:color="auto"/>
        <w:left w:val="none" w:sz="0" w:space="0" w:color="auto"/>
        <w:bottom w:val="none" w:sz="0" w:space="0" w:color="auto"/>
        <w:right w:val="none" w:sz="0" w:space="0" w:color="auto"/>
      </w:divBdr>
    </w:div>
    <w:div w:id="664018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rkbestanden%20Erwin%20Dewallef\Parlementaire%20vragen\Procesbeschrijving%20en%20sjablonen\sjablonen%20parlementaire%20vragen\Schriftelijke%20vraag%20-%20antwoord%20-%20bijlag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Schriftelijke vraag - antwoord - bijlage 3</Template>
  <TotalTime>0</TotalTime>
  <Pages>2</Pages>
  <Words>545</Words>
  <Characters>3001</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subject/>
  <dc:creator>dewaller</dc:creator>
  <cp:keywords/>
  <dc:description/>
  <cp:lastModifiedBy>Vlaams Parlement</cp:lastModifiedBy>
  <cp:revision>2</cp:revision>
  <cp:lastPrinted>2011-08-25T12:59:00Z</cp:lastPrinted>
  <dcterms:created xsi:type="dcterms:W3CDTF">2011-08-25T12:59:00Z</dcterms:created>
  <dcterms:modified xsi:type="dcterms:W3CDTF">2011-08-25T12:59:00Z</dcterms:modified>
</cp:coreProperties>
</file>