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31" w:rsidRPr="00CD2DAA" w:rsidRDefault="00760831" w:rsidP="008F6DED">
      <w:pPr>
        <w:jc w:val="both"/>
        <w:outlineLvl w:val="0"/>
        <w:rPr>
          <w:b/>
          <w:smallCaps/>
          <w:sz w:val="22"/>
          <w:szCs w:val="22"/>
          <w:lang w:val="nl-BE"/>
        </w:rPr>
      </w:pPr>
      <w:smartTag w:uri="urn:schemas-microsoft-com:office:smarttags" w:element="PersonName">
        <w:smartTagPr>
          <w:attr w:name="ProductID" w:val="KRIS PEETERS"/>
        </w:smartTagPr>
        <w:r w:rsidRPr="00CD2DAA">
          <w:rPr>
            <w:b/>
            <w:smallCaps/>
            <w:sz w:val="22"/>
            <w:szCs w:val="22"/>
            <w:lang w:val="nl-BE"/>
          </w:rPr>
          <w:t>kris peeters</w:t>
        </w:r>
      </w:smartTag>
    </w:p>
    <w:p w:rsidR="00760831" w:rsidRPr="00CD2DAA" w:rsidRDefault="00760831" w:rsidP="008F6DED">
      <w:pPr>
        <w:jc w:val="both"/>
        <w:rPr>
          <w:smallCaps/>
          <w:sz w:val="22"/>
          <w:szCs w:val="22"/>
          <w:lang w:val="nl-BE"/>
        </w:rPr>
      </w:pPr>
      <w:r w:rsidRPr="00CD2DAA">
        <w:rPr>
          <w:smallCaps/>
          <w:sz w:val="22"/>
          <w:szCs w:val="22"/>
          <w:lang w:val="nl-BE"/>
        </w:rPr>
        <w:t>minister-president van de vlaamse regering, vlaams minister van economie, buitenlands beleid, landbouw en plattelandsbeleid</w:t>
      </w:r>
    </w:p>
    <w:p w:rsidR="00760831" w:rsidRPr="00CD2DAA" w:rsidRDefault="00760831" w:rsidP="008F6DED">
      <w:pPr>
        <w:pStyle w:val="StandaardSV"/>
        <w:pBdr>
          <w:bottom w:val="single" w:sz="4" w:space="1" w:color="auto"/>
        </w:pBdr>
        <w:rPr>
          <w:szCs w:val="22"/>
          <w:lang w:val="nl-BE"/>
        </w:rPr>
      </w:pPr>
    </w:p>
    <w:p w:rsidR="00760831" w:rsidRPr="00CD2DAA" w:rsidRDefault="00760831" w:rsidP="008F6DED">
      <w:pPr>
        <w:jc w:val="both"/>
        <w:rPr>
          <w:sz w:val="22"/>
          <w:szCs w:val="22"/>
        </w:rPr>
      </w:pPr>
    </w:p>
    <w:p w:rsidR="00760831" w:rsidRDefault="00760831" w:rsidP="008F6DED">
      <w:pPr>
        <w:jc w:val="both"/>
        <w:rPr>
          <w:sz w:val="22"/>
          <w:szCs w:val="22"/>
        </w:rPr>
      </w:pPr>
      <w:r w:rsidRPr="006234A5">
        <w:rPr>
          <w:b/>
          <w:smallCaps/>
          <w:sz w:val="22"/>
          <w:szCs w:val="22"/>
        </w:rPr>
        <w:t>antwoord</w:t>
      </w:r>
    </w:p>
    <w:p w:rsidR="00760831" w:rsidRPr="00CD2DAA" w:rsidRDefault="00760831" w:rsidP="008F6DED">
      <w:pPr>
        <w:jc w:val="both"/>
        <w:rPr>
          <w:sz w:val="22"/>
          <w:szCs w:val="22"/>
        </w:rPr>
      </w:pPr>
      <w:r>
        <w:rPr>
          <w:sz w:val="22"/>
          <w:szCs w:val="22"/>
        </w:rPr>
        <w:t>op v</w:t>
      </w:r>
      <w:r w:rsidRPr="00CD2DAA">
        <w:rPr>
          <w:sz w:val="22"/>
          <w:szCs w:val="22"/>
        </w:rPr>
        <w:t>raag nr. 316</w:t>
      </w:r>
      <w:r>
        <w:rPr>
          <w:sz w:val="22"/>
          <w:szCs w:val="22"/>
        </w:rPr>
        <w:t xml:space="preserve"> </w:t>
      </w:r>
      <w:r w:rsidRPr="00CD2DAA">
        <w:rPr>
          <w:sz w:val="22"/>
          <w:szCs w:val="22"/>
        </w:rPr>
        <w:t>van 10 mei 2011</w:t>
      </w:r>
    </w:p>
    <w:p w:rsidR="00760831" w:rsidRPr="00CD2DAA" w:rsidRDefault="00760831" w:rsidP="008F6DED">
      <w:pPr>
        <w:jc w:val="both"/>
        <w:rPr>
          <w:b/>
          <w:sz w:val="22"/>
          <w:szCs w:val="22"/>
        </w:rPr>
      </w:pPr>
      <w:r w:rsidRPr="00CD2DAA">
        <w:rPr>
          <w:sz w:val="22"/>
          <w:szCs w:val="22"/>
        </w:rPr>
        <w:t xml:space="preserve">van </w:t>
      </w:r>
      <w:r w:rsidRPr="00CD2DAA">
        <w:rPr>
          <w:b/>
          <w:smallCaps/>
          <w:sz w:val="22"/>
          <w:szCs w:val="22"/>
        </w:rPr>
        <w:t>hermes sanctorum</w:t>
      </w:r>
    </w:p>
    <w:p w:rsidR="00760831" w:rsidRPr="00CD2DAA" w:rsidRDefault="00760831" w:rsidP="008F6DED">
      <w:pPr>
        <w:pBdr>
          <w:bottom w:val="single" w:sz="4" w:space="1" w:color="auto"/>
        </w:pBdr>
        <w:jc w:val="both"/>
        <w:rPr>
          <w:sz w:val="22"/>
          <w:szCs w:val="22"/>
        </w:rPr>
      </w:pPr>
    </w:p>
    <w:p w:rsidR="00760831" w:rsidRPr="00CD2DAA" w:rsidRDefault="00760831" w:rsidP="008F6DED">
      <w:pPr>
        <w:pStyle w:val="StandaardSV"/>
        <w:rPr>
          <w:szCs w:val="22"/>
        </w:rPr>
      </w:pPr>
    </w:p>
    <w:p w:rsidR="00760831" w:rsidRPr="006234A5" w:rsidRDefault="00760831" w:rsidP="008F6DED">
      <w:pPr>
        <w:pStyle w:val="StandaardSV"/>
        <w:rPr>
          <w:szCs w:val="22"/>
          <w:lang w:eastAsia="nl-BE"/>
        </w:rPr>
      </w:pPr>
    </w:p>
    <w:p w:rsidR="00760831" w:rsidRPr="006234A5" w:rsidRDefault="00760831" w:rsidP="006234A5">
      <w:pPr>
        <w:pStyle w:val="StandaardSV"/>
        <w:numPr>
          <w:ilvl w:val="0"/>
          <w:numId w:val="30"/>
        </w:numPr>
        <w:rPr>
          <w:bCs/>
          <w:szCs w:val="22"/>
        </w:rPr>
      </w:pPr>
      <w:r w:rsidRPr="006234A5">
        <w:rPr>
          <w:szCs w:val="22"/>
        </w:rPr>
        <w:t>In totaal waren er in heel België over de periode van de laatste 5 jaar 143 stalbranden. In 62 van deze gevallen vonden er dieren de dood. In het totaal ging het over 192862 dieren.</w:t>
      </w:r>
    </w:p>
    <w:p w:rsidR="00760831" w:rsidRPr="006234A5" w:rsidRDefault="00760831" w:rsidP="00D40D63">
      <w:pPr>
        <w:pStyle w:val="Caption"/>
        <w:keepNext/>
        <w:rPr>
          <w:b w:val="0"/>
          <w:bCs w:val="0"/>
          <w:sz w:val="22"/>
          <w:szCs w:val="22"/>
        </w:rPr>
      </w:pPr>
    </w:p>
    <w:p w:rsidR="00760831" w:rsidRPr="006234A5" w:rsidRDefault="00760831" w:rsidP="006234A5">
      <w:pPr>
        <w:pStyle w:val="Caption"/>
        <w:keepNext/>
        <w:ind w:left="360"/>
        <w:rPr>
          <w:b w:val="0"/>
          <w:bCs w:val="0"/>
          <w:sz w:val="22"/>
          <w:szCs w:val="22"/>
        </w:rPr>
      </w:pPr>
      <w:r w:rsidRPr="006234A5">
        <w:rPr>
          <w:b w:val="0"/>
          <w:bCs w:val="0"/>
          <w:sz w:val="22"/>
          <w:szCs w:val="22"/>
        </w:rPr>
        <w:t xml:space="preserve">Tabel </w:t>
      </w:r>
      <w:r w:rsidRPr="006234A5">
        <w:rPr>
          <w:b w:val="0"/>
          <w:bCs w:val="0"/>
          <w:sz w:val="22"/>
          <w:szCs w:val="22"/>
        </w:rPr>
        <w:fldChar w:fldCharType="begin"/>
      </w:r>
      <w:r w:rsidRPr="006234A5">
        <w:rPr>
          <w:b w:val="0"/>
          <w:bCs w:val="0"/>
          <w:sz w:val="22"/>
          <w:szCs w:val="22"/>
        </w:rPr>
        <w:instrText xml:space="preserve"> SEQ Tabel \* ARABIC </w:instrText>
      </w:r>
      <w:r w:rsidRPr="006234A5">
        <w:rPr>
          <w:b w:val="0"/>
          <w:bCs w:val="0"/>
          <w:sz w:val="22"/>
          <w:szCs w:val="22"/>
        </w:rPr>
        <w:fldChar w:fldCharType="separate"/>
      </w:r>
      <w:r>
        <w:rPr>
          <w:b w:val="0"/>
          <w:bCs w:val="0"/>
          <w:noProof/>
          <w:sz w:val="22"/>
          <w:szCs w:val="22"/>
        </w:rPr>
        <w:t>1</w:t>
      </w:r>
      <w:r w:rsidRPr="006234A5">
        <w:rPr>
          <w:b w:val="0"/>
          <w:bCs w:val="0"/>
          <w:sz w:val="22"/>
          <w:szCs w:val="22"/>
        </w:rPr>
        <w:fldChar w:fldCharType="end"/>
      </w:r>
      <w:r w:rsidRPr="006234A5">
        <w:rPr>
          <w:b w:val="0"/>
          <w:bCs w:val="0"/>
          <w:sz w:val="22"/>
          <w:szCs w:val="22"/>
        </w:rPr>
        <w:t>: Dieren omgekomen in stalbranden van 1/5/2006 tot heden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126"/>
      </w:tblGrid>
      <w:tr w:rsidR="00760831" w:rsidRPr="006234A5" w:rsidTr="00F032E2">
        <w:tc>
          <w:tcPr>
            <w:tcW w:w="2518" w:type="dxa"/>
          </w:tcPr>
          <w:p w:rsidR="00760831" w:rsidRPr="00F032E2" w:rsidRDefault="00760831" w:rsidP="0011346B">
            <w:pPr>
              <w:pStyle w:val="StandaardSV"/>
              <w:rPr>
                <w:szCs w:val="22"/>
              </w:rPr>
            </w:pPr>
            <w:r w:rsidRPr="00F032E2">
              <w:rPr>
                <w:szCs w:val="22"/>
              </w:rPr>
              <w:t>Diercategorie</w:t>
            </w:r>
          </w:p>
        </w:tc>
        <w:tc>
          <w:tcPr>
            <w:tcW w:w="2126" w:type="dxa"/>
          </w:tcPr>
          <w:p w:rsidR="00760831" w:rsidRPr="00F032E2" w:rsidRDefault="00760831" w:rsidP="0011346B">
            <w:pPr>
              <w:pStyle w:val="StandaardSV"/>
              <w:rPr>
                <w:szCs w:val="22"/>
              </w:rPr>
            </w:pPr>
            <w:r w:rsidRPr="00F032E2">
              <w:rPr>
                <w:szCs w:val="22"/>
              </w:rPr>
              <w:t>Omgekomen dieren</w:t>
            </w:r>
          </w:p>
        </w:tc>
      </w:tr>
      <w:tr w:rsidR="00760831" w:rsidRPr="006234A5" w:rsidTr="00F032E2">
        <w:tc>
          <w:tcPr>
            <w:tcW w:w="2518" w:type="dxa"/>
          </w:tcPr>
          <w:p w:rsidR="00760831" w:rsidRPr="00F032E2" w:rsidRDefault="00760831" w:rsidP="0011346B">
            <w:pPr>
              <w:pStyle w:val="StandaardSV"/>
              <w:rPr>
                <w:szCs w:val="22"/>
              </w:rPr>
            </w:pPr>
            <w:r w:rsidRPr="00F032E2">
              <w:rPr>
                <w:szCs w:val="22"/>
              </w:rPr>
              <w:t>Varkens</w:t>
            </w:r>
          </w:p>
        </w:tc>
        <w:tc>
          <w:tcPr>
            <w:tcW w:w="2126" w:type="dxa"/>
          </w:tcPr>
          <w:p w:rsidR="00760831" w:rsidRPr="00F032E2" w:rsidRDefault="00760831" w:rsidP="00D40D63">
            <w:pPr>
              <w:pStyle w:val="StandaardSV"/>
              <w:rPr>
                <w:szCs w:val="22"/>
              </w:rPr>
            </w:pPr>
            <w:r w:rsidRPr="00F032E2">
              <w:rPr>
                <w:szCs w:val="22"/>
              </w:rPr>
              <w:t>27.851</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Vleesvarkens</w:t>
            </w:r>
          </w:p>
        </w:tc>
        <w:tc>
          <w:tcPr>
            <w:tcW w:w="2126" w:type="dxa"/>
          </w:tcPr>
          <w:p w:rsidR="00760831" w:rsidRPr="00F032E2" w:rsidRDefault="00760831" w:rsidP="00F032E2">
            <w:pPr>
              <w:pStyle w:val="StandaardSV"/>
              <w:jc w:val="right"/>
              <w:rPr>
                <w:szCs w:val="22"/>
              </w:rPr>
            </w:pPr>
            <w:r w:rsidRPr="00F032E2">
              <w:rPr>
                <w:szCs w:val="22"/>
              </w:rPr>
              <w:t>950</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Zeugen</w:t>
            </w:r>
          </w:p>
        </w:tc>
        <w:tc>
          <w:tcPr>
            <w:tcW w:w="2126" w:type="dxa"/>
          </w:tcPr>
          <w:p w:rsidR="00760831" w:rsidRPr="00F032E2" w:rsidRDefault="00760831" w:rsidP="00F032E2">
            <w:pPr>
              <w:pStyle w:val="StandaardSV"/>
              <w:jc w:val="right"/>
              <w:rPr>
                <w:szCs w:val="22"/>
              </w:rPr>
            </w:pPr>
            <w:r w:rsidRPr="00F032E2">
              <w:rPr>
                <w:szCs w:val="22"/>
              </w:rPr>
              <w:t>2.542</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Biggen</w:t>
            </w:r>
          </w:p>
        </w:tc>
        <w:tc>
          <w:tcPr>
            <w:tcW w:w="2126" w:type="dxa"/>
          </w:tcPr>
          <w:p w:rsidR="00760831" w:rsidRPr="00F032E2" w:rsidRDefault="00760831" w:rsidP="00F032E2">
            <w:pPr>
              <w:pStyle w:val="StandaardSV"/>
              <w:jc w:val="right"/>
              <w:rPr>
                <w:szCs w:val="22"/>
              </w:rPr>
            </w:pPr>
            <w:r w:rsidRPr="00F032E2">
              <w:rPr>
                <w:szCs w:val="22"/>
              </w:rPr>
              <w:t>8.143</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Onbekend</w:t>
            </w:r>
          </w:p>
        </w:tc>
        <w:tc>
          <w:tcPr>
            <w:tcW w:w="2126" w:type="dxa"/>
          </w:tcPr>
          <w:p w:rsidR="00760831" w:rsidRPr="00F032E2" w:rsidRDefault="00760831" w:rsidP="00F032E2">
            <w:pPr>
              <w:pStyle w:val="StandaardSV"/>
              <w:jc w:val="right"/>
              <w:rPr>
                <w:szCs w:val="22"/>
              </w:rPr>
            </w:pPr>
            <w:r w:rsidRPr="00F032E2">
              <w:rPr>
                <w:szCs w:val="22"/>
              </w:rPr>
              <w:t>16.216</w:t>
            </w:r>
          </w:p>
        </w:tc>
      </w:tr>
      <w:tr w:rsidR="00760831" w:rsidRPr="006234A5" w:rsidTr="00F032E2">
        <w:tc>
          <w:tcPr>
            <w:tcW w:w="2518" w:type="dxa"/>
          </w:tcPr>
          <w:p w:rsidR="00760831" w:rsidRPr="00F032E2" w:rsidRDefault="00760831" w:rsidP="00F032E2">
            <w:pPr>
              <w:pStyle w:val="StandaardSV"/>
              <w:jc w:val="left"/>
              <w:rPr>
                <w:szCs w:val="22"/>
              </w:rPr>
            </w:pPr>
            <w:r w:rsidRPr="00F032E2">
              <w:rPr>
                <w:szCs w:val="22"/>
              </w:rPr>
              <w:t>Runderen</w:t>
            </w:r>
          </w:p>
        </w:tc>
        <w:tc>
          <w:tcPr>
            <w:tcW w:w="2126" w:type="dxa"/>
          </w:tcPr>
          <w:p w:rsidR="00760831" w:rsidRPr="00F032E2" w:rsidRDefault="00760831" w:rsidP="00F032E2">
            <w:pPr>
              <w:pStyle w:val="StandaardSV"/>
              <w:jc w:val="left"/>
              <w:rPr>
                <w:szCs w:val="22"/>
              </w:rPr>
            </w:pPr>
            <w:r w:rsidRPr="00F032E2">
              <w:rPr>
                <w:szCs w:val="22"/>
              </w:rPr>
              <w:t>196</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Melkvee</w:t>
            </w:r>
          </w:p>
        </w:tc>
        <w:tc>
          <w:tcPr>
            <w:tcW w:w="2126" w:type="dxa"/>
          </w:tcPr>
          <w:p w:rsidR="00760831" w:rsidRPr="00F032E2" w:rsidRDefault="00760831" w:rsidP="00F032E2">
            <w:pPr>
              <w:pStyle w:val="StandaardSV"/>
              <w:jc w:val="right"/>
              <w:rPr>
                <w:szCs w:val="22"/>
              </w:rPr>
            </w:pPr>
            <w:r w:rsidRPr="00F032E2">
              <w:rPr>
                <w:szCs w:val="22"/>
              </w:rPr>
              <w:t>4</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Vleesvee</w:t>
            </w:r>
          </w:p>
        </w:tc>
        <w:tc>
          <w:tcPr>
            <w:tcW w:w="2126" w:type="dxa"/>
          </w:tcPr>
          <w:p w:rsidR="00760831" w:rsidRPr="00F032E2" w:rsidRDefault="00760831" w:rsidP="00F032E2">
            <w:pPr>
              <w:pStyle w:val="StandaardSV"/>
              <w:jc w:val="right"/>
              <w:rPr>
                <w:szCs w:val="22"/>
              </w:rPr>
            </w:pPr>
            <w:r w:rsidRPr="00F032E2">
              <w:rPr>
                <w:szCs w:val="22"/>
              </w:rPr>
              <w:t>6</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Kalveren</w:t>
            </w:r>
          </w:p>
        </w:tc>
        <w:tc>
          <w:tcPr>
            <w:tcW w:w="2126" w:type="dxa"/>
          </w:tcPr>
          <w:p w:rsidR="00760831" w:rsidRPr="00F032E2" w:rsidRDefault="00760831" w:rsidP="00F032E2">
            <w:pPr>
              <w:pStyle w:val="StandaardSV"/>
              <w:jc w:val="right"/>
              <w:rPr>
                <w:szCs w:val="22"/>
              </w:rPr>
            </w:pPr>
            <w:r w:rsidRPr="00F032E2">
              <w:rPr>
                <w:szCs w:val="22"/>
              </w:rPr>
              <w:t>108</w:t>
            </w:r>
          </w:p>
        </w:tc>
      </w:tr>
      <w:tr w:rsidR="00760831" w:rsidRPr="006234A5" w:rsidTr="00F032E2">
        <w:tc>
          <w:tcPr>
            <w:tcW w:w="2518" w:type="dxa"/>
          </w:tcPr>
          <w:p w:rsidR="00760831" w:rsidRPr="00F032E2" w:rsidRDefault="00760831" w:rsidP="00F032E2">
            <w:pPr>
              <w:pStyle w:val="StandaardSV"/>
              <w:jc w:val="right"/>
              <w:rPr>
                <w:szCs w:val="22"/>
              </w:rPr>
            </w:pPr>
            <w:r w:rsidRPr="00F032E2">
              <w:rPr>
                <w:szCs w:val="22"/>
              </w:rPr>
              <w:t>Onbekend</w:t>
            </w:r>
          </w:p>
        </w:tc>
        <w:tc>
          <w:tcPr>
            <w:tcW w:w="2126" w:type="dxa"/>
          </w:tcPr>
          <w:p w:rsidR="00760831" w:rsidRPr="00F032E2" w:rsidRDefault="00760831" w:rsidP="00F032E2">
            <w:pPr>
              <w:pStyle w:val="StandaardSV"/>
              <w:jc w:val="right"/>
              <w:rPr>
                <w:szCs w:val="22"/>
              </w:rPr>
            </w:pPr>
            <w:r w:rsidRPr="00F032E2">
              <w:rPr>
                <w:szCs w:val="22"/>
              </w:rPr>
              <w:t>78</w:t>
            </w:r>
          </w:p>
        </w:tc>
      </w:tr>
      <w:tr w:rsidR="00760831" w:rsidRPr="006234A5" w:rsidTr="00F032E2">
        <w:tc>
          <w:tcPr>
            <w:tcW w:w="2518" w:type="dxa"/>
          </w:tcPr>
          <w:p w:rsidR="00760831" w:rsidRPr="00F032E2" w:rsidRDefault="00760831" w:rsidP="00F032E2">
            <w:pPr>
              <w:pStyle w:val="StandaardSV"/>
              <w:jc w:val="left"/>
              <w:rPr>
                <w:szCs w:val="22"/>
              </w:rPr>
            </w:pPr>
            <w:r w:rsidRPr="00F032E2">
              <w:rPr>
                <w:szCs w:val="22"/>
              </w:rPr>
              <w:t>Pluimvee</w:t>
            </w:r>
          </w:p>
        </w:tc>
        <w:tc>
          <w:tcPr>
            <w:tcW w:w="2126" w:type="dxa"/>
          </w:tcPr>
          <w:p w:rsidR="00760831" w:rsidRPr="00F032E2" w:rsidRDefault="00760831" w:rsidP="00F032E2">
            <w:pPr>
              <w:pStyle w:val="StandaardSV"/>
              <w:jc w:val="left"/>
              <w:rPr>
                <w:szCs w:val="22"/>
              </w:rPr>
            </w:pPr>
            <w:r w:rsidRPr="00F032E2">
              <w:rPr>
                <w:szCs w:val="22"/>
              </w:rPr>
              <w:t>164.800</w:t>
            </w:r>
          </w:p>
        </w:tc>
      </w:tr>
      <w:tr w:rsidR="00760831" w:rsidRPr="006234A5" w:rsidTr="00F032E2">
        <w:tc>
          <w:tcPr>
            <w:tcW w:w="2518" w:type="dxa"/>
          </w:tcPr>
          <w:p w:rsidR="00760831" w:rsidRPr="00F032E2" w:rsidRDefault="00760831" w:rsidP="00F032E2">
            <w:pPr>
              <w:pStyle w:val="StandaardSV"/>
              <w:ind w:left="360"/>
              <w:jc w:val="right"/>
              <w:rPr>
                <w:szCs w:val="22"/>
              </w:rPr>
            </w:pPr>
            <w:r w:rsidRPr="00F032E2">
              <w:rPr>
                <w:szCs w:val="22"/>
              </w:rPr>
              <w:t>Leghennen</w:t>
            </w:r>
          </w:p>
        </w:tc>
        <w:tc>
          <w:tcPr>
            <w:tcW w:w="2126" w:type="dxa"/>
          </w:tcPr>
          <w:p w:rsidR="00760831" w:rsidRPr="00F032E2" w:rsidRDefault="00760831" w:rsidP="00F032E2">
            <w:pPr>
              <w:pStyle w:val="StandaardSV"/>
              <w:ind w:left="360"/>
              <w:jc w:val="right"/>
              <w:rPr>
                <w:szCs w:val="22"/>
              </w:rPr>
            </w:pPr>
            <w:r w:rsidRPr="00F032E2">
              <w:rPr>
                <w:szCs w:val="22"/>
              </w:rPr>
              <w:t>124.500</w:t>
            </w:r>
          </w:p>
        </w:tc>
      </w:tr>
      <w:tr w:rsidR="00760831" w:rsidRPr="006234A5" w:rsidTr="00F032E2">
        <w:tc>
          <w:tcPr>
            <w:tcW w:w="2518" w:type="dxa"/>
          </w:tcPr>
          <w:p w:rsidR="00760831" w:rsidRPr="00F032E2" w:rsidRDefault="00760831" w:rsidP="00F032E2">
            <w:pPr>
              <w:pStyle w:val="StandaardSV"/>
              <w:ind w:left="360"/>
              <w:jc w:val="right"/>
              <w:rPr>
                <w:szCs w:val="22"/>
              </w:rPr>
            </w:pPr>
            <w:r w:rsidRPr="00F032E2">
              <w:rPr>
                <w:szCs w:val="22"/>
              </w:rPr>
              <w:t>Vleeskippen</w:t>
            </w:r>
          </w:p>
        </w:tc>
        <w:tc>
          <w:tcPr>
            <w:tcW w:w="2126" w:type="dxa"/>
          </w:tcPr>
          <w:p w:rsidR="00760831" w:rsidRPr="00F032E2" w:rsidRDefault="00760831" w:rsidP="00F032E2">
            <w:pPr>
              <w:pStyle w:val="StandaardSV"/>
              <w:ind w:left="360"/>
              <w:jc w:val="right"/>
              <w:rPr>
                <w:szCs w:val="22"/>
              </w:rPr>
            </w:pPr>
            <w:r w:rsidRPr="00F032E2">
              <w:rPr>
                <w:szCs w:val="22"/>
              </w:rPr>
              <w:t>0</w:t>
            </w:r>
          </w:p>
        </w:tc>
      </w:tr>
      <w:tr w:rsidR="00760831" w:rsidRPr="006234A5" w:rsidTr="00F032E2">
        <w:tc>
          <w:tcPr>
            <w:tcW w:w="2518" w:type="dxa"/>
          </w:tcPr>
          <w:p w:rsidR="00760831" w:rsidRPr="00F032E2" w:rsidRDefault="00760831" w:rsidP="00F032E2">
            <w:pPr>
              <w:pStyle w:val="StandaardSV"/>
              <w:ind w:left="360"/>
              <w:jc w:val="right"/>
              <w:rPr>
                <w:szCs w:val="22"/>
              </w:rPr>
            </w:pPr>
            <w:r w:rsidRPr="00F032E2">
              <w:rPr>
                <w:szCs w:val="22"/>
              </w:rPr>
              <w:t>Kuikens</w:t>
            </w:r>
          </w:p>
        </w:tc>
        <w:tc>
          <w:tcPr>
            <w:tcW w:w="2126" w:type="dxa"/>
          </w:tcPr>
          <w:p w:rsidR="00760831" w:rsidRPr="00F032E2" w:rsidRDefault="00760831" w:rsidP="00F032E2">
            <w:pPr>
              <w:pStyle w:val="StandaardSV"/>
              <w:ind w:left="360"/>
              <w:jc w:val="right"/>
              <w:rPr>
                <w:szCs w:val="22"/>
              </w:rPr>
            </w:pPr>
            <w:r w:rsidRPr="00F032E2">
              <w:rPr>
                <w:szCs w:val="22"/>
              </w:rPr>
              <w:t>20.000</w:t>
            </w:r>
          </w:p>
        </w:tc>
      </w:tr>
      <w:tr w:rsidR="00760831" w:rsidRPr="006234A5" w:rsidTr="00F032E2">
        <w:tc>
          <w:tcPr>
            <w:tcW w:w="2518" w:type="dxa"/>
          </w:tcPr>
          <w:p w:rsidR="00760831" w:rsidRPr="00F032E2" w:rsidRDefault="00760831" w:rsidP="00F032E2">
            <w:pPr>
              <w:pStyle w:val="StandaardSV"/>
              <w:ind w:left="360"/>
              <w:jc w:val="right"/>
              <w:rPr>
                <w:szCs w:val="22"/>
              </w:rPr>
            </w:pPr>
            <w:r w:rsidRPr="00F032E2">
              <w:rPr>
                <w:szCs w:val="22"/>
              </w:rPr>
              <w:t>Kalkoenen</w:t>
            </w:r>
          </w:p>
        </w:tc>
        <w:tc>
          <w:tcPr>
            <w:tcW w:w="2126" w:type="dxa"/>
          </w:tcPr>
          <w:p w:rsidR="00760831" w:rsidRPr="00F032E2" w:rsidRDefault="00760831" w:rsidP="00F032E2">
            <w:pPr>
              <w:pStyle w:val="StandaardSV"/>
              <w:ind w:left="360"/>
              <w:jc w:val="right"/>
              <w:rPr>
                <w:szCs w:val="22"/>
              </w:rPr>
            </w:pPr>
            <w:r w:rsidRPr="00F032E2">
              <w:rPr>
                <w:szCs w:val="22"/>
              </w:rPr>
              <w:t>enkele</w:t>
            </w:r>
          </w:p>
        </w:tc>
      </w:tr>
      <w:tr w:rsidR="00760831" w:rsidRPr="006234A5" w:rsidTr="00F032E2">
        <w:tc>
          <w:tcPr>
            <w:tcW w:w="2518" w:type="dxa"/>
          </w:tcPr>
          <w:p w:rsidR="00760831" w:rsidRPr="00F032E2" w:rsidRDefault="00760831" w:rsidP="00F032E2">
            <w:pPr>
              <w:pStyle w:val="StandaardSV"/>
              <w:ind w:left="360"/>
              <w:jc w:val="right"/>
              <w:rPr>
                <w:szCs w:val="22"/>
              </w:rPr>
            </w:pPr>
            <w:r w:rsidRPr="00F032E2">
              <w:rPr>
                <w:szCs w:val="22"/>
              </w:rPr>
              <w:t>Onbekend</w:t>
            </w:r>
          </w:p>
        </w:tc>
        <w:tc>
          <w:tcPr>
            <w:tcW w:w="2126" w:type="dxa"/>
          </w:tcPr>
          <w:p w:rsidR="00760831" w:rsidRPr="00F032E2" w:rsidRDefault="00760831" w:rsidP="00F032E2">
            <w:pPr>
              <w:pStyle w:val="StandaardSV"/>
              <w:ind w:left="360"/>
              <w:jc w:val="right"/>
              <w:rPr>
                <w:szCs w:val="22"/>
              </w:rPr>
            </w:pPr>
            <w:r w:rsidRPr="00F032E2">
              <w:rPr>
                <w:szCs w:val="22"/>
              </w:rPr>
              <w:t>20.300</w:t>
            </w:r>
          </w:p>
        </w:tc>
      </w:tr>
      <w:tr w:rsidR="00760831" w:rsidRPr="006234A5" w:rsidTr="00F032E2">
        <w:tc>
          <w:tcPr>
            <w:tcW w:w="2518" w:type="dxa"/>
          </w:tcPr>
          <w:p w:rsidR="00760831" w:rsidRPr="00F032E2" w:rsidRDefault="00760831" w:rsidP="00F032E2">
            <w:pPr>
              <w:pStyle w:val="StandaardSV"/>
              <w:jc w:val="left"/>
              <w:rPr>
                <w:szCs w:val="22"/>
              </w:rPr>
            </w:pPr>
            <w:r w:rsidRPr="00F032E2">
              <w:rPr>
                <w:szCs w:val="22"/>
              </w:rPr>
              <w:t>Paarden</w:t>
            </w:r>
          </w:p>
        </w:tc>
        <w:tc>
          <w:tcPr>
            <w:tcW w:w="2126" w:type="dxa"/>
          </w:tcPr>
          <w:p w:rsidR="00760831" w:rsidRPr="00F032E2" w:rsidRDefault="00760831" w:rsidP="00F032E2">
            <w:pPr>
              <w:pStyle w:val="StandaardSV"/>
              <w:jc w:val="left"/>
              <w:rPr>
                <w:szCs w:val="22"/>
              </w:rPr>
            </w:pPr>
            <w:r w:rsidRPr="00F032E2">
              <w:rPr>
                <w:szCs w:val="22"/>
              </w:rPr>
              <w:t>8</w:t>
            </w:r>
          </w:p>
        </w:tc>
      </w:tr>
      <w:tr w:rsidR="00760831" w:rsidRPr="006234A5" w:rsidTr="00F032E2">
        <w:tc>
          <w:tcPr>
            <w:tcW w:w="2518" w:type="dxa"/>
          </w:tcPr>
          <w:p w:rsidR="00760831" w:rsidRPr="00F032E2" w:rsidRDefault="00760831" w:rsidP="00F032E2">
            <w:pPr>
              <w:pStyle w:val="StandaardSV"/>
              <w:jc w:val="left"/>
              <w:rPr>
                <w:szCs w:val="22"/>
              </w:rPr>
            </w:pPr>
            <w:r w:rsidRPr="00F032E2">
              <w:rPr>
                <w:szCs w:val="22"/>
              </w:rPr>
              <w:t>Konijnen</w:t>
            </w:r>
          </w:p>
        </w:tc>
        <w:tc>
          <w:tcPr>
            <w:tcW w:w="2126" w:type="dxa"/>
          </w:tcPr>
          <w:p w:rsidR="00760831" w:rsidRPr="00F032E2" w:rsidRDefault="00760831" w:rsidP="00F032E2">
            <w:pPr>
              <w:pStyle w:val="StandaardSV"/>
              <w:jc w:val="left"/>
              <w:rPr>
                <w:szCs w:val="22"/>
              </w:rPr>
            </w:pPr>
            <w:r w:rsidRPr="00F032E2">
              <w:rPr>
                <w:szCs w:val="22"/>
              </w:rPr>
              <w:t>enkele</w:t>
            </w:r>
          </w:p>
        </w:tc>
      </w:tr>
      <w:tr w:rsidR="00760831" w:rsidRPr="006234A5" w:rsidTr="00F032E2">
        <w:tc>
          <w:tcPr>
            <w:tcW w:w="2518" w:type="dxa"/>
          </w:tcPr>
          <w:p w:rsidR="00760831" w:rsidRPr="00F032E2" w:rsidRDefault="00760831" w:rsidP="00F032E2">
            <w:pPr>
              <w:pStyle w:val="StandaardSV"/>
              <w:jc w:val="left"/>
              <w:rPr>
                <w:szCs w:val="22"/>
              </w:rPr>
            </w:pPr>
            <w:r w:rsidRPr="00F032E2">
              <w:rPr>
                <w:szCs w:val="22"/>
              </w:rPr>
              <w:t>Geiten</w:t>
            </w:r>
          </w:p>
        </w:tc>
        <w:tc>
          <w:tcPr>
            <w:tcW w:w="2126" w:type="dxa"/>
          </w:tcPr>
          <w:p w:rsidR="00760831" w:rsidRPr="00F032E2" w:rsidRDefault="00760831" w:rsidP="00F032E2">
            <w:pPr>
              <w:pStyle w:val="StandaardSV"/>
              <w:jc w:val="left"/>
              <w:rPr>
                <w:szCs w:val="22"/>
              </w:rPr>
            </w:pPr>
            <w:r w:rsidRPr="00F032E2">
              <w:rPr>
                <w:szCs w:val="22"/>
              </w:rPr>
              <w:t>7</w:t>
            </w:r>
          </w:p>
        </w:tc>
      </w:tr>
      <w:tr w:rsidR="00760831" w:rsidRPr="006234A5" w:rsidTr="00F032E2">
        <w:tc>
          <w:tcPr>
            <w:tcW w:w="2518" w:type="dxa"/>
          </w:tcPr>
          <w:p w:rsidR="00760831" w:rsidRPr="00F032E2" w:rsidRDefault="00760831" w:rsidP="00F032E2">
            <w:pPr>
              <w:pStyle w:val="StandaardSV"/>
              <w:jc w:val="left"/>
              <w:rPr>
                <w:szCs w:val="22"/>
              </w:rPr>
            </w:pPr>
            <w:r w:rsidRPr="00F032E2">
              <w:rPr>
                <w:szCs w:val="22"/>
              </w:rPr>
              <w:t>TOTAAL</w:t>
            </w:r>
          </w:p>
        </w:tc>
        <w:tc>
          <w:tcPr>
            <w:tcW w:w="2126" w:type="dxa"/>
          </w:tcPr>
          <w:p w:rsidR="00760831" w:rsidRPr="00F032E2" w:rsidRDefault="00760831" w:rsidP="00F032E2">
            <w:pPr>
              <w:pStyle w:val="StandaardSV"/>
              <w:jc w:val="left"/>
              <w:rPr>
                <w:szCs w:val="22"/>
              </w:rPr>
            </w:pPr>
            <w:r w:rsidRPr="00F032E2">
              <w:rPr>
                <w:szCs w:val="22"/>
              </w:rPr>
              <w:t>192.862</w:t>
            </w:r>
          </w:p>
        </w:tc>
      </w:tr>
    </w:tbl>
    <w:p w:rsidR="00760831" w:rsidRPr="006234A5" w:rsidRDefault="00760831" w:rsidP="008F6DED">
      <w:pPr>
        <w:pStyle w:val="StandaardSV"/>
        <w:rPr>
          <w:szCs w:val="22"/>
          <w:lang w:eastAsia="nl-BE"/>
        </w:rPr>
      </w:pPr>
    </w:p>
    <w:p w:rsidR="00760831" w:rsidRPr="006234A5" w:rsidRDefault="00760831" w:rsidP="006234A5">
      <w:pPr>
        <w:pStyle w:val="StandaardSV"/>
        <w:numPr>
          <w:ilvl w:val="0"/>
          <w:numId w:val="30"/>
        </w:numPr>
        <w:rPr>
          <w:szCs w:val="22"/>
        </w:rPr>
      </w:pPr>
      <w:r w:rsidRPr="006234A5">
        <w:rPr>
          <w:szCs w:val="22"/>
        </w:rPr>
        <w:t>Stalbranden nemen ongeveer 4% van alle branden voor hun rekening.</w:t>
      </w:r>
    </w:p>
    <w:p w:rsidR="00760831" w:rsidRPr="006234A5" w:rsidRDefault="00760831" w:rsidP="006234A5">
      <w:pPr>
        <w:ind w:left="360"/>
        <w:jc w:val="both"/>
        <w:rPr>
          <w:sz w:val="22"/>
          <w:szCs w:val="22"/>
        </w:rPr>
      </w:pPr>
      <w:r w:rsidRPr="006234A5">
        <w:rPr>
          <w:sz w:val="22"/>
          <w:szCs w:val="22"/>
        </w:rPr>
        <w:t xml:space="preserve">De oorzaak van een stalbrand kan gevonden worden in: </w:t>
      </w:r>
    </w:p>
    <w:p w:rsidR="00760831" w:rsidRPr="006234A5" w:rsidRDefault="00760831" w:rsidP="006234A5">
      <w:pPr>
        <w:ind w:left="360" w:firstLine="360"/>
        <w:jc w:val="both"/>
        <w:rPr>
          <w:sz w:val="22"/>
          <w:szCs w:val="22"/>
        </w:rPr>
      </w:pPr>
      <w:r w:rsidRPr="006234A5">
        <w:rPr>
          <w:sz w:val="22"/>
          <w:szCs w:val="22"/>
        </w:rPr>
        <w:t>Elektriciteit: 30 %</w:t>
      </w:r>
    </w:p>
    <w:p w:rsidR="00760831" w:rsidRPr="006234A5" w:rsidRDefault="00760831" w:rsidP="006234A5">
      <w:pPr>
        <w:ind w:left="360" w:firstLine="360"/>
        <w:jc w:val="both"/>
        <w:rPr>
          <w:sz w:val="22"/>
          <w:szCs w:val="22"/>
        </w:rPr>
      </w:pPr>
      <w:r w:rsidRPr="006234A5">
        <w:rPr>
          <w:sz w:val="22"/>
          <w:szCs w:val="22"/>
        </w:rPr>
        <w:t>Oververhitting van tractoren, machines en toestellen: 17,9%</w:t>
      </w:r>
    </w:p>
    <w:p w:rsidR="00760831" w:rsidRPr="006234A5" w:rsidRDefault="00760831" w:rsidP="006234A5">
      <w:pPr>
        <w:ind w:left="360" w:firstLine="360"/>
        <w:jc w:val="both"/>
        <w:rPr>
          <w:sz w:val="22"/>
          <w:szCs w:val="22"/>
        </w:rPr>
      </w:pPr>
      <w:r w:rsidRPr="006234A5">
        <w:rPr>
          <w:sz w:val="22"/>
          <w:szCs w:val="22"/>
        </w:rPr>
        <w:t>Kortsluiting in machines en tractoren: 13,5%</w:t>
      </w:r>
    </w:p>
    <w:p w:rsidR="00760831" w:rsidRPr="006234A5" w:rsidRDefault="00760831" w:rsidP="006234A5">
      <w:pPr>
        <w:ind w:left="360" w:firstLine="360"/>
        <w:jc w:val="both"/>
        <w:rPr>
          <w:sz w:val="22"/>
          <w:szCs w:val="22"/>
        </w:rPr>
      </w:pPr>
      <w:r w:rsidRPr="006234A5">
        <w:rPr>
          <w:sz w:val="22"/>
          <w:szCs w:val="22"/>
        </w:rPr>
        <w:t>Brandstichting: 8,0%</w:t>
      </w:r>
    </w:p>
    <w:p w:rsidR="00760831" w:rsidRPr="006234A5" w:rsidRDefault="00760831" w:rsidP="006234A5">
      <w:pPr>
        <w:ind w:left="360" w:firstLine="360"/>
        <w:jc w:val="both"/>
        <w:rPr>
          <w:sz w:val="22"/>
          <w:szCs w:val="22"/>
        </w:rPr>
      </w:pPr>
      <w:r w:rsidRPr="006234A5">
        <w:rPr>
          <w:sz w:val="22"/>
          <w:szCs w:val="22"/>
        </w:rPr>
        <w:t>Verbranden van afval 8,18%</w:t>
      </w:r>
    </w:p>
    <w:p w:rsidR="00760831" w:rsidRPr="006234A5" w:rsidRDefault="00760831" w:rsidP="006234A5">
      <w:pPr>
        <w:ind w:left="360" w:firstLine="360"/>
        <w:jc w:val="both"/>
        <w:rPr>
          <w:sz w:val="22"/>
          <w:szCs w:val="22"/>
        </w:rPr>
      </w:pPr>
      <w:r w:rsidRPr="006234A5">
        <w:rPr>
          <w:sz w:val="22"/>
          <w:szCs w:val="22"/>
        </w:rPr>
        <w:t>Andere</w:t>
      </w:r>
    </w:p>
    <w:p w:rsidR="00760831" w:rsidRPr="006234A5" w:rsidRDefault="00760831" w:rsidP="008F6DED">
      <w:pPr>
        <w:pStyle w:val="StandaardSV"/>
        <w:rPr>
          <w:noProof/>
          <w:szCs w:val="22"/>
        </w:rPr>
      </w:pPr>
    </w:p>
    <w:p w:rsidR="00760831" w:rsidRPr="006234A5" w:rsidRDefault="00760831" w:rsidP="006234A5">
      <w:pPr>
        <w:pStyle w:val="StandaardSV"/>
        <w:numPr>
          <w:ilvl w:val="0"/>
          <w:numId w:val="30"/>
        </w:numPr>
        <w:rPr>
          <w:szCs w:val="22"/>
        </w:rPr>
      </w:pPr>
      <w:r w:rsidRPr="006234A5">
        <w:rPr>
          <w:szCs w:val="22"/>
        </w:rPr>
        <w:t>Stalbranden vinden hun oorzaak in verschillende bronnen, maar elektriciteit is veruit de belan</w:t>
      </w:r>
      <w:r w:rsidRPr="006234A5">
        <w:rPr>
          <w:szCs w:val="22"/>
        </w:rPr>
        <w:t>g</w:t>
      </w:r>
      <w:r w:rsidRPr="006234A5">
        <w:rPr>
          <w:szCs w:val="22"/>
        </w:rPr>
        <w:t>rijkste met een totaal aandeel van 30%. 23% hiervan is te wijten aan defecten of problemen met elektrische machines zoals motoren (23%) en elektrische verwarmingstoestellen (22%). Probl</w:t>
      </w:r>
      <w:r w:rsidRPr="006234A5">
        <w:rPr>
          <w:szCs w:val="22"/>
        </w:rPr>
        <w:t>e</w:t>
      </w:r>
      <w:r w:rsidRPr="006234A5">
        <w:rPr>
          <w:szCs w:val="22"/>
        </w:rPr>
        <w:t>men met elektrische toestellen (14%), verlichting (5%) en statische elektriciteit en bliksem vervo</w:t>
      </w:r>
      <w:r w:rsidRPr="006234A5">
        <w:rPr>
          <w:szCs w:val="22"/>
        </w:rPr>
        <w:t>l</w:t>
      </w:r>
      <w:r w:rsidRPr="006234A5">
        <w:rPr>
          <w:szCs w:val="22"/>
        </w:rPr>
        <w:t>ledigen het oorzakenlijstje (6%).</w:t>
      </w:r>
    </w:p>
    <w:p w:rsidR="00760831" w:rsidRPr="006234A5" w:rsidRDefault="00760831" w:rsidP="006234A5">
      <w:pPr>
        <w:ind w:left="360"/>
        <w:jc w:val="both"/>
        <w:rPr>
          <w:sz w:val="22"/>
          <w:szCs w:val="22"/>
        </w:rPr>
      </w:pPr>
      <w:r w:rsidRPr="006234A5">
        <w:rPr>
          <w:sz w:val="22"/>
          <w:szCs w:val="22"/>
        </w:rPr>
        <w:t>Hieruit blijkt het belang van de wettelijk verplichte 5-jaarlijkse keuring van de elektrische install</w:t>
      </w:r>
      <w:r w:rsidRPr="006234A5">
        <w:rPr>
          <w:sz w:val="22"/>
          <w:szCs w:val="22"/>
        </w:rPr>
        <w:t>a</w:t>
      </w:r>
      <w:r w:rsidRPr="006234A5">
        <w:rPr>
          <w:sz w:val="22"/>
          <w:szCs w:val="22"/>
        </w:rPr>
        <w:t xml:space="preserve">tie op het bedrijf. </w:t>
      </w:r>
    </w:p>
    <w:p w:rsidR="00760831" w:rsidRPr="006234A5" w:rsidRDefault="00760831" w:rsidP="008F6DED">
      <w:pPr>
        <w:pStyle w:val="StandaardSV"/>
        <w:rPr>
          <w:noProof/>
          <w:szCs w:val="22"/>
        </w:rPr>
      </w:pPr>
    </w:p>
    <w:p w:rsidR="00760831" w:rsidRPr="006234A5" w:rsidRDefault="00760831" w:rsidP="006234A5">
      <w:pPr>
        <w:pStyle w:val="StandaardSV"/>
        <w:numPr>
          <w:ilvl w:val="0"/>
          <w:numId w:val="30"/>
        </w:numPr>
        <w:rPr>
          <w:szCs w:val="22"/>
        </w:rPr>
      </w:pPr>
      <w:r w:rsidRPr="006234A5">
        <w:rPr>
          <w:szCs w:val="22"/>
        </w:rPr>
        <w:t>Het KB van 19/12/97 regelt de brandveiligheid van gebouwen. Sinds 2009 is er een bijlage 6 aan toegevoegd die de brandveiligheid van industriële gebouwen regelt, waaronder gebouwen die di</w:t>
      </w:r>
      <w:r w:rsidRPr="006234A5">
        <w:rPr>
          <w:szCs w:val="22"/>
        </w:rPr>
        <w:t>e</w:t>
      </w:r>
      <w:r w:rsidRPr="006234A5">
        <w:rPr>
          <w:szCs w:val="22"/>
        </w:rPr>
        <w:t>nen voor het bedrijfsmatig houden van dieren. Deze bijlage geldt voor nieuwbouwstallen en heeft belangrijke gevolgen op het vlak van materialen, maximale grootte en te nemen brandveiligheid</w:t>
      </w:r>
      <w:r w:rsidRPr="006234A5">
        <w:rPr>
          <w:szCs w:val="22"/>
        </w:rPr>
        <w:t>s</w:t>
      </w:r>
      <w:r w:rsidRPr="006234A5">
        <w:rPr>
          <w:szCs w:val="22"/>
        </w:rPr>
        <w:t>maatregelen. Ze vormt ook de leidraad voor het advies van de brandweer dat vereist is vooraleer een stedenbouwkundige vergunning kan worden bekomen.</w:t>
      </w:r>
    </w:p>
    <w:p w:rsidR="00760831" w:rsidRPr="006234A5" w:rsidRDefault="00760831" w:rsidP="006234A5">
      <w:pPr>
        <w:ind w:left="360"/>
        <w:jc w:val="both"/>
        <w:rPr>
          <w:sz w:val="22"/>
          <w:szCs w:val="22"/>
          <w:u w:val="single"/>
        </w:rPr>
      </w:pPr>
    </w:p>
    <w:p w:rsidR="00760831" w:rsidRPr="006234A5" w:rsidRDefault="00760831" w:rsidP="006234A5">
      <w:pPr>
        <w:ind w:left="360"/>
        <w:jc w:val="both"/>
        <w:rPr>
          <w:sz w:val="22"/>
          <w:szCs w:val="22"/>
          <w:u w:val="single"/>
        </w:rPr>
      </w:pPr>
      <w:r w:rsidRPr="006234A5">
        <w:rPr>
          <w:sz w:val="22"/>
          <w:szCs w:val="22"/>
          <w:u w:val="single"/>
        </w:rPr>
        <w:t xml:space="preserve">Toepassingsgebied: </w:t>
      </w:r>
    </w:p>
    <w:p w:rsidR="00760831" w:rsidRPr="006234A5" w:rsidRDefault="00760831" w:rsidP="006234A5">
      <w:pPr>
        <w:ind w:left="360"/>
        <w:jc w:val="both"/>
        <w:rPr>
          <w:sz w:val="22"/>
          <w:szCs w:val="22"/>
        </w:rPr>
      </w:pPr>
      <w:r w:rsidRPr="006234A5">
        <w:rPr>
          <w:sz w:val="22"/>
          <w:szCs w:val="22"/>
        </w:rPr>
        <w:t>Nieuwe industriële gebouwen én uitbreiding van bestaande industriële gebouwen.</w:t>
      </w: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aanvraag tot stedenbouwkundige vergunning ingediend 1 maand na de inwerkingtreding van bijlage 6: 15/8/2009</w:t>
      </w: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bestaande gebouwen vallen niet in het toepassingsdomein</w:t>
      </w:r>
    </w:p>
    <w:p w:rsidR="00760831" w:rsidRPr="006234A5" w:rsidRDefault="00760831" w:rsidP="006234A5">
      <w:pPr>
        <w:ind w:left="360"/>
        <w:jc w:val="both"/>
        <w:rPr>
          <w:sz w:val="22"/>
          <w:szCs w:val="22"/>
          <w:u w:val="single"/>
        </w:rPr>
      </w:pPr>
    </w:p>
    <w:p w:rsidR="00760831" w:rsidRPr="006234A5" w:rsidRDefault="00760831" w:rsidP="006234A5">
      <w:pPr>
        <w:ind w:left="360"/>
        <w:jc w:val="both"/>
        <w:rPr>
          <w:sz w:val="22"/>
          <w:szCs w:val="22"/>
        </w:rPr>
      </w:pPr>
      <w:r w:rsidRPr="006234A5">
        <w:rPr>
          <w:sz w:val="22"/>
          <w:szCs w:val="22"/>
          <w:u w:val="single"/>
        </w:rPr>
        <w:t>Doelstelling:</w:t>
      </w:r>
    </w:p>
    <w:p w:rsidR="00760831" w:rsidRPr="006234A5" w:rsidRDefault="00760831" w:rsidP="006234A5">
      <w:pPr>
        <w:ind w:left="360"/>
        <w:jc w:val="both"/>
        <w:rPr>
          <w:sz w:val="22"/>
          <w:szCs w:val="22"/>
        </w:rPr>
      </w:pPr>
      <w:r w:rsidRPr="006234A5">
        <w:rPr>
          <w:sz w:val="22"/>
          <w:szCs w:val="22"/>
        </w:rPr>
        <w:t>Om de ontwikkeling en verspreiding van brand en rook in het getroffen compartiment te beperken, moet een brand zo vroeg mogelijk en bij de eerste betrouwbare aanwijzing worden gedetecteerd. Hierdoor kunnen verschillende acties worden ingeleid zoals :</w:t>
      </w:r>
    </w:p>
    <w:p w:rsidR="00760831" w:rsidRPr="006234A5" w:rsidRDefault="00760831" w:rsidP="006234A5">
      <w:pPr>
        <w:ind w:left="360"/>
        <w:jc w:val="both"/>
        <w:rPr>
          <w:sz w:val="22"/>
          <w:szCs w:val="22"/>
        </w:rPr>
      </w:pP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de evacuatie van het industriegebouw</w:t>
      </w: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het melden van de brand aan de brandweer</w:t>
      </w: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het waarschuwen van de organisatorisch daarbij betrokken personen</w:t>
      </w: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het automatisch in werking stellen van actieve brandbeveiligingsinstallaties.</w:t>
      </w:r>
    </w:p>
    <w:p w:rsidR="00760831" w:rsidRPr="006234A5" w:rsidRDefault="00760831" w:rsidP="006234A5">
      <w:pPr>
        <w:ind w:left="360"/>
        <w:jc w:val="both"/>
        <w:rPr>
          <w:sz w:val="22"/>
          <w:szCs w:val="22"/>
        </w:rPr>
      </w:pPr>
      <w:r w:rsidRPr="006234A5">
        <w:rPr>
          <w:sz w:val="22"/>
          <w:szCs w:val="22"/>
        </w:rPr>
        <w:t>De industriële gebouwen moeten uitgerust zijn met een automatische branddetectie installatie van het type algemene bewaking. Uitzonderingen zijn de  gebouwen van klasse A met een oppervlakte (S)</w:t>
      </w:r>
      <w:bookmarkStart w:id="0" w:name="_GoBack"/>
      <w:bookmarkEnd w:id="0"/>
      <w:r w:rsidRPr="006234A5">
        <w:rPr>
          <w:sz w:val="22"/>
          <w:szCs w:val="22"/>
        </w:rPr>
        <w:t xml:space="preserve"> ≤2000m² waar een branddetectie-installatie met handbediende brandmelders volstaat. Deze i</w:t>
      </w:r>
      <w:r w:rsidRPr="006234A5">
        <w:rPr>
          <w:sz w:val="22"/>
          <w:szCs w:val="22"/>
        </w:rPr>
        <w:t>n</w:t>
      </w:r>
      <w:r w:rsidRPr="006234A5">
        <w:rPr>
          <w:sz w:val="22"/>
          <w:szCs w:val="22"/>
        </w:rPr>
        <w:t>stallatie dient tijdens het in werking stellen gecontroleerd te worden door een geaccrediteerd co</w:t>
      </w:r>
      <w:r w:rsidRPr="006234A5">
        <w:rPr>
          <w:sz w:val="22"/>
          <w:szCs w:val="22"/>
        </w:rPr>
        <w:t>n</w:t>
      </w:r>
      <w:r w:rsidRPr="006234A5">
        <w:rPr>
          <w:sz w:val="22"/>
          <w:szCs w:val="22"/>
        </w:rPr>
        <w:t>trole-organisme. Daarna dient dit 3-jaarlijks te gebeuren.</w:t>
      </w:r>
    </w:p>
    <w:p w:rsidR="00760831" w:rsidRPr="006234A5" w:rsidRDefault="00760831" w:rsidP="006234A5">
      <w:pPr>
        <w:ind w:left="360"/>
        <w:jc w:val="both"/>
        <w:rPr>
          <w:sz w:val="22"/>
          <w:szCs w:val="22"/>
          <w:u w:val="single"/>
        </w:rPr>
      </w:pPr>
    </w:p>
    <w:p w:rsidR="00760831" w:rsidRPr="006234A5" w:rsidRDefault="00760831" w:rsidP="006234A5">
      <w:pPr>
        <w:ind w:left="360"/>
        <w:jc w:val="both"/>
        <w:rPr>
          <w:sz w:val="22"/>
          <w:szCs w:val="22"/>
          <w:u w:val="single"/>
        </w:rPr>
      </w:pPr>
      <w:r w:rsidRPr="006234A5">
        <w:rPr>
          <w:sz w:val="22"/>
          <w:szCs w:val="22"/>
          <w:u w:val="single"/>
        </w:rPr>
        <w:t>Rook- en warmteafvoerinstallatie (RWA):</w:t>
      </w:r>
    </w:p>
    <w:p w:rsidR="00760831" w:rsidRPr="006234A5" w:rsidRDefault="00760831" w:rsidP="006234A5">
      <w:pPr>
        <w:ind w:left="360"/>
        <w:jc w:val="both"/>
        <w:rPr>
          <w:sz w:val="22"/>
          <w:szCs w:val="22"/>
        </w:rPr>
      </w:pPr>
      <w:r w:rsidRPr="006234A5">
        <w:rPr>
          <w:sz w:val="22"/>
          <w:szCs w:val="22"/>
        </w:rPr>
        <w:t>Om de ontwikkeling en verspreiding van brand en rook te beperken moeten de industriegebouwen uitgerust zijn met een RWA installatie. Uitzonderingen zijn:</w:t>
      </w:r>
    </w:p>
    <w:p w:rsidR="00760831" w:rsidRPr="006234A5" w:rsidRDefault="00760831" w:rsidP="006234A5">
      <w:pPr>
        <w:ind w:left="360"/>
        <w:jc w:val="both"/>
        <w:rPr>
          <w:sz w:val="22"/>
          <w:szCs w:val="22"/>
        </w:rPr>
      </w:pP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 xml:space="preserve">klasse A compartiment met S ≤ </w:t>
      </w:r>
      <w:smartTag w:uri="urn:schemas-microsoft-com:office:smarttags" w:element="metricconverter">
        <w:smartTagPr>
          <w:attr w:name="ProductID" w:val="500 m²"/>
        </w:smartTagPr>
        <w:r w:rsidRPr="006234A5">
          <w:rPr>
            <w:sz w:val="22"/>
            <w:szCs w:val="22"/>
          </w:rPr>
          <w:t>10000 m²</w:t>
        </w:r>
      </w:smartTag>
    </w:p>
    <w:p w:rsidR="00760831" w:rsidRPr="006234A5" w:rsidRDefault="00760831" w:rsidP="006234A5">
      <w:pPr>
        <w:pStyle w:val="ListParagraph"/>
        <w:ind w:left="720"/>
        <w:jc w:val="both"/>
        <w:rPr>
          <w:sz w:val="22"/>
          <w:szCs w:val="22"/>
        </w:rPr>
      </w:pPr>
    </w:p>
    <w:p w:rsidR="00760831" w:rsidRPr="006234A5" w:rsidRDefault="00760831" w:rsidP="006234A5">
      <w:pPr>
        <w:pStyle w:val="ListParagraph"/>
        <w:numPr>
          <w:ilvl w:val="0"/>
          <w:numId w:val="31"/>
        </w:numPr>
        <w:spacing w:after="200" w:line="276" w:lineRule="auto"/>
        <w:ind w:left="720"/>
        <w:contextualSpacing/>
        <w:jc w:val="both"/>
        <w:rPr>
          <w:sz w:val="22"/>
          <w:szCs w:val="22"/>
        </w:rPr>
      </w:pPr>
      <w:r w:rsidRPr="006234A5">
        <w:rPr>
          <w:sz w:val="22"/>
          <w:szCs w:val="22"/>
        </w:rPr>
        <w:t xml:space="preserve">klasse B compartiment met S ≤ </w:t>
      </w:r>
      <w:smartTag w:uri="urn:schemas-microsoft-com:office:smarttags" w:element="metricconverter">
        <w:smartTagPr>
          <w:attr w:name="ProductID" w:val="500 m²"/>
        </w:smartTagPr>
        <w:r w:rsidRPr="006234A5">
          <w:rPr>
            <w:sz w:val="22"/>
            <w:szCs w:val="22"/>
          </w:rPr>
          <w:t>500 m²</w:t>
        </w:r>
      </w:smartTag>
    </w:p>
    <w:p w:rsidR="00760831" w:rsidRPr="006234A5" w:rsidRDefault="00760831" w:rsidP="006234A5">
      <w:pPr>
        <w:pStyle w:val="ListParagraph"/>
        <w:ind w:left="720"/>
        <w:jc w:val="both"/>
        <w:rPr>
          <w:sz w:val="22"/>
          <w:szCs w:val="22"/>
        </w:rPr>
      </w:pPr>
    </w:p>
    <w:p w:rsidR="00760831" w:rsidRPr="006234A5" w:rsidRDefault="00760831" w:rsidP="0070452B">
      <w:pPr>
        <w:pStyle w:val="ListParagraph"/>
        <w:numPr>
          <w:ilvl w:val="0"/>
          <w:numId w:val="31"/>
        </w:numPr>
        <w:spacing w:line="276" w:lineRule="auto"/>
        <w:ind w:left="714" w:hanging="357"/>
        <w:contextualSpacing/>
        <w:jc w:val="both"/>
        <w:rPr>
          <w:sz w:val="22"/>
          <w:szCs w:val="22"/>
        </w:rPr>
      </w:pPr>
      <w:r w:rsidRPr="006234A5">
        <w:rPr>
          <w:sz w:val="22"/>
          <w:szCs w:val="22"/>
        </w:rPr>
        <w:t>compartimenten uitgerust met een blusinstallatie van waterdam of van gas of een ESFR insta</w:t>
      </w:r>
      <w:r w:rsidRPr="006234A5">
        <w:rPr>
          <w:sz w:val="22"/>
          <w:szCs w:val="22"/>
        </w:rPr>
        <w:t>l</w:t>
      </w:r>
      <w:r w:rsidRPr="006234A5">
        <w:rPr>
          <w:sz w:val="22"/>
          <w:szCs w:val="22"/>
        </w:rPr>
        <w:t>latie</w:t>
      </w:r>
    </w:p>
    <w:p w:rsidR="00760831" w:rsidRPr="006234A5" w:rsidRDefault="00760831" w:rsidP="006234A5">
      <w:pPr>
        <w:ind w:left="360"/>
        <w:jc w:val="both"/>
        <w:rPr>
          <w:sz w:val="22"/>
          <w:szCs w:val="22"/>
        </w:rPr>
      </w:pPr>
    </w:p>
    <w:p w:rsidR="00760831" w:rsidRPr="006234A5" w:rsidRDefault="00760831" w:rsidP="006234A5">
      <w:pPr>
        <w:ind w:left="360"/>
        <w:jc w:val="both"/>
        <w:rPr>
          <w:sz w:val="22"/>
          <w:szCs w:val="22"/>
          <w:u w:val="single"/>
        </w:rPr>
      </w:pPr>
      <w:r w:rsidRPr="006234A5">
        <w:rPr>
          <w:sz w:val="22"/>
          <w:szCs w:val="22"/>
          <w:u w:val="single"/>
        </w:rPr>
        <w:t>Automatische blusinstallatie:</w:t>
      </w:r>
    </w:p>
    <w:p w:rsidR="00760831" w:rsidRPr="006234A5" w:rsidRDefault="00760831" w:rsidP="006234A5">
      <w:pPr>
        <w:ind w:left="360"/>
        <w:jc w:val="both"/>
        <w:rPr>
          <w:sz w:val="22"/>
          <w:szCs w:val="22"/>
        </w:rPr>
      </w:pPr>
      <w:r w:rsidRPr="006234A5">
        <w:rPr>
          <w:sz w:val="22"/>
          <w:szCs w:val="22"/>
        </w:rPr>
        <w:t>De industriële gebouwen of compartimenten kunnen uitgerust zijn met een algemene automatische blusinstallatie. Deze installatie dient tijdens het in werking stellen gecontroleerd te worden door een geaccrediteerd controle-organisme. Daarna dient dit om de 6 maanden te gebeuren.</w:t>
      </w:r>
    </w:p>
    <w:p w:rsidR="00760831" w:rsidRPr="006234A5" w:rsidRDefault="00760831" w:rsidP="006234A5">
      <w:pPr>
        <w:ind w:left="360"/>
        <w:jc w:val="both"/>
        <w:rPr>
          <w:sz w:val="22"/>
          <w:szCs w:val="22"/>
          <w:u w:val="single"/>
        </w:rPr>
      </w:pPr>
    </w:p>
    <w:p w:rsidR="00760831" w:rsidRPr="006234A5" w:rsidRDefault="00760831" w:rsidP="006234A5">
      <w:pPr>
        <w:ind w:left="360"/>
        <w:jc w:val="both"/>
        <w:rPr>
          <w:sz w:val="22"/>
          <w:szCs w:val="22"/>
          <w:u w:val="single"/>
        </w:rPr>
      </w:pPr>
      <w:r w:rsidRPr="006234A5">
        <w:rPr>
          <w:sz w:val="22"/>
          <w:szCs w:val="22"/>
          <w:u w:val="single"/>
        </w:rPr>
        <w:t>Doormelding van de brand:</w:t>
      </w:r>
    </w:p>
    <w:p w:rsidR="00760831" w:rsidRPr="006234A5" w:rsidRDefault="00760831" w:rsidP="006234A5">
      <w:pPr>
        <w:ind w:left="360"/>
        <w:jc w:val="both"/>
        <w:rPr>
          <w:sz w:val="22"/>
          <w:szCs w:val="22"/>
        </w:rPr>
      </w:pPr>
      <w:r w:rsidRPr="006234A5">
        <w:rPr>
          <w:sz w:val="22"/>
          <w:szCs w:val="22"/>
        </w:rPr>
        <w:t>Elk begin van brand wordt aan de territoriaal bevoegde brandweer gemeld. Daartoe staan de sign</w:t>
      </w:r>
      <w:r w:rsidRPr="006234A5">
        <w:rPr>
          <w:sz w:val="22"/>
          <w:szCs w:val="22"/>
        </w:rPr>
        <w:t>a</w:t>
      </w:r>
      <w:r w:rsidRPr="006234A5">
        <w:rPr>
          <w:sz w:val="22"/>
          <w:szCs w:val="22"/>
        </w:rPr>
        <w:t>len van de branddetectiecentrale en van automatische blusinstallaties doorlopend onder toezicht van een of meerdere bekwame personen en dit lokaal, op afstand of een combinatie van beide. Bij de aankomst op de interventieplaats moet de brandweer in contact kunnen treden met een veran</w:t>
      </w:r>
      <w:r w:rsidRPr="006234A5">
        <w:rPr>
          <w:sz w:val="22"/>
          <w:szCs w:val="22"/>
        </w:rPr>
        <w:t>t</w:t>
      </w:r>
      <w:r w:rsidRPr="006234A5">
        <w:rPr>
          <w:sz w:val="22"/>
          <w:szCs w:val="22"/>
        </w:rPr>
        <w:t>woordelijke van het industriegebouw.</w:t>
      </w:r>
    </w:p>
    <w:p w:rsidR="00760831" w:rsidRPr="006234A5" w:rsidRDefault="00760831" w:rsidP="006234A5">
      <w:pPr>
        <w:ind w:left="360"/>
        <w:jc w:val="both"/>
        <w:rPr>
          <w:sz w:val="22"/>
          <w:szCs w:val="22"/>
        </w:rPr>
      </w:pPr>
    </w:p>
    <w:p w:rsidR="00760831" w:rsidRPr="006234A5" w:rsidRDefault="00760831" w:rsidP="006234A5">
      <w:pPr>
        <w:ind w:left="360"/>
        <w:jc w:val="both"/>
        <w:rPr>
          <w:sz w:val="22"/>
          <w:szCs w:val="22"/>
          <w:u w:val="single"/>
        </w:rPr>
      </w:pPr>
      <w:r w:rsidRPr="006234A5">
        <w:rPr>
          <w:sz w:val="22"/>
          <w:szCs w:val="22"/>
          <w:u w:val="single"/>
        </w:rPr>
        <w:t xml:space="preserve">Besluit: </w:t>
      </w:r>
    </w:p>
    <w:p w:rsidR="00760831" w:rsidRPr="006234A5" w:rsidRDefault="00760831" w:rsidP="006234A5">
      <w:pPr>
        <w:ind w:left="360"/>
        <w:jc w:val="both"/>
        <w:rPr>
          <w:sz w:val="22"/>
          <w:szCs w:val="22"/>
        </w:rPr>
      </w:pPr>
      <w:r w:rsidRPr="006234A5">
        <w:rPr>
          <w:sz w:val="22"/>
          <w:szCs w:val="22"/>
        </w:rPr>
        <w:t>Aangezien stallen vaak een grote opslag hebben van hooi en zelden uit volledig gesloten compa</w:t>
      </w:r>
      <w:r w:rsidRPr="006234A5">
        <w:rPr>
          <w:sz w:val="22"/>
          <w:szCs w:val="22"/>
        </w:rPr>
        <w:t>r</w:t>
      </w:r>
      <w:r w:rsidRPr="006234A5">
        <w:rPr>
          <w:sz w:val="22"/>
          <w:szCs w:val="22"/>
        </w:rPr>
        <w:t>timenten bestaan, kan men stellen dat de meeste stallen tot klasse C behoren. Doordat deze nieuwe wetgeving niet van toepassing is voor stallen gebouwd voor 15/08/2009 zullen de meeste stallen hoogstwaarschijnlijk niet of onvoldoende aan de vereisten omtrent brandveiligheid in industriële gebouwen voldoen.</w:t>
      </w:r>
    </w:p>
    <w:p w:rsidR="00760831" w:rsidRPr="006234A5" w:rsidRDefault="00760831" w:rsidP="006234A5">
      <w:pPr>
        <w:ind w:left="360"/>
        <w:rPr>
          <w:sz w:val="22"/>
          <w:szCs w:val="22"/>
        </w:rPr>
      </w:pPr>
    </w:p>
    <w:tbl>
      <w:tblPr>
        <w:tblW w:w="928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2"/>
        <w:gridCol w:w="1575"/>
        <w:gridCol w:w="923"/>
        <w:gridCol w:w="1094"/>
        <w:gridCol w:w="1425"/>
        <w:gridCol w:w="1047"/>
        <w:gridCol w:w="1047"/>
        <w:gridCol w:w="1035"/>
      </w:tblGrid>
      <w:tr w:rsidR="00760831" w:rsidRPr="006234A5" w:rsidTr="00F032E2">
        <w:trPr>
          <w:jc w:val="center"/>
        </w:trPr>
        <w:tc>
          <w:tcPr>
            <w:tcW w:w="1142" w:type="dxa"/>
            <w:vMerge w:val="restart"/>
            <w:vAlign w:val="center"/>
          </w:tcPr>
          <w:p w:rsidR="00760831" w:rsidRPr="00F032E2" w:rsidRDefault="00760831" w:rsidP="00F032E2">
            <w:pPr>
              <w:jc w:val="center"/>
              <w:rPr>
                <w:sz w:val="22"/>
                <w:szCs w:val="22"/>
              </w:rPr>
            </w:pPr>
            <w:r w:rsidRPr="00F032E2">
              <w:rPr>
                <w:sz w:val="22"/>
                <w:szCs w:val="22"/>
              </w:rPr>
              <w:t>Klasse</w:t>
            </w:r>
          </w:p>
        </w:tc>
        <w:tc>
          <w:tcPr>
            <w:tcW w:w="2498" w:type="dxa"/>
            <w:gridSpan w:val="2"/>
            <w:vAlign w:val="center"/>
          </w:tcPr>
          <w:p w:rsidR="00760831" w:rsidRPr="00F032E2" w:rsidRDefault="00760831" w:rsidP="00F032E2">
            <w:pPr>
              <w:jc w:val="center"/>
              <w:rPr>
                <w:sz w:val="22"/>
                <w:szCs w:val="22"/>
              </w:rPr>
            </w:pPr>
            <w:r w:rsidRPr="00F032E2">
              <w:rPr>
                <w:sz w:val="22"/>
                <w:szCs w:val="22"/>
              </w:rPr>
              <w:t>Compartiment</w:t>
            </w:r>
          </w:p>
        </w:tc>
        <w:tc>
          <w:tcPr>
            <w:tcW w:w="2519" w:type="dxa"/>
            <w:gridSpan w:val="2"/>
            <w:vAlign w:val="center"/>
          </w:tcPr>
          <w:p w:rsidR="00760831" w:rsidRPr="00F032E2" w:rsidRDefault="00760831" w:rsidP="00F032E2">
            <w:pPr>
              <w:jc w:val="center"/>
              <w:rPr>
                <w:sz w:val="22"/>
                <w:szCs w:val="22"/>
              </w:rPr>
            </w:pPr>
            <w:r w:rsidRPr="00F032E2">
              <w:rPr>
                <w:sz w:val="22"/>
                <w:szCs w:val="22"/>
              </w:rPr>
              <w:t>Structurele elementen</w:t>
            </w:r>
          </w:p>
        </w:tc>
        <w:tc>
          <w:tcPr>
            <w:tcW w:w="3129" w:type="dxa"/>
            <w:gridSpan w:val="3"/>
            <w:vAlign w:val="center"/>
          </w:tcPr>
          <w:p w:rsidR="00760831" w:rsidRPr="00F032E2" w:rsidRDefault="00760831" w:rsidP="00F032E2">
            <w:pPr>
              <w:jc w:val="center"/>
              <w:rPr>
                <w:sz w:val="22"/>
                <w:szCs w:val="22"/>
              </w:rPr>
            </w:pPr>
            <w:r w:rsidRPr="00F032E2">
              <w:rPr>
                <w:sz w:val="22"/>
                <w:szCs w:val="22"/>
              </w:rPr>
              <w:t>Actieve maatregelen</w:t>
            </w:r>
          </w:p>
        </w:tc>
      </w:tr>
      <w:tr w:rsidR="00760831" w:rsidRPr="006234A5" w:rsidTr="00F032E2">
        <w:trPr>
          <w:jc w:val="center"/>
        </w:trPr>
        <w:tc>
          <w:tcPr>
            <w:tcW w:w="1142" w:type="dxa"/>
            <w:vMerge/>
            <w:vAlign w:val="center"/>
          </w:tcPr>
          <w:p w:rsidR="00760831" w:rsidRPr="00F032E2" w:rsidRDefault="00760831" w:rsidP="00F032E2">
            <w:pPr>
              <w:jc w:val="center"/>
              <w:rPr>
                <w:sz w:val="22"/>
                <w:szCs w:val="22"/>
              </w:rPr>
            </w:pPr>
          </w:p>
        </w:tc>
        <w:tc>
          <w:tcPr>
            <w:tcW w:w="1575" w:type="dxa"/>
            <w:vAlign w:val="center"/>
          </w:tcPr>
          <w:p w:rsidR="00760831" w:rsidRPr="00F032E2" w:rsidRDefault="00760831" w:rsidP="00F032E2">
            <w:pPr>
              <w:jc w:val="center"/>
              <w:rPr>
                <w:sz w:val="22"/>
                <w:szCs w:val="22"/>
              </w:rPr>
            </w:pPr>
            <w:r w:rsidRPr="00F032E2">
              <w:rPr>
                <w:sz w:val="22"/>
                <w:szCs w:val="22"/>
              </w:rPr>
              <w:t>Grootte (m²)</w:t>
            </w:r>
          </w:p>
        </w:tc>
        <w:tc>
          <w:tcPr>
            <w:tcW w:w="923" w:type="dxa"/>
            <w:vAlign w:val="center"/>
          </w:tcPr>
          <w:p w:rsidR="00760831" w:rsidRPr="00F032E2" w:rsidRDefault="00760831" w:rsidP="00F032E2">
            <w:pPr>
              <w:jc w:val="center"/>
              <w:rPr>
                <w:sz w:val="22"/>
                <w:szCs w:val="22"/>
              </w:rPr>
            </w:pPr>
            <w:r w:rsidRPr="00F032E2">
              <w:rPr>
                <w:sz w:val="22"/>
                <w:szCs w:val="22"/>
              </w:rPr>
              <w:t>Wand</w:t>
            </w:r>
          </w:p>
        </w:tc>
        <w:tc>
          <w:tcPr>
            <w:tcW w:w="1094" w:type="dxa"/>
            <w:vAlign w:val="center"/>
          </w:tcPr>
          <w:p w:rsidR="00760831" w:rsidRPr="00F032E2" w:rsidRDefault="00760831" w:rsidP="00F032E2">
            <w:pPr>
              <w:jc w:val="center"/>
              <w:rPr>
                <w:sz w:val="22"/>
                <w:szCs w:val="22"/>
              </w:rPr>
            </w:pPr>
            <w:r w:rsidRPr="00F032E2">
              <w:rPr>
                <w:sz w:val="22"/>
                <w:szCs w:val="22"/>
              </w:rPr>
              <w:t>Type I</w:t>
            </w:r>
          </w:p>
        </w:tc>
        <w:tc>
          <w:tcPr>
            <w:tcW w:w="1425" w:type="dxa"/>
            <w:vAlign w:val="center"/>
          </w:tcPr>
          <w:p w:rsidR="00760831" w:rsidRPr="00F032E2" w:rsidRDefault="00760831" w:rsidP="00F032E2">
            <w:pPr>
              <w:jc w:val="center"/>
              <w:rPr>
                <w:sz w:val="22"/>
                <w:szCs w:val="22"/>
              </w:rPr>
            </w:pPr>
            <w:r w:rsidRPr="00F032E2">
              <w:rPr>
                <w:sz w:val="22"/>
                <w:szCs w:val="22"/>
              </w:rPr>
              <w:t>Type II</w:t>
            </w:r>
          </w:p>
        </w:tc>
        <w:tc>
          <w:tcPr>
            <w:tcW w:w="1047" w:type="dxa"/>
            <w:vAlign w:val="center"/>
          </w:tcPr>
          <w:p w:rsidR="00760831" w:rsidRPr="00F032E2" w:rsidRDefault="00760831" w:rsidP="00F032E2">
            <w:pPr>
              <w:jc w:val="center"/>
              <w:rPr>
                <w:sz w:val="22"/>
                <w:szCs w:val="22"/>
              </w:rPr>
            </w:pPr>
            <w:r w:rsidRPr="00F032E2">
              <w:rPr>
                <w:sz w:val="22"/>
                <w:szCs w:val="22"/>
              </w:rPr>
              <w:t>detectie</w:t>
            </w:r>
          </w:p>
        </w:tc>
        <w:tc>
          <w:tcPr>
            <w:tcW w:w="1047" w:type="dxa"/>
            <w:vAlign w:val="center"/>
          </w:tcPr>
          <w:p w:rsidR="00760831" w:rsidRPr="00F032E2" w:rsidRDefault="00760831" w:rsidP="00F032E2">
            <w:pPr>
              <w:jc w:val="center"/>
              <w:rPr>
                <w:sz w:val="22"/>
                <w:szCs w:val="22"/>
              </w:rPr>
            </w:pPr>
            <w:r w:rsidRPr="00F032E2">
              <w:rPr>
                <w:sz w:val="22"/>
                <w:szCs w:val="22"/>
              </w:rPr>
              <w:t>RWA</w:t>
            </w:r>
          </w:p>
        </w:tc>
        <w:tc>
          <w:tcPr>
            <w:tcW w:w="1035" w:type="dxa"/>
            <w:vAlign w:val="center"/>
          </w:tcPr>
          <w:p w:rsidR="00760831" w:rsidRPr="00F032E2" w:rsidRDefault="00760831" w:rsidP="00F032E2">
            <w:pPr>
              <w:jc w:val="center"/>
              <w:rPr>
                <w:sz w:val="22"/>
                <w:szCs w:val="22"/>
              </w:rPr>
            </w:pPr>
            <w:r w:rsidRPr="00F032E2">
              <w:rPr>
                <w:sz w:val="22"/>
                <w:szCs w:val="22"/>
              </w:rPr>
              <w:t>Sprinkler</w:t>
            </w:r>
          </w:p>
        </w:tc>
      </w:tr>
      <w:tr w:rsidR="00760831" w:rsidRPr="006234A5" w:rsidTr="00F032E2">
        <w:trPr>
          <w:jc w:val="center"/>
        </w:trPr>
        <w:tc>
          <w:tcPr>
            <w:tcW w:w="1142" w:type="dxa"/>
            <w:vAlign w:val="center"/>
          </w:tcPr>
          <w:p w:rsidR="00760831" w:rsidRPr="00F032E2" w:rsidRDefault="00760831" w:rsidP="00F032E2">
            <w:pPr>
              <w:jc w:val="center"/>
              <w:rPr>
                <w:sz w:val="22"/>
                <w:szCs w:val="22"/>
              </w:rPr>
            </w:pPr>
            <w:r w:rsidRPr="00F032E2">
              <w:rPr>
                <w:sz w:val="22"/>
                <w:szCs w:val="22"/>
              </w:rPr>
              <w:t>A</w:t>
            </w:r>
          </w:p>
        </w:tc>
        <w:tc>
          <w:tcPr>
            <w:tcW w:w="1575" w:type="dxa"/>
            <w:vMerge w:val="restart"/>
            <w:vAlign w:val="center"/>
          </w:tcPr>
          <w:p w:rsidR="00760831" w:rsidRPr="00F032E2" w:rsidRDefault="00760831" w:rsidP="00F032E2">
            <w:pPr>
              <w:jc w:val="center"/>
              <w:rPr>
                <w:sz w:val="22"/>
                <w:szCs w:val="22"/>
              </w:rPr>
            </w:pPr>
            <w:r w:rsidRPr="00F032E2">
              <w:rPr>
                <w:sz w:val="22"/>
                <w:szCs w:val="22"/>
              </w:rPr>
              <w:t>5700 GJ of</w:t>
            </w:r>
          </w:p>
          <w:p w:rsidR="00760831" w:rsidRPr="00F032E2" w:rsidRDefault="00760831" w:rsidP="00F032E2">
            <w:pPr>
              <w:jc w:val="center"/>
              <w:rPr>
                <w:sz w:val="22"/>
                <w:szCs w:val="22"/>
              </w:rPr>
            </w:pPr>
            <w:r w:rsidRPr="00F032E2">
              <w:rPr>
                <w:sz w:val="22"/>
                <w:szCs w:val="22"/>
              </w:rPr>
              <w:t>34 200 GJ(met sprinkler)</w:t>
            </w:r>
          </w:p>
        </w:tc>
        <w:tc>
          <w:tcPr>
            <w:tcW w:w="923" w:type="dxa"/>
            <w:vAlign w:val="center"/>
          </w:tcPr>
          <w:p w:rsidR="00760831" w:rsidRPr="00F032E2" w:rsidRDefault="00760831" w:rsidP="00F032E2">
            <w:pPr>
              <w:jc w:val="center"/>
              <w:rPr>
                <w:sz w:val="22"/>
                <w:szCs w:val="22"/>
              </w:rPr>
            </w:pPr>
            <w:r w:rsidRPr="00F032E2">
              <w:rPr>
                <w:sz w:val="22"/>
                <w:szCs w:val="22"/>
              </w:rPr>
              <w:t>EI 60</w:t>
            </w:r>
          </w:p>
        </w:tc>
        <w:tc>
          <w:tcPr>
            <w:tcW w:w="1094" w:type="dxa"/>
            <w:vAlign w:val="center"/>
          </w:tcPr>
          <w:p w:rsidR="00760831" w:rsidRPr="00F032E2" w:rsidRDefault="00760831" w:rsidP="00F032E2">
            <w:pPr>
              <w:jc w:val="center"/>
              <w:rPr>
                <w:sz w:val="22"/>
                <w:szCs w:val="22"/>
              </w:rPr>
            </w:pPr>
            <w:r w:rsidRPr="00F032E2">
              <w:rPr>
                <w:sz w:val="22"/>
                <w:szCs w:val="22"/>
              </w:rPr>
              <w:t>R 60</w:t>
            </w:r>
          </w:p>
        </w:tc>
        <w:tc>
          <w:tcPr>
            <w:tcW w:w="1425" w:type="dxa"/>
            <w:vMerge w:val="restart"/>
            <w:vAlign w:val="center"/>
          </w:tcPr>
          <w:p w:rsidR="00760831" w:rsidRPr="00F032E2" w:rsidRDefault="00760831" w:rsidP="00F032E2">
            <w:pPr>
              <w:jc w:val="center"/>
              <w:rPr>
                <w:sz w:val="22"/>
                <w:szCs w:val="22"/>
              </w:rPr>
            </w:pPr>
            <w:r w:rsidRPr="00F032E2">
              <w:rPr>
                <w:sz w:val="22"/>
                <w:szCs w:val="22"/>
              </w:rPr>
              <w:t>Afhankelijk van equiv</w:t>
            </w:r>
            <w:r w:rsidRPr="00F032E2">
              <w:rPr>
                <w:sz w:val="22"/>
                <w:szCs w:val="22"/>
              </w:rPr>
              <w:t>a</w:t>
            </w:r>
            <w:r w:rsidRPr="00F032E2">
              <w:rPr>
                <w:sz w:val="22"/>
                <w:szCs w:val="22"/>
              </w:rPr>
              <w:t>lente tijd</w:t>
            </w:r>
            <w:r w:rsidRPr="00F032E2">
              <w:rPr>
                <w:sz w:val="22"/>
                <w:szCs w:val="22"/>
              </w:rPr>
              <w:t>s</w:t>
            </w:r>
            <w:r w:rsidRPr="00F032E2">
              <w:rPr>
                <w:sz w:val="22"/>
                <w:szCs w:val="22"/>
              </w:rPr>
              <w:t>duur R15 of R 30</w:t>
            </w:r>
          </w:p>
        </w:tc>
        <w:tc>
          <w:tcPr>
            <w:tcW w:w="1047" w:type="dxa"/>
            <w:vAlign w:val="center"/>
          </w:tcPr>
          <w:p w:rsidR="00760831" w:rsidRPr="00F032E2" w:rsidRDefault="00760831" w:rsidP="00F032E2">
            <w:pPr>
              <w:jc w:val="center"/>
              <w:rPr>
                <w:sz w:val="22"/>
                <w:szCs w:val="22"/>
              </w:rPr>
            </w:pPr>
            <w:r w:rsidRPr="00F032E2">
              <w:rPr>
                <w:sz w:val="22"/>
                <w:szCs w:val="22"/>
              </w:rPr>
              <w:t xml:space="preserve">Niet S &lt; </w:t>
            </w:r>
            <w:smartTag w:uri="urn:schemas-microsoft-com:office:smarttags" w:element="metricconverter">
              <w:smartTagPr>
                <w:attr w:name="ProductID" w:val="500 m²"/>
              </w:smartTagPr>
              <w:r w:rsidRPr="00F032E2">
                <w:rPr>
                  <w:sz w:val="22"/>
                  <w:szCs w:val="22"/>
                </w:rPr>
                <w:t>2000 m²</w:t>
              </w:r>
            </w:smartTag>
          </w:p>
        </w:tc>
        <w:tc>
          <w:tcPr>
            <w:tcW w:w="1047" w:type="dxa"/>
            <w:vAlign w:val="center"/>
          </w:tcPr>
          <w:p w:rsidR="00760831" w:rsidRPr="00F032E2" w:rsidRDefault="00760831" w:rsidP="00F032E2">
            <w:pPr>
              <w:jc w:val="center"/>
              <w:rPr>
                <w:sz w:val="22"/>
                <w:szCs w:val="22"/>
              </w:rPr>
            </w:pPr>
            <w:r w:rsidRPr="00F032E2">
              <w:rPr>
                <w:sz w:val="22"/>
                <w:szCs w:val="22"/>
              </w:rPr>
              <w:t xml:space="preserve">Niet S &lt; </w:t>
            </w:r>
            <w:smartTag w:uri="urn:schemas-microsoft-com:office:smarttags" w:element="metricconverter">
              <w:smartTagPr>
                <w:attr w:name="ProductID" w:val="500 m²"/>
              </w:smartTagPr>
              <w:r w:rsidRPr="00F032E2">
                <w:rPr>
                  <w:sz w:val="22"/>
                  <w:szCs w:val="22"/>
                </w:rPr>
                <w:t>10000 m²</w:t>
              </w:r>
            </w:smartTag>
          </w:p>
        </w:tc>
        <w:tc>
          <w:tcPr>
            <w:tcW w:w="1035" w:type="dxa"/>
            <w:vAlign w:val="center"/>
          </w:tcPr>
          <w:p w:rsidR="00760831" w:rsidRPr="00F032E2" w:rsidRDefault="00760831" w:rsidP="00F032E2">
            <w:pPr>
              <w:jc w:val="center"/>
              <w:rPr>
                <w:sz w:val="22"/>
                <w:szCs w:val="22"/>
              </w:rPr>
            </w:pPr>
            <w:r w:rsidRPr="00F032E2">
              <w:rPr>
                <w:sz w:val="22"/>
                <w:szCs w:val="22"/>
              </w:rPr>
              <w:t>Niet verplicht</w:t>
            </w:r>
          </w:p>
        </w:tc>
      </w:tr>
      <w:tr w:rsidR="00760831" w:rsidRPr="006234A5" w:rsidTr="00F032E2">
        <w:trPr>
          <w:jc w:val="center"/>
        </w:trPr>
        <w:tc>
          <w:tcPr>
            <w:tcW w:w="1142" w:type="dxa"/>
            <w:vAlign w:val="center"/>
          </w:tcPr>
          <w:p w:rsidR="00760831" w:rsidRPr="00F032E2" w:rsidRDefault="00760831" w:rsidP="00F032E2">
            <w:pPr>
              <w:jc w:val="center"/>
              <w:rPr>
                <w:sz w:val="22"/>
                <w:szCs w:val="22"/>
              </w:rPr>
            </w:pPr>
            <w:r w:rsidRPr="00F032E2">
              <w:rPr>
                <w:sz w:val="22"/>
                <w:szCs w:val="22"/>
              </w:rPr>
              <w:t>B</w:t>
            </w:r>
          </w:p>
        </w:tc>
        <w:tc>
          <w:tcPr>
            <w:tcW w:w="1575" w:type="dxa"/>
            <w:vMerge/>
            <w:vAlign w:val="center"/>
          </w:tcPr>
          <w:p w:rsidR="00760831" w:rsidRPr="00F032E2" w:rsidRDefault="00760831" w:rsidP="00F032E2">
            <w:pPr>
              <w:jc w:val="center"/>
              <w:rPr>
                <w:sz w:val="22"/>
                <w:szCs w:val="22"/>
              </w:rPr>
            </w:pPr>
          </w:p>
        </w:tc>
        <w:tc>
          <w:tcPr>
            <w:tcW w:w="923" w:type="dxa"/>
            <w:vAlign w:val="center"/>
          </w:tcPr>
          <w:p w:rsidR="00760831" w:rsidRPr="00F032E2" w:rsidRDefault="00760831" w:rsidP="00F032E2">
            <w:pPr>
              <w:jc w:val="center"/>
              <w:rPr>
                <w:sz w:val="22"/>
                <w:szCs w:val="22"/>
              </w:rPr>
            </w:pPr>
            <w:r w:rsidRPr="00F032E2">
              <w:rPr>
                <w:sz w:val="22"/>
                <w:szCs w:val="22"/>
              </w:rPr>
              <w:t>EI 120</w:t>
            </w:r>
          </w:p>
        </w:tc>
        <w:tc>
          <w:tcPr>
            <w:tcW w:w="1094" w:type="dxa"/>
            <w:vAlign w:val="center"/>
          </w:tcPr>
          <w:p w:rsidR="00760831" w:rsidRPr="00F032E2" w:rsidRDefault="00760831" w:rsidP="00F032E2">
            <w:pPr>
              <w:jc w:val="center"/>
              <w:rPr>
                <w:sz w:val="22"/>
                <w:szCs w:val="22"/>
              </w:rPr>
            </w:pPr>
            <w:r w:rsidRPr="00F032E2">
              <w:rPr>
                <w:sz w:val="22"/>
                <w:szCs w:val="22"/>
              </w:rPr>
              <w:t>R 120</w:t>
            </w:r>
          </w:p>
        </w:tc>
        <w:tc>
          <w:tcPr>
            <w:tcW w:w="1425" w:type="dxa"/>
            <w:vMerge/>
            <w:vAlign w:val="center"/>
          </w:tcPr>
          <w:p w:rsidR="00760831" w:rsidRPr="00F032E2" w:rsidRDefault="00760831" w:rsidP="00F032E2">
            <w:pPr>
              <w:jc w:val="center"/>
              <w:rPr>
                <w:sz w:val="22"/>
                <w:szCs w:val="22"/>
              </w:rPr>
            </w:pPr>
          </w:p>
        </w:tc>
        <w:tc>
          <w:tcPr>
            <w:tcW w:w="1047" w:type="dxa"/>
            <w:vAlign w:val="center"/>
          </w:tcPr>
          <w:p w:rsidR="00760831" w:rsidRPr="00F032E2" w:rsidRDefault="00760831" w:rsidP="00F032E2">
            <w:pPr>
              <w:jc w:val="center"/>
              <w:rPr>
                <w:sz w:val="22"/>
                <w:szCs w:val="22"/>
              </w:rPr>
            </w:pPr>
            <w:r w:rsidRPr="00F032E2">
              <w:rPr>
                <w:sz w:val="22"/>
                <w:szCs w:val="22"/>
              </w:rPr>
              <w:t>Verplicht</w:t>
            </w:r>
          </w:p>
        </w:tc>
        <w:tc>
          <w:tcPr>
            <w:tcW w:w="1047" w:type="dxa"/>
            <w:vAlign w:val="center"/>
          </w:tcPr>
          <w:p w:rsidR="00760831" w:rsidRPr="00F032E2" w:rsidRDefault="00760831" w:rsidP="00F032E2">
            <w:pPr>
              <w:jc w:val="center"/>
              <w:rPr>
                <w:sz w:val="22"/>
                <w:szCs w:val="22"/>
              </w:rPr>
            </w:pPr>
            <w:r w:rsidRPr="00F032E2">
              <w:rPr>
                <w:sz w:val="22"/>
                <w:szCs w:val="22"/>
              </w:rPr>
              <w:t xml:space="preserve">Niet S &lt; </w:t>
            </w:r>
            <w:smartTag w:uri="urn:schemas-microsoft-com:office:smarttags" w:element="metricconverter">
              <w:smartTagPr>
                <w:attr w:name="ProductID" w:val="500 m²"/>
              </w:smartTagPr>
              <w:r w:rsidRPr="00F032E2">
                <w:rPr>
                  <w:sz w:val="22"/>
                  <w:szCs w:val="22"/>
                </w:rPr>
                <w:t>500 m²</w:t>
              </w:r>
            </w:smartTag>
          </w:p>
        </w:tc>
        <w:tc>
          <w:tcPr>
            <w:tcW w:w="1035" w:type="dxa"/>
            <w:vAlign w:val="center"/>
          </w:tcPr>
          <w:p w:rsidR="00760831" w:rsidRPr="00F032E2" w:rsidRDefault="00760831" w:rsidP="00F032E2">
            <w:pPr>
              <w:jc w:val="center"/>
              <w:rPr>
                <w:sz w:val="22"/>
                <w:szCs w:val="22"/>
              </w:rPr>
            </w:pPr>
            <w:r w:rsidRPr="00F032E2">
              <w:rPr>
                <w:sz w:val="22"/>
                <w:szCs w:val="22"/>
              </w:rPr>
              <w:t>Niet verplicht</w:t>
            </w:r>
          </w:p>
        </w:tc>
      </w:tr>
      <w:tr w:rsidR="00760831" w:rsidRPr="006234A5" w:rsidTr="00F032E2">
        <w:trPr>
          <w:jc w:val="center"/>
        </w:trPr>
        <w:tc>
          <w:tcPr>
            <w:tcW w:w="1142" w:type="dxa"/>
            <w:vAlign w:val="center"/>
          </w:tcPr>
          <w:p w:rsidR="00760831" w:rsidRPr="00F032E2" w:rsidRDefault="00760831" w:rsidP="00F032E2">
            <w:pPr>
              <w:jc w:val="center"/>
              <w:rPr>
                <w:sz w:val="22"/>
                <w:szCs w:val="22"/>
              </w:rPr>
            </w:pPr>
            <w:r w:rsidRPr="00F032E2">
              <w:rPr>
                <w:sz w:val="22"/>
                <w:szCs w:val="22"/>
              </w:rPr>
              <w:t>C</w:t>
            </w:r>
          </w:p>
        </w:tc>
        <w:tc>
          <w:tcPr>
            <w:tcW w:w="1575" w:type="dxa"/>
            <w:vMerge/>
            <w:vAlign w:val="center"/>
          </w:tcPr>
          <w:p w:rsidR="00760831" w:rsidRPr="00F032E2" w:rsidRDefault="00760831" w:rsidP="00F032E2">
            <w:pPr>
              <w:jc w:val="center"/>
              <w:rPr>
                <w:sz w:val="22"/>
                <w:szCs w:val="22"/>
              </w:rPr>
            </w:pPr>
          </w:p>
        </w:tc>
        <w:tc>
          <w:tcPr>
            <w:tcW w:w="923" w:type="dxa"/>
            <w:vAlign w:val="center"/>
          </w:tcPr>
          <w:p w:rsidR="00760831" w:rsidRPr="00F032E2" w:rsidRDefault="00760831" w:rsidP="00F032E2">
            <w:pPr>
              <w:jc w:val="center"/>
              <w:rPr>
                <w:sz w:val="22"/>
                <w:szCs w:val="22"/>
              </w:rPr>
            </w:pPr>
            <w:r w:rsidRPr="00F032E2">
              <w:rPr>
                <w:sz w:val="22"/>
                <w:szCs w:val="22"/>
              </w:rPr>
              <w:t>EI 120</w:t>
            </w:r>
          </w:p>
        </w:tc>
        <w:tc>
          <w:tcPr>
            <w:tcW w:w="1094" w:type="dxa"/>
            <w:vAlign w:val="center"/>
          </w:tcPr>
          <w:p w:rsidR="00760831" w:rsidRPr="00F032E2" w:rsidRDefault="00760831" w:rsidP="00F032E2">
            <w:pPr>
              <w:jc w:val="center"/>
              <w:rPr>
                <w:sz w:val="22"/>
                <w:szCs w:val="22"/>
              </w:rPr>
            </w:pPr>
            <w:r w:rsidRPr="00F032E2">
              <w:rPr>
                <w:sz w:val="22"/>
                <w:szCs w:val="22"/>
              </w:rPr>
              <w:t>R 120</w:t>
            </w:r>
          </w:p>
        </w:tc>
        <w:tc>
          <w:tcPr>
            <w:tcW w:w="1425" w:type="dxa"/>
            <w:vMerge/>
            <w:vAlign w:val="center"/>
          </w:tcPr>
          <w:p w:rsidR="00760831" w:rsidRPr="00F032E2" w:rsidRDefault="00760831" w:rsidP="00F032E2">
            <w:pPr>
              <w:jc w:val="center"/>
              <w:rPr>
                <w:sz w:val="22"/>
                <w:szCs w:val="22"/>
              </w:rPr>
            </w:pPr>
          </w:p>
        </w:tc>
        <w:tc>
          <w:tcPr>
            <w:tcW w:w="1047" w:type="dxa"/>
            <w:vAlign w:val="center"/>
          </w:tcPr>
          <w:p w:rsidR="00760831" w:rsidRPr="00F032E2" w:rsidRDefault="00760831" w:rsidP="00F032E2">
            <w:pPr>
              <w:jc w:val="center"/>
              <w:rPr>
                <w:sz w:val="22"/>
                <w:szCs w:val="22"/>
              </w:rPr>
            </w:pPr>
            <w:r w:rsidRPr="00F032E2">
              <w:rPr>
                <w:sz w:val="22"/>
                <w:szCs w:val="22"/>
              </w:rPr>
              <w:t>Verplicht</w:t>
            </w:r>
          </w:p>
        </w:tc>
        <w:tc>
          <w:tcPr>
            <w:tcW w:w="1047" w:type="dxa"/>
            <w:vAlign w:val="center"/>
          </w:tcPr>
          <w:p w:rsidR="00760831" w:rsidRPr="00F032E2" w:rsidRDefault="00760831" w:rsidP="00F032E2">
            <w:pPr>
              <w:jc w:val="center"/>
              <w:rPr>
                <w:sz w:val="22"/>
                <w:szCs w:val="22"/>
              </w:rPr>
            </w:pPr>
            <w:r w:rsidRPr="00F032E2">
              <w:rPr>
                <w:sz w:val="22"/>
                <w:szCs w:val="22"/>
              </w:rPr>
              <w:t>Verplicht</w:t>
            </w:r>
          </w:p>
        </w:tc>
        <w:tc>
          <w:tcPr>
            <w:tcW w:w="1035" w:type="dxa"/>
            <w:vAlign w:val="center"/>
          </w:tcPr>
          <w:p w:rsidR="00760831" w:rsidRPr="00F032E2" w:rsidRDefault="00760831" w:rsidP="00F032E2">
            <w:pPr>
              <w:jc w:val="center"/>
              <w:rPr>
                <w:sz w:val="22"/>
                <w:szCs w:val="22"/>
              </w:rPr>
            </w:pPr>
            <w:r w:rsidRPr="00F032E2">
              <w:rPr>
                <w:sz w:val="22"/>
                <w:szCs w:val="22"/>
              </w:rPr>
              <w:t>Niet verplicht</w:t>
            </w:r>
          </w:p>
        </w:tc>
      </w:tr>
    </w:tbl>
    <w:p w:rsidR="00760831" w:rsidRPr="006234A5" w:rsidRDefault="00760831" w:rsidP="006234A5">
      <w:pPr>
        <w:pStyle w:val="StandaardSV"/>
        <w:ind w:left="360"/>
        <w:rPr>
          <w:noProof/>
          <w:szCs w:val="22"/>
        </w:rPr>
      </w:pPr>
    </w:p>
    <w:p w:rsidR="00760831" w:rsidRPr="006234A5" w:rsidRDefault="00760831" w:rsidP="006C5AB2">
      <w:pPr>
        <w:pStyle w:val="StandaardSV"/>
        <w:numPr>
          <w:ilvl w:val="0"/>
          <w:numId w:val="30"/>
        </w:numPr>
        <w:rPr>
          <w:noProof/>
          <w:szCs w:val="22"/>
        </w:rPr>
      </w:pPr>
      <w:r w:rsidRPr="006234A5">
        <w:rPr>
          <w:noProof/>
          <w:szCs w:val="22"/>
        </w:rPr>
        <w:t>De brandveiligheidsnormen voor stallen vormen een federale materie.</w:t>
      </w:r>
    </w:p>
    <w:sectPr w:rsidR="00760831" w:rsidRPr="006234A5" w:rsidSect="001F3C4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31" w:rsidRDefault="00760831">
      <w:r>
        <w:separator/>
      </w:r>
    </w:p>
  </w:endnote>
  <w:endnote w:type="continuationSeparator" w:id="1">
    <w:p w:rsidR="00760831" w:rsidRDefault="00760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31" w:rsidRDefault="00760831">
      <w:r>
        <w:separator/>
      </w:r>
    </w:p>
  </w:footnote>
  <w:footnote w:type="continuationSeparator" w:id="1">
    <w:p w:rsidR="00760831" w:rsidRDefault="00760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6E05F45"/>
    <w:multiLevelType w:val="hybridMultilevel"/>
    <w:tmpl w:val="1C6807AC"/>
    <w:lvl w:ilvl="0" w:tplc="A5401B18">
      <w:start w:val="1"/>
      <w:numFmt w:val="decimal"/>
      <w:lvlText w:val="%1."/>
      <w:lvlJc w:val="left"/>
      <w:pPr>
        <w:tabs>
          <w:tab w:val="num" w:pos="360"/>
        </w:tabs>
        <w:ind w:left="360" w:hanging="360"/>
      </w:pPr>
      <w:rPr>
        <w:rFonts w:cs="Times New Roman"/>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BD82709"/>
    <w:multiLevelType w:val="hybridMultilevel"/>
    <w:tmpl w:val="45DC9002"/>
    <w:lvl w:ilvl="0" w:tplc="41CE11F4">
      <w:numFmt w:val="bullet"/>
      <w:lvlText w:val="-"/>
      <w:lvlJc w:val="left"/>
      <w:pPr>
        <w:ind w:left="720" w:hanging="360"/>
      </w:pPr>
      <w:rPr>
        <w:rFonts w:ascii="Tahoma" w:eastAsia="Times New Roman" w:hAnsi="Tahom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7ED03B0"/>
    <w:multiLevelType w:val="hybridMultilevel"/>
    <w:tmpl w:val="5454A5B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0">
    <w:nsid w:val="4E7100C2"/>
    <w:multiLevelType w:val="hybridMultilevel"/>
    <w:tmpl w:val="BFC2093A"/>
    <w:lvl w:ilvl="0" w:tplc="D462643C">
      <w:numFmt w:val="bullet"/>
      <w:lvlText w:val="-"/>
      <w:lvlJc w:val="left"/>
      <w:pPr>
        <w:ind w:left="36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0B957E0"/>
    <w:multiLevelType w:val="hybridMultilevel"/>
    <w:tmpl w:val="CBCE3CC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75AA3D43"/>
    <w:multiLevelType w:val="hybridMultilevel"/>
    <w:tmpl w:val="4314B824"/>
    <w:lvl w:ilvl="0" w:tplc="4268E308">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3"/>
  </w:num>
  <w:num w:numId="5">
    <w:abstractNumId w:val="16"/>
  </w:num>
  <w:num w:numId="6">
    <w:abstractNumId w:val="4"/>
  </w:num>
  <w:num w:numId="7">
    <w:abstractNumId w:val="27"/>
  </w:num>
  <w:num w:numId="8">
    <w:abstractNumId w:val="15"/>
  </w:num>
  <w:num w:numId="9">
    <w:abstractNumId w:val="12"/>
  </w:num>
  <w:num w:numId="10">
    <w:abstractNumId w:val="3"/>
  </w:num>
  <w:num w:numId="11">
    <w:abstractNumId w:val="11"/>
  </w:num>
  <w:num w:numId="12">
    <w:abstractNumId w:val="6"/>
  </w:num>
  <w:num w:numId="13">
    <w:abstractNumId w:val="9"/>
  </w:num>
  <w:num w:numId="14">
    <w:abstractNumId w:val="19"/>
  </w:num>
  <w:num w:numId="15">
    <w:abstractNumId w:val="10"/>
  </w:num>
  <w:num w:numId="16">
    <w:abstractNumId w:val="30"/>
  </w:num>
  <w:num w:numId="17">
    <w:abstractNumId w:val="14"/>
  </w:num>
  <w:num w:numId="18">
    <w:abstractNumId w:val="7"/>
  </w:num>
  <w:num w:numId="19">
    <w:abstractNumId w:val="21"/>
  </w:num>
  <w:num w:numId="20">
    <w:abstractNumId w:val="13"/>
  </w:num>
  <w:num w:numId="21">
    <w:abstractNumId w:val="25"/>
  </w:num>
  <w:num w:numId="22">
    <w:abstractNumId w:val="28"/>
  </w:num>
  <w:num w:numId="23">
    <w:abstractNumId w:val="2"/>
  </w:num>
  <w:num w:numId="24">
    <w:abstractNumId w:val="26"/>
  </w:num>
  <w:num w:numId="25">
    <w:abstractNumId w:val="22"/>
  </w:num>
  <w:num w:numId="26">
    <w:abstractNumId w:val="17"/>
  </w:num>
  <w:num w:numId="27">
    <w:abstractNumId w:val="24"/>
  </w:num>
  <w:num w:numId="28">
    <w:abstractNumId w:val="18"/>
  </w:num>
  <w:num w:numId="29">
    <w:abstractNumId w:val="8"/>
  </w:num>
  <w:num w:numId="30">
    <w:abstractNumId w:val="1"/>
  </w:num>
  <w:num w:numId="31">
    <w:abstractNumId w:val="2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473B2"/>
    <w:rsid w:val="0006230E"/>
    <w:rsid w:val="00102476"/>
    <w:rsid w:val="001058E4"/>
    <w:rsid w:val="0011346B"/>
    <w:rsid w:val="00141906"/>
    <w:rsid w:val="001561C9"/>
    <w:rsid w:val="0016148B"/>
    <w:rsid w:val="001755B2"/>
    <w:rsid w:val="00197532"/>
    <w:rsid w:val="001B2444"/>
    <w:rsid w:val="001C0B52"/>
    <w:rsid w:val="001D50C6"/>
    <w:rsid w:val="001F3C41"/>
    <w:rsid w:val="001F713E"/>
    <w:rsid w:val="00202FA9"/>
    <w:rsid w:val="002324C4"/>
    <w:rsid w:val="002536A1"/>
    <w:rsid w:val="002A53BE"/>
    <w:rsid w:val="002B65A3"/>
    <w:rsid w:val="002F1544"/>
    <w:rsid w:val="002F3C0A"/>
    <w:rsid w:val="002F5900"/>
    <w:rsid w:val="003017CE"/>
    <w:rsid w:val="00321F10"/>
    <w:rsid w:val="0032261D"/>
    <w:rsid w:val="0034616F"/>
    <w:rsid w:val="003529DF"/>
    <w:rsid w:val="003603CE"/>
    <w:rsid w:val="003750D5"/>
    <w:rsid w:val="00375A83"/>
    <w:rsid w:val="00376AA7"/>
    <w:rsid w:val="003B6A5C"/>
    <w:rsid w:val="00423F29"/>
    <w:rsid w:val="0046761C"/>
    <w:rsid w:val="0047032B"/>
    <w:rsid w:val="00472C97"/>
    <w:rsid w:val="00477EB3"/>
    <w:rsid w:val="004A56C3"/>
    <w:rsid w:val="004A7B80"/>
    <w:rsid w:val="004D21E2"/>
    <w:rsid w:val="004F3708"/>
    <w:rsid w:val="00512E83"/>
    <w:rsid w:val="00540203"/>
    <w:rsid w:val="00571AF0"/>
    <w:rsid w:val="00573DC9"/>
    <w:rsid w:val="00577ACA"/>
    <w:rsid w:val="005B3194"/>
    <w:rsid w:val="006234A5"/>
    <w:rsid w:val="006861AA"/>
    <w:rsid w:val="006A3A8E"/>
    <w:rsid w:val="006A5A3E"/>
    <w:rsid w:val="006C5AB2"/>
    <w:rsid w:val="006F445E"/>
    <w:rsid w:val="0070452B"/>
    <w:rsid w:val="007408E7"/>
    <w:rsid w:val="00760831"/>
    <w:rsid w:val="00766C70"/>
    <w:rsid w:val="007908D1"/>
    <w:rsid w:val="00842183"/>
    <w:rsid w:val="008532C3"/>
    <w:rsid w:val="008A6DA3"/>
    <w:rsid w:val="008E3430"/>
    <w:rsid w:val="008F6DED"/>
    <w:rsid w:val="00904AFF"/>
    <w:rsid w:val="00995A04"/>
    <w:rsid w:val="00995F79"/>
    <w:rsid w:val="009A6335"/>
    <w:rsid w:val="009A77C4"/>
    <w:rsid w:val="009B296B"/>
    <w:rsid w:val="009C4564"/>
    <w:rsid w:val="009E6F99"/>
    <w:rsid w:val="00A8473D"/>
    <w:rsid w:val="00AB0C46"/>
    <w:rsid w:val="00AD549A"/>
    <w:rsid w:val="00B16D19"/>
    <w:rsid w:val="00B77582"/>
    <w:rsid w:val="00BB2A82"/>
    <w:rsid w:val="00BB38B7"/>
    <w:rsid w:val="00BE315B"/>
    <w:rsid w:val="00C625C9"/>
    <w:rsid w:val="00C8454C"/>
    <w:rsid w:val="00CD2DAA"/>
    <w:rsid w:val="00CE2DB2"/>
    <w:rsid w:val="00CE5C0A"/>
    <w:rsid w:val="00D34AD2"/>
    <w:rsid w:val="00D37C26"/>
    <w:rsid w:val="00D40D63"/>
    <w:rsid w:val="00D5568D"/>
    <w:rsid w:val="00D61A12"/>
    <w:rsid w:val="00DA5D23"/>
    <w:rsid w:val="00DE405B"/>
    <w:rsid w:val="00E2535D"/>
    <w:rsid w:val="00E751DD"/>
    <w:rsid w:val="00E839E8"/>
    <w:rsid w:val="00EB0A62"/>
    <w:rsid w:val="00EB2367"/>
    <w:rsid w:val="00F032E2"/>
    <w:rsid w:val="00F30E87"/>
    <w:rsid w:val="00FA30AE"/>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0E"/>
    <w:rPr>
      <w:sz w:val="24"/>
      <w:szCs w:val="20"/>
      <w:lang w:val="nl-NL" w:eastAsia="nl-NL"/>
    </w:rPr>
  </w:style>
  <w:style w:type="paragraph" w:styleId="Heading1">
    <w:name w:val="heading 1"/>
    <w:basedOn w:val="Normal"/>
    <w:next w:val="Normal"/>
    <w:link w:val="Heading1Char"/>
    <w:uiPriority w:val="99"/>
    <w:qFormat/>
    <w:rsid w:val="0006230E"/>
    <w:pPr>
      <w:keepNext/>
      <w:numPr>
        <w:numId w:val="2"/>
      </w:numPr>
      <w:jc w:val="both"/>
      <w:outlineLvl w:val="0"/>
    </w:pPr>
    <w:rPr>
      <w:b/>
      <w:caps/>
    </w:rPr>
  </w:style>
  <w:style w:type="paragraph" w:styleId="Heading2">
    <w:name w:val="heading 2"/>
    <w:basedOn w:val="Normal"/>
    <w:next w:val="Normal"/>
    <w:link w:val="Heading2Char"/>
    <w:uiPriority w:val="99"/>
    <w:qFormat/>
    <w:rsid w:val="0006230E"/>
    <w:pPr>
      <w:keepNext/>
      <w:tabs>
        <w:tab w:val="num" w:pos="567"/>
      </w:tabs>
      <w:ind w:left="567" w:hanging="567"/>
      <w:outlineLvl w:val="1"/>
    </w:pPr>
    <w:rPr>
      <w:b/>
    </w:rPr>
  </w:style>
  <w:style w:type="paragraph" w:styleId="Heading3">
    <w:name w:val="heading 3"/>
    <w:basedOn w:val="Normal"/>
    <w:next w:val="Normal"/>
    <w:link w:val="Heading3Char"/>
    <w:uiPriority w:val="99"/>
    <w:qFormat/>
    <w:rsid w:val="0006230E"/>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C8E"/>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00C8E"/>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00C8E"/>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06230E"/>
    <w:pPr>
      <w:framePr w:w="7920" w:h="1980" w:hRule="exact" w:hSpace="141" w:wrap="auto" w:hAnchor="page" w:xAlign="center" w:yAlign="bottom"/>
      <w:ind w:left="2880"/>
    </w:pPr>
  </w:style>
  <w:style w:type="paragraph" w:styleId="EnvelopeReturn">
    <w:name w:val="envelope return"/>
    <w:basedOn w:val="Normal"/>
    <w:uiPriority w:val="99"/>
    <w:rsid w:val="0006230E"/>
  </w:style>
  <w:style w:type="paragraph" w:styleId="TOC1">
    <w:name w:val="toc 1"/>
    <w:basedOn w:val="Normal"/>
    <w:next w:val="Normal"/>
    <w:autoRedefine/>
    <w:uiPriority w:val="99"/>
    <w:semiHidden/>
    <w:rsid w:val="0006230E"/>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06230E"/>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06230E"/>
    <w:pPr>
      <w:tabs>
        <w:tab w:val="right" w:leader="dot" w:pos="9741"/>
      </w:tabs>
      <w:spacing w:before="40" w:after="40"/>
      <w:ind w:left="1701" w:hanging="567"/>
    </w:pPr>
    <w:rPr>
      <w:i/>
    </w:rPr>
  </w:style>
  <w:style w:type="paragraph" w:styleId="BodyText2">
    <w:name w:val="Body Text 2"/>
    <w:basedOn w:val="Normal"/>
    <w:link w:val="BodyText2Char"/>
    <w:uiPriority w:val="99"/>
    <w:rsid w:val="0006230E"/>
    <w:pPr>
      <w:jc w:val="both"/>
    </w:pPr>
    <w:rPr>
      <w:i/>
      <w:sz w:val="22"/>
    </w:rPr>
  </w:style>
  <w:style w:type="character" w:customStyle="1" w:styleId="BodyText2Char">
    <w:name w:val="Body Text 2 Char"/>
    <w:basedOn w:val="DefaultParagraphFont"/>
    <w:link w:val="BodyText2"/>
    <w:uiPriority w:val="99"/>
    <w:semiHidden/>
    <w:rsid w:val="00400C8E"/>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06230E"/>
    <w:pPr>
      <w:jc w:val="both"/>
    </w:pPr>
    <w:rPr>
      <w:b/>
      <w:smallCaps/>
      <w:sz w:val="22"/>
    </w:rPr>
  </w:style>
  <w:style w:type="paragraph" w:customStyle="1" w:styleId="SVTitel">
    <w:name w:val="SV Titel"/>
    <w:basedOn w:val="Normal"/>
    <w:uiPriority w:val="99"/>
    <w:rsid w:val="0006230E"/>
    <w:pPr>
      <w:jc w:val="both"/>
    </w:pPr>
    <w:rPr>
      <w:i/>
      <w:sz w:val="22"/>
    </w:rPr>
  </w:style>
  <w:style w:type="paragraph" w:customStyle="1" w:styleId="StandaardSV">
    <w:name w:val="Standaard SV"/>
    <w:basedOn w:val="Normal"/>
    <w:uiPriority w:val="99"/>
    <w:rsid w:val="0006230E"/>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400C8E"/>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00C8E"/>
    <w:rPr>
      <w:sz w:val="0"/>
      <w:szCs w:val="0"/>
      <w:lang w:val="nl-NL" w:eastAsia="nl-NL"/>
    </w:rPr>
  </w:style>
  <w:style w:type="paragraph" w:styleId="NormalWeb">
    <w:name w:val="Normal (Web)"/>
    <w:basedOn w:val="Normal"/>
    <w:uiPriority w:val="99"/>
    <w:rsid w:val="008F6DED"/>
    <w:pPr>
      <w:spacing w:before="100" w:beforeAutospacing="1" w:after="100" w:afterAutospacing="1"/>
    </w:pPr>
    <w:rPr>
      <w:szCs w:val="24"/>
      <w:lang w:val="nl-BE" w:eastAsia="nl-BE"/>
    </w:rPr>
  </w:style>
  <w:style w:type="paragraph" w:customStyle="1" w:styleId="Lijstalinea1">
    <w:name w:val="Lijstalinea1"/>
    <w:basedOn w:val="Normal"/>
    <w:uiPriority w:val="99"/>
    <w:rsid w:val="008F6DED"/>
    <w:pPr>
      <w:spacing w:after="200" w:line="276" w:lineRule="auto"/>
      <w:ind w:left="720"/>
      <w:contextualSpacing/>
    </w:pPr>
    <w:rPr>
      <w:rFonts w:ascii="Calibri" w:hAnsi="Calibri"/>
      <w:sz w:val="22"/>
      <w:szCs w:val="22"/>
      <w:lang w:val="nl-BE" w:eastAsia="en-US"/>
    </w:rPr>
  </w:style>
  <w:style w:type="table" w:styleId="TableGrid">
    <w:name w:val="Table Grid"/>
    <w:basedOn w:val="TableNormal"/>
    <w:uiPriority w:val="99"/>
    <w:rsid w:val="00375A8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11346B"/>
    <w:rPr>
      <w:b/>
      <w:bCs/>
      <w:sz w:val="20"/>
    </w:rPr>
  </w:style>
  <w:style w:type="paragraph" w:styleId="BalloonText">
    <w:name w:val="Balloon Text"/>
    <w:basedOn w:val="Normal"/>
    <w:link w:val="BalloonTextChar"/>
    <w:uiPriority w:val="99"/>
    <w:rsid w:val="00DA5D23"/>
    <w:rPr>
      <w:rFonts w:ascii="Tahoma" w:hAnsi="Tahoma" w:cs="Tahoma"/>
      <w:sz w:val="16"/>
      <w:szCs w:val="16"/>
    </w:rPr>
  </w:style>
  <w:style w:type="character" w:customStyle="1" w:styleId="BalloonTextChar">
    <w:name w:val="Balloon Text Char"/>
    <w:basedOn w:val="DefaultParagraphFont"/>
    <w:link w:val="BalloonText"/>
    <w:uiPriority w:val="99"/>
    <w:locked/>
    <w:rsid w:val="00DA5D23"/>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91837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824</Words>
  <Characters>4537</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Nathalie De Keyzer</cp:lastModifiedBy>
  <cp:revision>5</cp:revision>
  <cp:lastPrinted>2011-06-16T07:39:00Z</cp:lastPrinted>
  <dcterms:created xsi:type="dcterms:W3CDTF">2011-06-09T14:03:00Z</dcterms:created>
  <dcterms:modified xsi:type="dcterms:W3CDTF">2011-06-16T07:39:00Z</dcterms:modified>
</cp:coreProperties>
</file>