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0" w:rsidRPr="00AD2B88" w:rsidRDefault="00A963E0" w:rsidP="00CB3A85">
      <w:pPr>
        <w:jc w:val="both"/>
        <w:outlineLvl w:val="0"/>
        <w:rPr>
          <w:b/>
          <w:bCs/>
          <w:smallCaps/>
          <w:sz w:val="22"/>
          <w:szCs w:val="22"/>
          <w:lang w:val="nl-BE"/>
        </w:rPr>
      </w:pPr>
      <w:bookmarkStart w:id="0" w:name="_GoBack"/>
      <w:bookmarkEnd w:id="0"/>
      <w:r w:rsidRPr="00AD2B88">
        <w:rPr>
          <w:b/>
          <w:bCs/>
          <w:smallCaps/>
          <w:sz w:val="22"/>
          <w:szCs w:val="22"/>
          <w:lang w:val="nl-BE"/>
        </w:rPr>
        <w:t xml:space="preserve">philippe muyters </w:t>
      </w:r>
    </w:p>
    <w:p w:rsidR="00A963E0" w:rsidRPr="00AD2B88" w:rsidRDefault="00A963E0" w:rsidP="00CB3A85">
      <w:pPr>
        <w:jc w:val="both"/>
        <w:outlineLvl w:val="0"/>
        <w:rPr>
          <w:smallCaps/>
          <w:sz w:val="22"/>
          <w:szCs w:val="22"/>
          <w:lang w:val="nl-BE"/>
        </w:rPr>
      </w:pPr>
      <w:r w:rsidRPr="00AD2B88">
        <w:rPr>
          <w:smallCaps/>
          <w:sz w:val="22"/>
          <w:szCs w:val="22"/>
          <w:lang w:val="nl-BE"/>
        </w:rPr>
        <w:t xml:space="preserve">vlaams minister van financiën, begroting, werk, ruimtelijke ordening en sport </w:t>
      </w:r>
    </w:p>
    <w:p w:rsidR="00A963E0" w:rsidRPr="00AD2B88" w:rsidRDefault="00A963E0" w:rsidP="00753CC6">
      <w:pPr>
        <w:pBdr>
          <w:bottom w:val="single" w:sz="4" w:space="1" w:color="auto"/>
        </w:pBdr>
        <w:rPr>
          <w:sz w:val="22"/>
          <w:szCs w:val="22"/>
          <w:lang w:val="nl-BE"/>
        </w:rPr>
      </w:pPr>
    </w:p>
    <w:p w:rsidR="00A963E0" w:rsidRPr="00AD2B88" w:rsidRDefault="00A963E0">
      <w:pPr>
        <w:rPr>
          <w:sz w:val="22"/>
          <w:szCs w:val="22"/>
        </w:rPr>
      </w:pPr>
    </w:p>
    <w:p w:rsidR="00A963E0" w:rsidRPr="00AD2B88" w:rsidRDefault="00A963E0">
      <w:pPr>
        <w:rPr>
          <w:b/>
          <w:smallCaps/>
          <w:sz w:val="22"/>
          <w:szCs w:val="22"/>
        </w:rPr>
      </w:pPr>
      <w:r w:rsidRPr="00AD2B88">
        <w:rPr>
          <w:b/>
          <w:smallCaps/>
          <w:sz w:val="22"/>
          <w:szCs w:val="22"/>
        </w:rPr>
        <w:t>antwoord</w:t>
      </w:r>
    </w:p>
    <w:p w:rsidR="00A963E0" w:rsidRPr="00AD2B88" w:rsidRDefault="00A963E0">
      <w:pPr>
        <w:rPr>
          <w:sz w:val="22"/>
          <w:szCs w:val="22"/>
        </w:rPr>
      </w:pPr>
      <w:r w:rsidRPr="00AD2B88">
        <w:rPr>
          <w:sz w:val="22"/>
          <w:szCs w:val="22"/>
        </w:rPr>
        <w:t>op vraag nr. 456 van 1</w:t>
      </w:r>
      <w:r>
        <w:rPr>
          <w:sz w:val="22"/>
          <w:szCs w:val="22"/>
        </w:rPr>
        <w:t xml:space="preserve">0 mei </w:t>
      </w:r>
      <w:r w:rsidRPr="00AD2B88">
        <w:rPr>
          <w:sz w:val="22"/>
          <w:szCs w:val="22"/>
        </w:rPr>
        <w:t>2011</w:t>
      </w:r>
    </w:p>
    <w:p w:rsidR="00A963E0" w:rsidRPr="00AD2B88" w:rsidRDefault="00A963E0">
      <w:pPr>
        <w:rPr>
          <w:sz w:val="22"/>
          <w:szCs w:val="22"/>
        </w:rPr>
      </w:pPr>
      <w:r w:rsidRPr="00AD2B88">
        <w:rPr>
          <w:sz w:val="22"/>
          <w:szCs w:val="22"/>
        </w:rPr>
        <w:t xml:space="preserve">van </w:t>
      </w:r>
      <w:r w:rsidRPr="00AD2B88">
        <w:rPr>
          <w:b/>
          <w:smallCaps/>
          <w:sz w:val="22"/>
          <w:szCs w:val="22"/>
        </w:rPr>
        <w:t>filip watteeuw</w:t>
      </w:r>
    </w:p>
    <w:p w:rsidR="00A963E0" w:rsidRPr="00AD2B88" w:rsidRDefault="00A963E0" w:rsidP="00753CC6">
      <w:pPr>
        <w:pBdr>
          <w:bottom w:val="single" w:sz="4" w:space="1" w:color="auto"/>
        </w:pBdr>
        <w:rPr>
          <w:sz w:val="22"/>
          <w:szCs w:val="22"/>
        </w:rPr>
      </w:pPr>
    </w:p>
    <w:p w:rsidR="00A963E0" w:rsidRPr="00AD2B88" w:rsidRDefault="00A963E0">
      <w:pPr>
        <w:rPr>
          <w:sz w:val="22"/>
          <w:szCs w:val="22"/>
        </w:rPr>
        <w:sectPr w:rsidR="00A963E0" w:rsidRPr="00AD2B88">
          <w:pgSz w:w="11906" w:h="16838"/>
          <w:pgMar w:top="1417" w:right="1417" w:bottom="1417" w:left="1417" w:header="708" w:footer="708" w:gutter="0"/>
          <w:cols w:space="708"/>
          <w:docGrid w:linePitch="360"/>
        </w:sectPr>
      </w:pPr>
    </w:p>
    <w:p w:rsidR="00A963E0" w:rsidRDefault="00A963E0" w:rsidP="00CB3A85">
      <w:pPr>
        <w:jc w:val="both"/>
        <w:rPr>
          <w:sz w:val="22"/>
          <w:szCs w:val="22"/>
        </w:rPr>
      </w:pPr>
    </w:p>
    <w:p w:rsidR="00A963E0" w:rsidRDefault="00A963E0" w:rsidP="00CB3A85">
      <w:pPr>
        <w:jc w:val="both"/>
        <w:rPr>
          <w:sz w:val="22"/>
          <w:szCs w:val="22"/>
        </w:rPr>
      </w:pPr>
    </w:p>
    <w:p w:rsidR="00A963E0" w:rsidRPr="00AD2B88" w:rsidRDefault="00A963E0" w:rsidP="00752033">
      <w:pPr>
        <w:numPr>
          <w:ilvl w:val="0"/>
          <w:numId w:val="9"/>
        </w:numPr>
        <w:rPr>
          <w:b/>
          <w:sz w:val="22"/>
          <w:szCs w:val="22"/>
          <w:lang w:val="nl-BE"/>
        </w:rPr>
      </w:pPr>
      <w:r w:rsidRPr="00AD2B88">
        <w:rPr>
          <w:b/>
          <w:sz w:val="22"/>
          <w:szCs w:val="22"/>
          <w:lang w:val="nl-BE"/>
        </w:rPr>
        <w:t>Gemiddelde duurtijd van aanvraag tot beslissing van arbeidsgereedschap</w:t>
      </w:r>
      <w:r>
        <w:rPr>
          <w:b/>
          <w:sz w:val="22"/>
          <w:szCs w:val="22"/>
          <w:lang w:val="nl-BE"/>
        </w:rPr>
        <w:t xml:space="preserve"> (AG)</w:t>
      </w:r>
    </w:p>
    <w:p w:rsidR="00A963E0" w:rsidRPr="00AD2B88" w:rsidRDefault="00A963E0" w:rsidP="001370A2">
      <w:pPr>
        <w:rPr>
          <w:sz w:val="22"/>
          <w:szCs w:val="22"/>
          <w:lang w:val="nl-BE"/>
        </w:rPr>
      </w:pPr>
    </w:p>
    <w:tbl>
      <w:tblPr>
        <w:tblW w:w="6380" w:type="dxa"/>
        <w:tblInd w:w="720" w:type="dxa"/>
        <w:tblCellMar>
          <w:left w:w="70" w:type="dxa"/>
          <w:right w:w="70" w:type="dxa"/>
        </w:tblCellMar>
        <w:tblLook w:val="0000"/>
      </w:tblPr>
      <w:tblGrid>
        <w:gridCol w:w="2284"/>
        <w:gridCol w:w="1547"/>
        <w:gridCol w:w="2549"/>
      </w:tblGrid>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PROVINCIE</w:t>
            </w:r>
          </w:p>
        </w:tc>
        <w:tc>
          <w:tcPr>
            <w:tcW w:w="1547"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aantal dossiers</w:t>
            </w:r>
          </w:p>
        </w:tc>
        <w:tc>
          <w:tcPr>
            <w:tcW w:w="2549" w:type="dxa"/>
            <w:tcBorders>
              <w:top w:val="nil"/>
              <w:left w:val="nil"/>
              <w:bottom w:val="nil"/>
              <w:right w:val="nil"/>
            </w:tcBorders>
            <w:noWrap/>
            <w:vAlign w:val="bottom"/>
          </w:tcPr>
          <w:p w:rsidR="00A963E0" w:rsidRPr="00AD2B88" w:rsidRDefault="00A963E0" w:rsidP="003C60B8">
            <w:pPr>
              <w:rPr>
                <w:sz w:val="22"/>
                <w:szCs w:val="22"/>
              </w:rPr>
            </w:pPr>
            <w:r w:rsidRPr="00AD2B88">
              <w:rPr>
                <w:sz w:val="22"/>
                <w:szCs w:val="22"/>
              </w:rPr>
              <w:t>Gemiddeld aantal</w:t>
            </w:r>
            <w:r>
              <w:rPr>
                <w:sz w:val="22"/>
                <w:szCs w:val="22"/>
              </w:rPr>
              <w:t xml:space="preserve"> </w:t>
            </w:r>
            <w:r w:rsidRPr="00AD2B88">
              <w:rPr>
                <w:sz w:val="22"/>
                <w:szCs w:val="22"/>
              </w:rPr>
              <w:t>dagen</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Antwerpen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190</w:t>
            </w:r>
          </w:p>
        </w:tc>
        <w:tc>
          <w:tcPr>
            <w:tcW w:w="2549" w:type="dxa"/>
            <w:tcBorders>
              <w:top w:val="nil"/>
              <w:left w:val="nil"/>
              <w:bottom w:val="nil"/>
              <w:right w:val="nil"/>
            </w:tcBorders>
            <w:noWrap/>
            <w:vAlign w:val="bottom"/>
          </w:tcPr>
          <w:p w:rsidR="00A963E0" w:rsidRPr="00AD2B88" w:rsidRDefault="00A963E0" w:rsidP="001370A2">
            <w:pPr>
              <w:ind w:right="775"/>
              <w:jc w:val="right"/>
              <w:rPr>
                <w:sz w:val="22"/>
                <w:szCs w:val="22"/>
              </w:rPr>
            </w:pPr>
            <w:r w:rsidRPr="00AD2B88">
              <w:rPr>
                <w:sz w:val="22"/>
                <w:szCs w:val="22"/>
              </w:rPr>
              <w:t>41</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Limburg</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94</w:t>
            </w:r>
          </w:p>
        </w:tc>
        <w:tc>
          <w:tcPr>
            <w:tcW w:w="2549" w:type="dxa"/>
            <w:tcBorders>
              <w:top w:val="nil"/>
              <w:left w:val="nil"/>
              <w:bottom w:val="nil"/>
              <w:right w:val="nil"/>
            </w:tcBorders>
            <w:noWrap/>
            <w:vAlign w:val="bottom"/>
          </w:tcPr>
          <w:p w:rsidR="00A963E0" w:rsidRPr="00AD2B88" w:rsidRDefault="00A963E0" w:rsidP="001370A2">
            <w:pPr>
              <w:ind w:right="775"/>
              <w:jc w:val="right"/>
              <w:rPr>
                <w:sz w:val="22"/>
                <w:szCs w:val="22"/>
              </w:rPr>
            </w:pPr>
            <w:r w:rsidRPr="00AD2B88">
              <w:rPr>
                <w:sz w:val="22"/>
                <w:szCs w:val="22"/>
              </w:rPr>
              <w:t>67</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Oost-Vlaanderen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114</w:t>
            </w:r>
          </w:p>
        </w:tc>
        <w:tc>
          <w:tcPr>
            <w:tcW w:w="2549" w:type="dxa"/>
            <w:tcBorders>
              <w:top w:val="nil"/>
              <w:left w:val="nil"/>
              <w:bottom w:val="nil"/>
              <w:right w:val="nil"/>
            </w:tcBorders>
            <w:noWrap/>
            <w:vAlign w:val="bottom"/>
          </w:tcPr>
          <w:p w:rsidR="00A963E0" w:rsidRPr="00AD2B88" w:rsidRDefault="00A963E0" w:rsidP="001370A2">
            <w:pPr>
              <w:ind w:right="775"/>
              <w:jc w:val="right"/>
              <w:rPr>
                <w:sz w:val="22"/>
                <w:szCs w:val="22"/>
              </w:rPr>
            </w:pPr>
            <w:r w:rsidRPr="00AD2B88">
              <w:rPr>
                <w:sz w:val="22"/>
                <w:szCs w:val="22"/>
              </w:rPr>
              <w:t>40</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Vlaams-Brabant</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133</w:t>
            </w:r>
          </w:p>
        </w:tc>
        <w:tc>
          <w:tcPr>
            <w:tcW w:w="2549" w:type="dxa"/>
            <w:tcBorders>
              <w:top w:val="nil"/>
              <w:left w:val="nil"/>
              <w:bottom w:val="nil"/>
              <w:right w:val="nil"/>
            </w:tcBorders>
            <w:noWrap/>
            <w:vAlign w:val="bottom"/>
          </w:tcPr>
          <w:p w:rsidR="00A963E0" w:rsidRPr="00AD2B88" w:rsidRDefault="00A963E0" w:rsidP="001370A2">
            <w:pPr>
              <w:ind w:right="775"/>
              <w:jc w:val="right"/>
              <w:rPr>
                <w:sz w:val="22"/>
                <w:szCs w:val="22"/>
              </w:rPr>
            </w:pPr>
            <w:r w:rsidRPr="00AD2B88">
              <w:rPr>
                <w:sz w:val="22"/>
                <w:szCs w:val="22"/>
              </w:rPr>
              <w:t>36</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West-Vlaanderen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141</w:t>
            </w:r>
          </w:p>
        </w:tc>
        <w:tc>
          <w:tcPr>
            <w:tcW w:w="2549" w:type="dxa"/>
            <w:tcBorders>
              <w:top w:val="nil"/>
              <w:left w:val="nil"/>
              <w:bottom w:val="nil"/>
              <w:right w:val="nil"/>
            </w:tcBorders>
            <w:noWrap/>
            <w:vAlign w:val="bottom"/>
          </w:tcPr>
          <w:p w:rsidR="00A963E0" w:rsidRPr="00AD2B88" w:rsidRDefault="00A963E0" w:rsidP="001370A2">
            <w:pPr>
              <w:ind w:right="775"/>
              <w:jc w:val="right"/>
              <w:rPr>
                <w:sz w:val="22"/>
                <w:szCs w:val="22"/>
              </w:rPr>
            </w:pPr>
            <w:r w:rsidRPr="00AD2B88">
              <w:rPr>
                <w:sz w:val="22"/>
                <w:szCs w:val="22"/>
              </w:rPr>
              <w:t>53</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b/>
                <w:sz w:val="22"/>
                <w:szCs w:val="22"/>
              </w:rPr>
            </w:pPr>
            <w:r w:rsidRPr="00AD2B88">
              <w:rPr>
                <w:b/>
                <w:sz w:val="22"/>
                <w:szCs w:val="22"/>
              </w:rPr>
              <w: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b/>
                <w:sz w:val="22"/>
                <w:szCs w:val="22"/>
              </w:rPr>
            </w:pPr>
            <w:r w:rsidRPr="00AD2B88">
              <w:rPr>
                <w:b/>
                <w:sz w:val="22"/>
                <w:szCs w:val="22"/>
              </w:rPr>
              <w:t>672</w:t>
            </w:r>
          </w:p>
        </w:tc>
        <w:tc>
          <w:tcPr>
            <w:tcW w:w="2549" w:type="dxa"/>
            <w:tcBorders>
              <w:top w:val="nil"/>
              <w:left w:val="nil"/>
              <w:bottom w:val="nil"/>
              <w:right w:val="nil"/>
            </w:tcBorders>
            <w:noWrap/>
            <w:vAlign w:val="bottom"/>
          </w:tcPr>
          <w:p w:rsidR="00A963E0" w:rsidRPr="00AD2B88" w:rsidRDefault="00A963E0" w:rsidP="001370A2">
            <w:pPr>
              <w:ind w:right="775"/>
              <w:jc w:val="right"/>
              <w:rPr>
                <w:b/>
                <w:sz w:val="22"/>
                <w:szCs w:val="22"/>
              </w:rPr>
            </w:pPr>
            <w:r w:rsidRPr="00AD2B88">
              <w:rPr>
                <w:b/>
                <w:sz w:val="22"/>
                <w:szCs w:val="22"/>
              </w:rPr>
              <w:t>46</w:t>
            </w:r>
          </w:p>
        </w:tc>
      </w:tr>
    </w:tbl>
    <w:p w:rsidR="00A963E0" w:rsidRPr="00AD2B88" w:rsidRDefault="00A963E0" w:rsidP="001370A2">
      <w:pPr>
        <w:rPr>
          <w:sz w:val="22"/>
          <w:szCs w:val="22"/>
          <w:lang w:val="nl-BE"/>
        </w:rPr>
      </w:pPr>
    </w:p>
    <w:p w:rsidR="00A963E0" w:rsidRPr="00AD2B88" w:rsidRDefault="00A963E0" w:rsidP="00752033">
      <w:pPr>
        <w:ind w:left="360"/>
        <w:rPr>
          <w:b/>
          <w:sz w:val="22"/>
          <w:szCs w:val="22"/>
          <w:lang w:val="nl-BE"/>
        </w:rPr>
      </w:pPr>
      <w:r w:rsidRPr="00AD2B88">
        <w:rPr>
          <w:b/>
          <w:sz w:val="22"/>
          <w:szCs w:val="22"/>
          <w:lang w:val="nl-BE"/>
        </w:rPr>
        <w:t xml:space="preserve">Minimum en maximum antwoordtijden </w:t>
      </w:r>
      <w:r>
        <w:rPr>
          <w:b/>
          <w:sz w:val="22"/>
          <w:szCs w:val="22"/>
          <w:lang w:val="nl-BE"/>
        </w:rPr>
        <w:t>aanvragen AG in dagen</w:t>
      </w:r>
    </w:p>
    <w:p w:rsidR="00A963E0" w:rsidRPr="00AD2B88" w:rsidRDefault="00A963E0" w:rsidP="001370A2">
      <w:pPr>
        <w:rPr>
          <w:sz w:val="22"/>
          <w:szCs w:val="22"/>
          <w:lang w:val="nl-BE"/>
        </w:rPr>
      </w:pPr>
    </w:p>
    <w:tbl>
      <w:tblPr>
        <w:tblW w:w="5096" w:type="dxa"/>
        <w:tblInd w:w="900" w:type="dxa"/>
        <w:tblCellMar>
          <w:left w:w="70" w:type="dxa"/>
          <w:right w:w="70" w:type="dxa"/>
        </w:tblCellMar>
        <w:tblLook w:val="0000"/>
      </w:tblPr>
      <w:tblGrid>
        <w:gridCol w:w="2284"/>
        <w:gridCol w:w="1547"/>
        <w:gridCol w:w="1265"/>
      </w:tblGrid>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PROVINCIE</w:t>
            </w:r>
          </w:p>
        </w:tc>
        <w:tc>
          <w:tcPr>
            <w:tcW w:w="1547"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Minimum antwoordtijd</w:t>
            </w:r>
          </w:p>
        </w:tc>
        <w:tc>
          <w:tcPr>
            <w:tcW w:w="1265"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Maximum antwoordtijd</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Antwerpen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0</w:t>
            </w:r>
          </w:p>
        </w:tc>
        <w:tc>
          <w:tcPr>
            <w:tcW w:w="1265" w:type="dxa"/>
            <w:tcBorders>
              <w:top w:val="nil"/>
              <w:left w:val="nil"/>
              <w:bottom w:val="nil"/>
              <w:right w:val="nil"/>
            </w:tcBorders>
            <w:noWrap/>
            <w:vAlign w:val="bottom"/>
          </w:tcPr>
          <w:p w:rsidR="00A963E0" w:rsidRPr="00AD2B88" w:rsidRDefault="00A963E0" w:rsidP="001370A2">
            <w:pPr>
              <w:ind w:right="315"/>
              <w:jc w:val="right"/>
              <w:rPr>
                <w:sz w:val="22"/>
                <w:szCs w:val="22"/>
              </w:rPr>
            </w:pPr>
            <w:r w:rsidRPr="00AD2B88">
              <w:rPr>
                <w:sz w:val="22"/>
                <w:szCs w:val="22"/>
              </w:rPr>
              <w:t>519</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Limburg</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0</w:t>
            </w:r>
          </w:p>
        </w:tc>
        <w:tc>
          <w:tcPr>
            <w:tcW w:w="1265" w:type="dxa"/>
            <w:tcBorders>
              <w:top w:val="nil"/>
              <w:left w:val="nil"/>
              <w:bottom w:val="nil"/>
              <w:right w:val="nil"/>
            </w:tcBorders>
            <w:noWrap/>
            <w:vAlign w:val="bottom"/>
          </w:tcPr>
          <w:p w:rsidR="00A963E0" w:rsidRPr="00AD2B88" w:rsidRDefault="00A963E0" w:rsidP="001370A2">
            <w:pPr>
              <w:ind w:right="315"/>
              <w:jc w:val="right"/>
              <w:rPr>
                <w:sz w:val="22"/>
                <w:szCs w:val="22"/>
              </w:rPr>
            </w:pPr>
            <w:r w:rsidRPr="00AD2B88">
              <w:rPr>
                <w:sz w:val="22"/>
                <w:szCs w:val="22"/>
              </w:rPr>
              <w:t>312</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Oost-Vlaanderen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0</w:t>
            </w:r>
          </w:p>
        </w:tc>
        <w:tc>
          <w:tcPr>
            <w:tcW w:w="1265" w:type="dxa"/>
            <w:tcBorders>
              <w:top w:val="nil"/>
              <w:left w:val="nil"/>
              <w:bottom w:val="nil"/>
              <w:right w:val="nil"/>
            </w:tcBorders>
            <w:noWrap/>
            <w:vAlign w:val="bottom"/>
          </w:tcPr>
          <w:p w:rsidR="00A963E0" w:rsidRPr="00AD2B88" w:rsidRDefault="00A963E0" w:rsidP="001370A2">
            <w:pPr>
              <w:ind w:right="315"/>
              <w:jc w:val="right"/>
              <w:rPr>
                <w:sz w:val="22"/>
                <w:szCs w:val="22"/>
              </w:rPr>
            </w:pPr>
            <w:r w:rsidRPr="00AD2B88">
              <w:rPr>
                <w:sz w:val="22"/>
                <w:szCs w:val="22"/>
              </w:rPr>
              <w:t>455</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Vlaams-Brabant</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0</w:t>
            </w:r>
          </w:p>
        </w:tc>
        <w:tc>
          <w:tcPr>
            <w:tcW w:w="1265" w:type="dxa"/>
            <w:tcBorders>
              <w:top w:val="nil"/>
              <w:left w:val="nil"/>
              <w:bottom w:val="nil"/>
              <w:right w:val="nil"/>
            </w:tcBorders>
            <w:noWrap/>
            <w:vAlign w:val="bottom"/>
          </w:tcPr>
          <w:p w:rsidR="00A963E0" w:rsidRPr="00AD2B88" w:rsidRDefault="00A963E0" w:rsidP="001370A2">
            <w:pPr>
              <w:ind w:right="315"/>
              <w:jc w:val="right"/>
              <w:rPr>
                <w:sz w:val="22"/>
                <w:szCs w:val="22"/>
              </w:rPr>
            </w:pPr>
            <w:r w:rsidRPr="00AD2B88">
              <w:rPr>
                <w:sz w:val="22"/>
                <w:szCs w:val="22"/>
              </w:rPr>
              <w:t>204</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West-Vlaanderen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0</w:t>
            </w:r>
          </w:p>
        </w:tc>
        <w:tc>
          <w:tcPr>
            <w:tcW w:w="1265" w:type="dxa"/>
            <w:tcBorders>
              <w:top w:val="nil"/>
              <w:left w:val="nil"/>
              <w:bottom w:val="nil"/>
              <w:right w:val="nil"/>
            </w:tcBorders>
            <w:noWrap/>
            <w:vAlign w:val="bottom"/>
          </w:tcPr>
          <w:p w:rsidR="00A963E0" w:rsidRPr="00AD2B88" w:rsidRDefault="00A963E0" w:rsidP="001370A2">
            <w:pPr>
              <w:ind w:right="315"/>
              <w:jc w:val="right"/>
              <w:rPr>
                <w:sz w:val="22"/>
                <w:szCs w:val="22"/>
              </w:rPr>
            </w:pPr>
            <w:r w:rsidRPr="00AD2B88">
              <w:rPr>
                <w:sz w:val="22"/>
                <w:szCs w:val="22"/>
              </w:rPr>
              <w:t>470</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b/>
                <w:sz w:val="22"/>
                <w:szCs w:val="22"/>
              </w:rPr>
            </w:pPr>
            <w:r w:rsidRPr="00AD2B88">
              <w:rPr>
                <w:b/>
                <w:sz w:val="22"/>
                <w:szCs w:val="22"/>
              </w:rPr>
              <w: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b/>
                <w:sz w:val="22"/>
                <w:szCs w:val="22"/>
              </w:rPr>
            </w:pPr>
            <w:r w:rsidRPr="00AD2B88">
              <w:rPr>
                <w:b/>
                <w:sz w:val="22"/>
                <w:szCs w:val="22"/>
              </w:rPr>
              <w:t>0</w:t>
            </w:r>
          </w:p>
        </w:tc>
        <w:tc>
          <w:tcPr>
            <w:tcW w:w="1265" w:type="dxa"/>
            <w:tcBorders>
              <w:top w:val="nil"/>
              <w:left w:val="nil"/>
              <w:bottom w:val="nil"/>
              <w:right w:val="nil"/>
            </w:tcBorders>
            <w:noWrap/>
            <w:vAlign w:val="bottom"/>
          </w:tcPr>
          <w:p w:rsidR="00A963E0" w:rsidRPr="00AD2B88" w:rsidRDefault="00A963E0" w:rsidP="001370A2">
            <w:pPr>
              <w:ind w:right="315"/>
              <w:jc w:val="right"/>
              <w:rPr>
                <w:b/>
                <w:sz w:val="22"/>
                <w:szCs w:val="22"/>
              </w:rPr>
            </w:pPr>
            <w:r w:rsidRPr="00AD2B88">
              <w:rPr>
                <w:b/>
                <w:sz w:val="22"/>
                <w:szCs w:val="22"/>
              </w:rPr>
              <w:t>519</w:t>
            </w:r>
          </w:p>
        </w:tc>
      </w:tr>
    </w:tbl>
    <w:p w:rsidR="00A963E0" w:rsidRPr="00AD2B88" w:rsidRDefault="00A963E0" w:rsidP="001370A2">
      <w:pPr>
        <w:rPr>
          <w:sz w:val="22"/>
          <w:szCs w:val="22"/>
          <w:lang w:val="nl-BE"/>
        </w:rPr>
      </w:pPr>
    </w:p>
    <w:p w:rsidR="00A963E0" w:rsidRPr="00AD2B88" w:rsidRDefault="00A963E0" w:rsidP="00752033">
      <w:pPr>
        <w:ind w:left="360"/>
        <w:rPr>
          <w:b/>
          <w:sz w:val="22"/>
          <w:szCs w:val="22"/>
          <w:lang w:val="nl-BE"/>
        </w:rPr>
      </w:pPr>
      <w:r w:rsidRPr="00AD2B88">
        <w:rPr>
          <w:b/>
          <w:sz w:val="22"/>
          <w:szCs w:val="22"/>
          <w:lang w:val="nl-BE"/>
        </w:rPr>
        <w:t xml:space="preserve">Termijn waarbinnen 80% van de dossiers </w:t>
      </w:r>
      <w:r>
        <w:rPr>
          <w:b/>
          <w:sz w:val="22"/>
          <w:szCs w:val="22"/>
          <w:lang w:val="nl-BE"/>
        </w:rPr>
        <w:t>AG een antwoord krijgt</w:t>
      </w:r>
    </w:p>
    <w:p w:rsidR="00A963E0" w:rsidRPr="00AD2B88" w:rsidRDefault="00A963E0" w:rsidP="001370A2">
      <w:pPr>
        <w:rPr>
          <w:sz w:val="22"/>
          <w:szCs w:val="22"/>
          <w:lang w:val="nl-BE"/>
        </w:rPr>
      </w:pPr>
    </w:p>
    <w:tbl>
      <w:tblPr>
        <w:tblW w:w="3831" w:type="dxa"/>
        <w:tblInd w:w="720" w:type="dxa"/>
        <w:tblCellMar>
          <w:left w:w="70" w:type="dxa"/>
          <w:right w:w="70" w:type="dxa"/>
        </w:tblCellMar>
        <w:tblLook w:val="0000"/>
      </w:tblPr>
      <w:tblGrid>
        <w:gridCol w:w="2284"/>
        <w:gridCol w:w="1547"/>
      </w:tblGrid>
      <w:tr w:rsidR="00A963E0" w:rsidRPr="00AD2B88" w:rsidTr="00752033">
        <w:trPr>
          <w:trHeight w:val="255"/>
        </w:trPr>
        <w:tc>
          <w:tcPr>
            <w:tcW w:w="2284" w:type="dxa"/>
            <w:tcBorders>
              <w:top w:val="nil"/>
              <w:left w:val="nil"/>
              <w:bottom w:val="nil"/>
              <w:right w:val="nil"/>
            </w:tcBorders>
            <w:noWrap/>
            <w:vAlign w:val="bottom"/>
          </w:tcPr>
          <w:p w:rsidR="00A963E0" w:rsidRDefault="00A963E0" w:rsidP="001370A2">
            <w:pPr>
              <w:rPr>
                <w:sz w:val="22"/>
                <w:szCs w:val="22"/>
              </w:rPr>
            </w:pPr>
          </w:p>
          <w:p w:rsidR="00A963E0" w:rsidRDefault="00A963E0" w:rsidP="001370A2">
            <w:pPr>
              <w:rPr>
                <w:sz w:val="22"/>
                <w:szCs w:val="22"/>
              </w:rPr>
            </w:pPr>
          </w:p>
          <w:p w:rsidR="00A963E0" w:rsidRDefault="00A963E0" w:rsidP="001370A2">
            <w:pPr>
              <w:rPr>
                <w:sz w:val="22"/>
                <w:szCs w:val="22"/>
              </w:rPr>
            </w:pPr>
          </w:p>
          <w:p w:rsidR="00A963E0" w:rsidRPr="00AD2B88" w:rsidRDefault="00A963E0" w:rsidP="001370A2">
            <w:pPr>
              <w:rPr>
                <w:sz w:val="22"/>
                <w:szCs w:val="22"/>
              </w:rPr>
            </w:pPr>
            <w:r w:rsidRPr="00AD2B88">
              <w:rPr>
                <w:sz w:val="22"/>
                <w:szCs w:val="22"/>
              </w:rPr>
              <w:t>PROVINCIE</w:t>
            </w:r>
          </w:p>
        </w:tc>
        <w:tc>
          <w:tcPr>
            <w:tcW w:w="1547"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Termijn van behandeling 80% van de dossiers in dagen</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Antwerpen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44</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Limburg</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118</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Oost-Vlaanderen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59</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Vlaams-Brabant</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66</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West-Vlaanderen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92</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b/>
                <w:sz w:val="22"/>
                <w:szCs w:val="22"/>
              </w:rPr>
            </w:pPr>
            <w:r w:rsidRPr="00AD2B88">
              <w:rPr>
                <w:b/>
                <w:sz w:val="22"/>
                <w:szCs w:val="22"/>
              </w:rPr>
              <w: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b/>
                <w:sz w:val="22"/>
                <w:szCs w:val="22"/>
              </w:rPr>
            </w:pPr>
            <w:r w:rsidRPr="00AD2B88">
              <w:rPr>
                <w:b/>
                <w:sz w:val="22"/>
                <w:szCs w:val="22"/>
              </w:rPr>
              <w:t>70</w:t>
            </w:r>
          </w:p>
        </w:tc>
      </w:tr>
    </w:tbl>
    <w:p w:rsidR="00A963E0" w:rsidRPr="00AD2B88" w:rsidRDefault="00A963E0" w:rsidP="001370A2">
      <w:pPr>
        <w:rPr>
          <w:sz w:val="22"/>
          <w:szCs w:val="22"/>
          <w:lang w:val="nl-BE"/>
        </w:rPr>
      </w:pPr>
    </w:p>
    <w:p w:rsidR="00A963E0" w:rsidRPr="00AD2B88" w:rsidRDefault="00A963E0" w:rsidP="00752033">
      <w:pPr>
        <w:ind w:left="360"/>
        <w:rPr>
          <w:b/>
          <w:sz w:val="22"/>
          <w:szCs w:val="22"/>
          <w:lang w:val="nl-BE"/>
        </w:rPr>
      </w:pPr>
      <w:r>
        <w:rPr>
          <w:b/>
          <w:sz w:val="22"/>
          <w:szCs w:val="22"/>
          <w:lang w:val="nl-BE"/>
        </w:rPr>
        <w:br w:type="page"/>
      </w:r>
      <w:r w:rsidRPr="00AD2B88">
        <w:rPr>
          <w:b/>
          <w:sz w:val="22"/>
          <w:szCs w:val="22"/>
          <w:lang w:val="nl-BE"/>
        </w:rPr>
        <w:t>Aantal aanvragen AG dat na 2 maanden beslist wordt.</w:t>
      </w:r>
    </w:p>
    <w:p w:rsidR="00A963E0" w:rsidRPr="00AD2B88" w:rsidRDefault="00A963E0" w:rsidP="001370A2">
      <w:pPr>
        <w:rPr>
          <w:sz w:val="22"/>
          <w:szCs w:val="22"/>
          <w:lang w:val="nl-BE"/>
        </w:rPr>
      </w:pPr>
    </w:p>
    <w:tbl>
      <w:tblPr>
        <w:tblW w:w="5378" w:type="dxa"/>
        <w:tblInd w:w="720" w:type="dxa"/>
        <w:tblCellMar>
          <w:left w:w="70" w:type="dxa"/>
          <w:right w:w="70" w:type="dxa"/>
        </w:tblCellMar>
        <w:tblLook w:val="0000"/>
      </w:tblPr>
      <w:tblGrid>
        <w:gridCol w:w="2284"/>
        <w:gridCol w:w="1547"/>
        <w:gridCol w:w="1547"/>
      </w:tblGrid>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3C60B8">
            <w:pPr>
              <w:rPr>
                <w:sz w:val="22"/>
                <w:szCs w:val="22"/>
              </w:rPr>
            </w:pPr>
            <w:r w:rsidRPr="00AD2B88">
              <w:rPr>
                <w:sz w:val="22"/>
                <w:szCs w:val="22"/>
              </w:rPr>
              <w:t>PROVINCIE</w:t>
            </w:r>
          </w:p>
        </w:tc>
        <w:tc>
          <w:tcPr>
            <w:tcW w:w="1547"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percentage dossiers na 2 maanden</w:t>
            </w:r>
          </w:p>
        </w:tc>
        <w:tc>
          <w:tcPr>
            <w:tcW w:w="1547" w:type="dxa"/>
            <w:tcBorders>
              <w:top w:val="nil"/>
              <w:left w:val="nil"/>
              <w:bottom w:val="nil"/>
              <w:right w:val="nil"/>
            </w:tcBorders>
          </w:tcPr>
          <w:p w:rsidR="00A963E0" w:rsidRPr="00AD2B88" w:rsidRDefault="00A963E0" w:rsidP="001370A2">
            <w:pPr>
              <w:rPr>
                <w:sz w:val="22"/>
                <w:szCs w:val="22"/>
              </w:rPr>
            </w:pPr>
            <w:r w:rsidRPr="00AD2B88">
              <w:rPr>
                <w:sz w:val="22"/>
                <w:szCs w:val="22"/>
              </w:rPr>
              <w:t>Aantal dossiers na 2 maanden</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Antwerpen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14,2%</w:t>
            </w:r>
          </w:p>
        </w:tc>
        <w:tc>
          <w:tcPr>
            <w:tcW w:w="1547" w:type="dxa"/>
            <w:tcBorders>
              <w:top w:val="nil"/>
              <w:left w:val="nil"/>
              <w:bottom w:val="nil"/>
              <w:right w:val="nil"/>
            </w:tcBorders>
          </w:tcPr>
          <w:p w:rsidR="00A963E0" w:rsidRPr="00AD2B88" w:rsidRDefault="00A963E0" w:rsidP="001370A2">
            <w:pPr>
              <w:ind w:right="386"/>
              <w:jc w:val="right"/>
              <w:rPr>
                <w:sz w:val="22"/>
                <w:szCs w:val="22"/>
              </w:rPr>
            </w:pPr>
            <w:r w:rsidRPr="00AD2B88">
              <w:rPr>
                <w:sz w:val="22"/>
                <w:szCs w:val="22"/>
              </w:rPr>
              <w:t>27</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Limburg</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41,5%</w:t>
            </w:r>
          </w:p>
        </w:tc>
        <w:tc>
          <w:tcPr>
            <w:tcW w:w="1547" w:type="dxa"/>
            <w:tcBorders>
              <w:top w:val="nil"/>
              <w:left w:val="nil"/>
              <w:bottom w:val="nil"/>
              <w:right w:val="nil"/>
            </w:tcBorders>
          </w:tcPr>
          <w:p w:rsidR="00A963E0" w:rsidRPr="00AD2B88" w:rsidRDefault="00A963E0" w:rsidP="001370A2">
            <w:pPr>
              <w:ind w:right="386"/>
              <w:jc w:val="right"/>
              <w:rPr>
                <w:sz w:val="22"/>
                <w:szCs w:val="22"/>
              </w:rPr>
            </w:pPr>
            <w:r w:rsidRPr="00AD2B88">
              <w:rPr>
                <w:sz w:val="22"/>
                <w:szCs w:val="22"/>
              </w:rPr>
              <w:t>39</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Oost-Vlaanderen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19,3%</w:t>
            </w:r>
          </w:p>
        </w:tc>
        <w:tc>
          <w:tcPr>
            <w:tcW w:w="1547" w:type="dxa"/>
            <w:tcBorders>
              <w:top w:val="nil"/>
              <w:left w:val="nil"/>
              <w:bottom w:val="nil"/>
              <w:right w:val="nil"/>
            </w:tcBorders>
          </w:tcPr>
          <w:p w:rsidR="00A963E0" w:rsidRPr="00AD2B88" w:rsidRDefault="00A963E0" w:rsidP="001370A2">
            <w:pPr>
              <w:ind w:right="386"/>
              <w:jc w:val="right"/>
              <w:rPr>
                <w:sz w:val="22"/>
                <w:szCs w:val="22"/>
              </w:rPr>
            </w:pPr>
            <w:r w:rsidRPr="00AD2B88">
              <w:rPr>
                <w:sz w:val="22"/>
                <w:szCs w:val="22"/>
              </w:rPr>
              <w:t>22</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Vlaams-Brabant</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22,6%</w:t>
            </w:r>
          </w:p>
        </w:tc>
        <w:tc>
          <w:tcPr>
            <w:tcW w:w="1547" w:type="dxa"/>
            <w:tcBorders>
              <w:top w:val="nil"/>
              <w:left w:val="nil"/>
              <w:bottom w:val="nil"/>
              <w:right w:val="nil"/>
            </w:tcBorders>
          </w:tcPr>
          <w:p w:rsidR="00A963E0" w:rsidRPr="00AD2B88" w:rsidRDefault="00A963E0" w:rsidP="001370A2">
            <w:pPr>
              <w:ind w:right="386"/>
              <w:jc w:val="right"/>
              <w:rPr>
                <w:sz w:val="22"/>
                <w:szCs w:val="22"/>
              </w:rPr>
            </w:pPr>
            <w:r w:rsidRPr="00AD2B88">
              <w:rPr>
                <w:sz w:val="22"/>
                <w:szCs w:val="22"/>
              </w:rPr>
              <w:t>30</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sz w:val="22"/>
                <w:szCs w:val="22"/>
              </w:rPr>
            </w:pPr>
            <w:r w:rsidRPr="00AD2B88">
              <w:rPr>
                <w:sz w:val="22"/>
                <w:szCs w:val="22"/>
              </w:rPr>
              <w:t>West-Vlaanderen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sz w:val="22"/>
                <w:szCs w:val="22"/>
              </w:rPr>
            </w:pPr>
            <w:r w:rsidRPr="00AD2B88">
              <w:rPr>
                <w:sz w:val="22"/>
                <w:szCs w:val="22"/>
              </w:rPr>
              <w:t>31,2%</w:t>
            </w:r>
          </w:p>
        </w:tc>
        <w:tc>
          <w:tcPr>
            <w:tcW w:w="1547" w:type="dxa"/>
            <w:tcBorders>
              <w:top w:val="nil"/>
              <w:left w:val="nil"/>
              <w:bottom w:val="nil"/>
              <w:right w:val="nil"/>
            </w:tcBorders>
          </w:tcPr>
          <w:p w:rsidR="00A963E0" w:rsidRPr="00AD2B88" w:rsidRDefault="00A963E0" w:rsidP="001370A2">
            <w:pPr>
              <w:ind w:right="386"/>
              <w:jc w:val="right"/>
              <w:rPr>
                <w:sz w:val="22"/>
                <w:szCs w:val="22"/>
              </w:rPr>
            </w:pPr>
            <w:r w:rsidRPr="00AD2B88">
              <w:rPr>
                <w:sz w:val="22"/>
                <w:szCs w:val="22"/>
              </w:rPr>
              <w:t>44</w:t>
            </w:r>
          </w:p>
        </w:tc>
      </w:tr>
      <w:tr w:rsidR="00A963E0" w:rsidRPr="00AD2B88" w:rsidTr="00752033">
        <w:trPr>
          <w:trHeight w:val="255"/>
        </w:trPr>
        <w:tc>
          <w:tcPr>
            <w:tcW w:w="2284" w:type="dxa"/>
            <w:tcBorders>
              <w:top w:val="nil"/>
              <w:left w:val="nil"/>
              <w:bottom w:val="nil"/>
              <w:right w:val="nil"/>
            </w:tcBorders>
            <w:noWrap/>
            <w:vAlign w:val="bottom"/>
          </w:tcPr>
          <w:p w:rsidR="00A963E0" w:rsidRPr="00AD2B88" w:rsidRDefault="00A963E0" w:rsidP="001370A2">
            <w:pPr>
              <w:rPr>
                <w:b/>
                <w:sz w:val="22"/>
                <w:szCs w:val="22"/>
              </w:rPr>
            </w:pPr>
            <w:r w:rsidRPr="00AD2B88">
              <w:rPr>
                <w:b/>
                <w:sz w:val="22"/>
                <w:szCs w:val="22"/>
              </w:rPr>
              <w:t>VLAANDEREN</w:t>
            </w:r>
          </w:p>
        </w:tc>
        <w:tc>
          <w:tcPr>
            <w:tcW w:w="1547" w:type="dxa"/>
            <w:tcBorders>
              <w:top w:val="nil"/>
              <w:left w:val="nil"/>
              <w:bottom w:val="nil"/>
              <w:right w:val="nil"/>
            </w:tcBorders>
            <w:noWrap/>
            <w:vAlign w:val="bottom"/>
          </w:tcPr>
          <w:p w:rsidR="00A963E0" w:rsidRPr="00AD2B88" w:rsidRDefault="00A963E0" w:rsidP="001370A2">
            <w:pPr>
              <w:ind w:right="386"/>
              <w:jc w:val="right"/>
              <w:rPr>
                <w:b/>
                <w:sz w:val="22"/>
                <w:szCs w:val="22"/>
              </w:rPr>
            </w:pPr>
            <w:r w:rsidRPr="00AD2B88">
              <w:rPr>
                <w:b/>
                <w:sz w:val="22"/>
                <w:szCs w:val="22"/>
              </w:rPr>
              <w:t>23,2%</w:t>
            </w:r>
          </w:p>
        </w:tc>
        <w:tc>
          <w:tcPr>
            <w:tcW w:w="1547" w:type="dxa"/>
            <w:tcBorders>
              <w:top w:val="nil"/>
              <w:left w:val="nil"/>
              <w:bottom w:val="nil"/>
              <w:right w:val="nil"/>
            </w:tcBorders>
          </w:tcPr>
          <w:p w:rsidR="00A963E0" w:rsidRPr="00AD2B88" w:rsidRDefault="00A963E0" w:rsidP="001370A2">
            <w:pPr>
              <w:ind w:right="386"/>
              <w:jc w:val="right"/>
              <w:rPr>
                <w:b/>
                <w:sz w:val="22"/>
                <w:szCs w:val="22"/>
              </w:rPr>
            </w:pPr>
            <w:r w:rsidRPr="00AD2B88">
              <w:rPr>
                <w:b/>
                <w:sz w:val="22"/>
                <w:szCs w:val="22"/>
              </w:rPr>
              <w:t>162</w:t>
            </w:r>
          </w:p>
        </w:tc>
      </w:tr>
    </w:tbl>
    <w:p w:rsidR="00A963E0" w:rsidRPr="00AD2B88" w:rsidRDefault="00A963E0" w:rsidP="00CB3A85">
      <w:pPr>
        <w:jc w:val="both"/>
        <w:rPr>
          <w:sz w:val="22"/>
          <w:szCs w:val="22"/>
        </w:rPr>
      </w:pPr>
    </w:p>
    <w:p w:rsidR="00A963E0" w:rsidRPr="00AD2B88" w:rsidRDefault="00A963E0" w:rsidP="00752033">
      <w:pPr>
        <w:ind w:left="360"/>
        <w:jc w:val="both"/>
        <w:rPr>
          <w:sz w:val="22"/>
          <w:szCs w:val="22"/>
          <w:lang w:val="nl-BE"/>
        </w:rPr>
      </w:pPr>
      <w:r w:rsidRPr="00AD2B88">
        <w:rPr>
          <w:sz w:val="22"/>
          <w:szCs w:val="22"/>
          <w:lang w:val="nl-BE"/>
        </w:rPr>
        <w:t>De persoon vraagt het arbeidsgereedschap aan door middel van een elektronisch formulier dat op de website staat van de VDAB</w:t>
      </w:r>
      <w:r>
        <w:rPr>
          <w:sz w:val="22"/>
          <w:szCs w:val="22"/>
          <w:lang w:val="nl-BE"/>
        </w:rPr>
        <w:t xml:space="preserve"> en </w:t>
      </w:r>
      <w:r w:rsidRPr="00AD2B88">
        <w:rPr>
          <w:sz w:val="22"/>
          <w:szCs w:val="22"/>
          <w:lang w:val="nl-BE"/>
        </w:rPr>
        <w:t>krijgt automatisch per e-mail een bevestiging van de aanvraag. Op die bevestiging staat het dossiernummer van de aanvraag.</w:t>
      </w:r>
    </w:p>
    <w:p w:rsidR="00A963E0" w:rsidRPr="00AD2B88" w:rsidRDefault="00A963E0" w:rsidP="00752033">
      <w:pPr>
        <w:ind w:left="360"/>
        <w:jc w:val="both"/>
        <w:rPr>
          <w:sz w:val="22"/>
          <w:szCs w:val="22"/>
          <w:lang w:val="nl-BE"/>
        </w:rPr>
      </w:pPr>
      <w:r w:rsidRPr="00AD2B88">
        <w:rPr>
          <w:sz w:val="22"/>
          <w:szCs w:val="22"/>
          <w:lang w:val="nl-BE"/>
        </w:rPr>
        <w:t xml:space="preserve">In “mijnVDAB” (het persoonlijk elektronische dossier bij VDAB) kan de klant het verdere verloop van de aanvraag opvolgen. Van behandeling tot beslissing en betaling van de tussenkomst. </w:t>
      </w:r>
    </w:p>
    <w:p w:rsidR="00A963E0" w:rsidRPr="00AD2B88" w:rsidRDefault="00A963E0" w:rsidP="007379CE">
      <w:pPr>
        <w:rPr>
          <w:sz w:val="22"/>
          <w:szCs w:val="22"/>
          <w:lang w:val="nl-BE"/>
        </w:rPr>
      </w:pPr>
    </w:p>
    <w:p w:rsidR="00A963E0" w:rsidRPr="00AD2B88" w:rsidRDefault="00A963E0" w:rsidP="00752033">
      <w:pPr>
        <w:ind w:left="360"/>
        <w:jc w:val="both"/>
        <w:rPr>
          <w:sz w:val="22"/>
          <w:szCs w:val="22"/>
          <w:lang w:val="nl-BE"/>
        </w:rPr>
      </w:pPr>
      <w:r w:rsidRPr="00AD2B88">
        <w:rPr>
          <w:sz w:val="22"/>
          <w:szCs w:val="22"/>
          <w:lang w:val="nl-BE"/>
        </w:rPr>
        <w:t>Wanneer de aanvraag gebeurt door een persoon di</w:t>
      </w:r>
      <w:r>
        <w:rPr>
          <w:sz w:val="22"/>
          <w:szCs w:val="22"/>
          <w:lang w:val="nl-BE"/>
        </w:rPr>
        <w:t>e nog geen recht heeft op AG,</w:t>
      </w:r>
      <w:r w:rsidRPr="00AD2B88">
        <w:rPr>
          <w:sz w:val="22"/>
          <w:szCs w:val="22"/>
          <w:lang w:val="nl-BE"/>
        </w:rPr>
        <w:t xml:space="preserve"> zal de dienst eerst onderzoeken of de persoon het recht kan aanvragen. Intussen blijft de aanvraag van het arbeidsgereed</w:t>
      </w:r>
      <w:r>
        <w:rPr>
          <w:sz w:val="22"/>
          <w:szCs w:val="22"/>
          <w:lang w:val="nl-BE"/>
        </w:rPr>
        <w:softHyphen/>
      </w:r>
      <w:r w:rsidRPr="00AD2B88">
        <w:rPr>
          <w:sz w:val="22"/>
          <w:szCs w:val="22"/>
          <w:lang w:val="nl-BE"/>
        </w:rPr>
        <w:t>schap in behandeling staan zodat de looptijd van de behandeling van deze dossiers oploopt.</w:t>
      </w:r>
    </w:p>
    <w:p w:rsidR="00A963E0" w:rsidRPr="00AD2B88" w:rsidRDefault="00A963E0" w:rsidP="007379CE">
      <w:pPr>
        <w:rPr>
          <w:sz w:val="22"/>
          <w:szCs w:val="22"/>
          <w:lang w:val="nl-BE"/>
        </w:rPr>
      </w:pPr>
    </w:p>
    <w:p w:rsidR="00A963E0" w:rsidRPr="00AD2B88" w:rsidRDefault="00A963E0" w:rsidP="00752033">
      <w:pPr>
        <w:ind w:left="360"/>
        <w:jc w:val="both"/>
        <w:rPr>
          <w:sz w:val="22"/>
          <w:szCs w:val="22"/>
          <w:lang w:val="nl-BE"/>
        </w:rPr>
      </w:pPr>
      <w:r w:rsidRPr="00AD2B88">
        <w:rPr>
          <w:sz w:val="22"/>
          <w:szCs w:val="22"/>
          <w:lang w:val="nl-BE"/>
        </w:rPr>
        <w:t>Bij sommige aanvragen ontbreken noodzakelijke gegevens (o.a. prijsoffertes van de gevraagde gereed</w:t>
      </w:r>
      <w:r>
        <w:rPr>
          <w:sz w:val="22"/>
          <w:szCs w:val="22"/>
          <w:lang w:val="nl-BE"/>
        </w:rPr>
        <w:softHyphen/>
      </w:r>
      <w:r w:rsidRPr="00AD2B88">
        <w:rPr>
          <w:sz w:val="22"/>
          <w:szCs w:val="22"/>
          <w:lang w:val="nl-BE"/>
        </w:rPr>
        <w:t>schappen). Ook deze dossiers worden niet afgesloten en blijven lopen tot de dienst de gevraagde documenten krijgt.</w:t>
      </w:r>
    </w:p>
    <w:p w:rsidR="00A963E0" w:rsidRPr="00AD2B88" w:rsidRDefault="00A963E0" w:rsidP="007379CE">
      <w:pPr>
        <w:rPr>
          <w:sz w:val="22"/>
          <w:szCs w:val="22"/>
          <w:lang w:val="nl-BE"/>
        </w:rPr>
      </w:pPr>
    </w:p>
    <w:p w:rsidR="00A963E0" w:rsidRPr="00AD2B88" w:rsidRDefault="00A963E0" w:rsidP="00752033">
      <w:pPr>
        <w:ind w:left="360"/>
        <w:jc w:val="both"/>
        <w:rPr>
          <w:sz w:val="22"/>
          <w:szCs w:val="22"/>
          <w:lang w:val="nl-BE"/>
        </w:rPr>
      </w:pPr>
      <w:r w:rsidRPr="00AD2B88">
        <w:rPr>
          <w:sz w:val="22"/>
          <w:szCs w:val="22"/>
          <w:lang w:val="nl-BE"/>
        </w:rPr>
        <w:t>In meerdere gevallen gaat de deskundige vooraleer te beslissen eerst naar de werkplek om samen met de werknemer en werkgever te zoeken naar de beste oplossing.</w:t>
      </w:r>
    </w:p>
    <w:p w:rsidR="00A963E0" w:rsidRPr="00AD2B88" w:rsidRDefault="00A963E0" w:rsidP="007379CE">
      <w:pPr>
        <w:rPr>
          <w:sz w:val="22"/>
          <w:szCs w:val="22"/>
          <w:lang w:val="nl-BE"/>
        </w:rPr>
      </w:pPr>
    </w:p>
    <w:p w:rsidR="00A963E0" w:rsidRPr="00AD2B88" w:rsidRDefault="00A963E0" w:rsidP="00752033">
      <w:pPr>
        <w:ind w:left="360"/>
        <w:jc w:val="both"/>
        <w:rPr>
          <w:sz w:val="22"/>
          <w:szCs w:val="22"/>
          <w:lang w:val="nl-BE"/>
        </w:rPr>
      </w:pPr>
      <w:r w:rsidRPr="00AD2B88">
        <w:rPr>
          <w:sz w:val="22"/>
          <w:szCs w:val="22"/>
          <w:lang w:val="nl-BE"/>
        </w:rPr>
        <w:t>Wanneer een aanvraagdossier volledig is en de dienst de situatie kent (bv. aanvraag van de upgrade van vergrotingssoftware, v</w:t>
      </w:r>
      <w:r>
        <w:rPr>
          <w:sz w:val="22"/>
          <w:szCs w:val="22"/>
          <w:lang w:val="nl-BE"/>
        </w:rPr>
        <w:t xml:space="preserve">an schermuitleessoftware,…), </w:t>
      </w:r>
      <w:r w:rsidRPr="00AD2B88">
        <w:rPr>
          <w:sz w:val="22"/>
          <w:szCs w:val="22"/>
          <w:lang w:val="nl-BE"/>
        </w:rPr>
        <w:t>kan de beslissing heel vlug genomen worden. Dit gebeurt soms de dag zelf.</w:t>
      </w:r>
    </w:p>
    <w:p w:rsidR="00A963E0" w:rsidRPr="00AD2B88" w:rsidRDefault="00A963E0" w:rsidP="00CB3A85">
      <w:pPr>
        <w:jc w:val="both"/>
        <w:rPr>
          <w:sz w:val="22"/>
          <w:szCs w:val="22"/>
        </w:rPr>
      </w:pPr>
    </w:p>
    <w:p w:rsidR="00A963E0" w:rsidRPr="00AD2B88" w:rsidRDefault="00A963E0" w:rsidP="00752033">
      <w:pPr>
        <w:numPr>
          <w:ilvl w:val="0"/>
          <w:numId w:val="9"/>
        </w:numPr>
        <w:jc w:val="both"/>
        <w:rPr>
          <w:sz w:val="22"/>
          <w:szCs w:val="22"/>
        </w:rPr>
      </w:pPr>
      <w:r w:rsidRPr="00AD2B88">
        <w:rPr>
          <w:sz w:val="22"/>
          <w:szCs w:val="22"/>
        </w:rPr>
        <w:t xml:space="preserve">Het aantal dossiers dat tot nu toe behandeld werd is relatief klein (zeker provinciaal bekeken), hierdoor kunnen enkele dossiers die, </w:t>
      </w:r>
      <w:r>
        <w:rPr>
          <w:sz w:val="22"/>
          <w:szCs w:val="22"/>
        </w:rPr>
        <w:t xml:space="preserve">gezien </w:t>
      </w:r>
      <w:r w:rsidRPr="00AD2B88">
        <w:rPr>
          <w:sz w:val="22"/>
          <w:szCs w:val="22"/>
        </w:rPr>
        <w:t>wat hierboven geschetst werd, een langere doorloopt</w:t>
      </w:r>
      <w:r>
        <w:rPr>
          <w:sz w:val="22"/>
          <w:szCs w:val="22"/>
        </w:rPr>
        <w:t>ijd hebben het beeld vertekenen en verschillen tussen de provincies uitvergroten.</w:t>
      </w:r>
    </w:p>
    <w:p w:rsidR="00A963E0" w:rsidRPr="00AD2B88" w:rsidRDefault="00A963E0" w:rsidP="00752033">
      <w:pPr>
        <w:ind w:left="360"/>
        <w:jc w:val="both"/>
        <w:rPr>
          <w:sz w:val="22"/>
          <w:szCs w:val="22"/>
        </w:rPr>
      </w:pPr>
      <w:r>
        <w:rPr>
          <w:sz w:val="22"/>
          <w:szCs w:val="22"/>
        </w:rPr>
        <w:t>De dienst Arbeidshandicap van de VDAB is na de bijzondere aandacht die in de recente periode naar de hervorming in het stelsel van de Vlaamse Ondersteuningspremie (VOP) is gegaan, dit voorjaar gestart met het evalueren en bijsturen van de procedures en processen voor andere Bijzondere Tewerkstellings</w:t>
      </w:r>
      <w:r>
        <w:rPr>
          <w:sz w:val="22"/>
          <w:szCs w:val="22"/>
        </w:rPr>
        <w:softHyphen/>
        <w:t>ondersteunende maatregelen, waaronder de tegemoetkoming voor arbeidsgereedschap.</w:t>
      </w:r>
    </w:p>
    <w:sectPr w:rsidR="00A963E0" w:rsidRPr="00AD2B88"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F31733E"/>
    <w:multiLevelType w:val="hybridMultilevel"/>
    <w:tmpl w:val="C0F8A1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2C50D87"/>
    <w:multiLevelType w:val="multilevel"/>
    <w:tmpl w:val="030E9A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9AF68DD"/>
    <w:multiLevelType w:val="hybridMultilevel"/>
    <w:tmpl w:val="2A0C5B8C"/>
    <w:lvl w:ilvl="0" w:tplc="E3085BF4">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0"/>
  </w:num>
  <w:num w:numId="3">
    <w:abstractNumId w:val="2"/>
  </w:num>
  <w:num w:numId="4">
    <w:abstractNumId w:val="3"/>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42"/>
    <w:rsid w:val="00041858"/>
    <w:rsid w:val="000610CE"/>
    <w:rsid w:val="00097B14"/>
    <w:rsid w:val="00132BD7"/>
    <w:rsid w:val="001370A2"/>
    <w:rsid w:val="001418EC"/>
    <w:rsid w:val="001570F9"/>
    <w:rsid w:val="00165725"/>
    <w:rsid w:val="001A5B8A"/>
    <w:rsid w:val="001C2C78"/>
    <w:rsid w:val="001E2A24"/>
    <w:rsid w:val="002173F0"/>
    <w:rsid w:val="00291A76"/>
    <w:rsid w:val="002C779D"/>
    <w:rsid w:val="003205CB"/>
    <w:rsid w:val="003616F3"/>
    <w:rsid w:val="003C60B8"/>
    <w:rsid w:val="003E7658"/>
    <w:rsid w:val="00463D2B"/>
    <w:rsid w:val="00484404"/>
    <w:rsid w:val="00492D21"/>
    <w:rsid w:val="004B1659"/>
    <w:rsid w:val="00572E3E"/>
    <w:rsid w:val="005C701D"/>
    <w:rsid w:val="00605837"/>
    <w:rsid w:val="0064100C"/>
    <w:rsid w:val="00656FB5"/>
    <w:rsid w:val="006632DE"/>
    <w:rsid w:val="006918D8"/>
    <w:rsid w:val="006943E3"/>
    <w:rsid w:val="006A4CA8"/>
    <w:rsid w:val="006B7FCC"/>
    <w:rsid w:val="006D4450"/>
    <w:rsid w:val="006F477D"/>
    <w:rsid w:val="006F6814"/>
    <w:rsid w:val="00707498"/>
    <w:rsid w:val="00734FDE"/>
    <w:rsid w:val="007379CE"/>
    <w:rsid w:val="00752033"/>
    <w:rsid w:val="00753CC6"/>
    <w:rsid w:val="007613B5"/>
    <w:rsid w:val="007A33AA"/>
    <w:rsid w:val="007F06B3"/>
    <w:rsid w:val="008906D6"/>
    <w:rsid w:val="008E60A9"/>
    <w:rsid w:val="009373D7"/>
    <w:rsid w:val="009C0FF4"/>
    <w:rsid w:val="00A75778"/>
    <w:rsid w:val="00A87C70"/>
    <w:rsid w:val="00A963E0"/>
    <w:rsid w:val="00AA4E03"/>
    <w:rsid w:val="00AD2B88"/>
    <w:rsid w:val="00B27878"/>
    <w:rsid w:val="00B373A0"/>
    <w:rsid w:val="00B66119"/>
    <w:rsid w:val="00BC0E1F"/>
    <w:rsid w:val="00C658A4"/>
    <w:rsid w:val="00CB3A85"/>
    <w:rsid w:val="00D06542"/>
    <w:rsid w:val="00DA2502"/>
    <w:rsid w:val="00DF0EAA"/>
    <w:rsid w:val="00E37C52"/>
    <w:rsid w:val="00E56C41"/>
    <w:rsid w:val="00E7231E"/>
    <w:rsid w:val="00EB1EE1"/>
    <w:rsid w:val="00EC7346"/>
    <w:rsid w:val="00ED0183"/>
    <w:rsid w:val="00EE0092"/>
    <w:rsid w:val="00F6262A"/>
    <w:rsid w:val="00F912C3"/>
    <w:rsid w:val="00FD2B0C"/>
    <w:rsid w:val="00FE0D2B"/>
    <w:rsid w:val="00FE36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B3"/>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Titel">
    <w:name w:val="SV Titel"/>
    <w:basedOn w:val="Normal"/>
    <w:uiPriority w:val="99"/>
    <w:rsid w:val="00D06542"/>
    <w:pPr>
      <w:jc w:val="both"/>
    </w:pPr>
    <w:rPr>
      <w:i/>
      <w:sz w:val="22"/>
      <w:szCs w:val="20"/>
    </w:rPr>
  </w:style>
  <w:style w:type="paragraph" w:customStyle="1" w:styleId="StandaardSV">
    <w:name w:val="Standaard SV"/>
    <w:basedOn w:val="Normal"/>
    <w:uiPriority w:val="99"/>
    <w:rsid w:val="00D06542"/>
    <w:pPr>
      <w:jc w:val="both"/>
    </w:pPr>
    <w:rPr>
      <w:sz w:val="22"/>
      <w:szCs w:val="20"/>
    </w:rPr>
  </w:style>
  <w:style w:type="paragraph" w:styleId="Footer">
    <w:name w:val="footer"/>
    <w:basedOn w:val="Normal"/>
    <w:link w:val="FooterChar"/>
    <w:uiPriority w:val="99"/>
    <w:rsid w:val="00A75778"/>
    <w:pPr>
      <w:tabs>
        <w:tab w:val="center" w:pos="4819"/>
        <w:tab w:val="right" w:pos="9071"/>
      </w:tabs>
    </w:pPr>
    <w:rPr>
      <w:sz w:val="20"/>
      <w:szCs w:val="20"/>
      <w:lang w:eastAsia="en-US"/>
    </w:rPr>
  </w:style>
  <w:style w:type="character" w:customStyle="1" w:styleId="FooterChar">
    <w:name w:val="Footer Char"/>
    <w:basedOn w:val="DefaultParagraphFont"/>
    <w:link w:val="Footer"/>
    <w:uiPriority w:val="99"/>
    <w:semiHidden/>
    <w:rsid w:val="00973A97"/>
    <w:rPr>
      <w:sz w:val="24"/>
      <w:szCs w:val="24"/>
      <w:lang w:val="nl-NL" w:eastAsia="nl-NL"/>
    </w:rPr>
  </w:style>
  <w:style w:type="paragraph" w:customStyle="1" w:styleId="SVVlaamsParlement">
    <w:name w:val="SV Vlaams Parlement"/>
    <w:basedOn w:val="Normal"/>
    <w:uiPriority w:val="99"/>
    <w:rsid w:val="00CB3A85"/>
    <w:pPr>
      <w:jc w:val="both"/>
    </w:pPr>
    <w:rPr>
      <w:b/>
      <w:smallCaps/>
      <w:sz w:val="22"/>
      <w:szCs w:val="20"/>
    </w:rPr>
  </w:style>
  <w:style w:type="paragraph" w:styleId="BalloonText">
    <w:name w:val="Balloon Text"/>
    <w:basedOn w:val="Normal"/>
    <w:link w:val="BalloonTextChar"/>
    <w:uiPriority w:val="99"/>
    <w:rsid w:val="00C658A4"/>
    <w:rPr>
      <w:rFonts w:ascii="Tahoma" w:hAnsi="Tahoma" w:cs="Tahoma"/>
      <w:sz w:val="16"/>
      <w:szCs w:val="16"/>
    </w:rPr>
  </w:style>
  <w:style w:type="character" w:customStyle="1" w:styleId="BalloonTextChar">
    <w:name w:val="Balloon Text Char"/>
    <w:basedOn w:val="DefaultParagraphFont"/>
    <w:link w:val="BalloonText"/>
    <w:uiPriority w:val="99"/>
    <w:locked/>
    <w:rsid w:val="00C658A4"/>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799910063">
      <w:marLeft w:val="0"/>
      <w:marRight w:val="0"/>
      <w:marTop w:val="0"/>
      <w:marBottom w:val="0"/>
      <w:divBdr>
        <w:top w:val="none" w:sz="0" w:space="0" w:color="auto"/>
        <w:left w:val="none" w:sz="0" w:space="0" w:color="auto"/>
        <w:bottom w:val="none" w:sz="0" w:space="0" w:color="auto"/>
        <w:right w:val="none" w:sz="0" w:space="0" w:color="auto"/>
      </w:divBdr>
    </w:div>
    <w:div w:id="1799910064">
      <w:marLeft w:val="0"/>
      <w:marRight w:val="0"/>
      <w:marTop w:val="0"/>
      <w:marBottom w:val="0"/>
      <w:divBdr>
        <w:top w:val="none" w:sz="0" w:space="0" w:color="auto"/>
        <w:left w:val="none" w:sz="0" w:space="0" w:color="auto"/>
        <w:bottom w:val="none" w:sz="0" w:space="0" w:color="auto"/>
        <w:right w:val="none" w:sz="0" w:space="0" w:color="auto"/>
      </w:divBdr>
    </w:div>
    <w:div w:id="1799910065">
      <w:marLeft w:val="0"/>
      <w:marRight w:val="0"/>
      <w:marTop w:val="0"/>
      <w:marBottom w:val="0"/>
      <w:divBdr>
        <w:top w:val="none" w:sz="0" w:space="0" w:color="auto"/>
        <w:left w:val="none" w:sz="0" w:space="0" w:color="auto"/>
        <w:bottom w:val="none" w:sz="0" w:space="0" w:color="auto"/>
        <w:right w:val="none" w:sz="0" w:space="0" w:color="auto"/>
      </w:divBdr>
    </w:div>
    <w:div w:id="1799910066">
      <w:marLeft w:val="0"/>
      <w:marRight w:val="0"/>
      <w:marTop w:val="0"/>
      <w:marBottom w:val="0"/>
      <w:divBdr>
        <w:top w:val="none" w:sz="0" w:space="0" w:color="auto"/>
        <w:left w:val="none" w:sz="0" w:space="0" w:color="auto"/>
        <w:bottom w:val="none" w:sz="0" w:space="0" w:color="auto"/>
        <w:right w:val="none" w:sz="0" w:space="0" w:color="auto"/>
      </w:divBdr>
    </w:div>
    <w:div w:id="1799910067">
      <w:marLeft w:val="0"/>
      <w:marRight w:val="0"/>
      <w:marTop w:val="0"/>
      <w:marBottom w:val="0"/>
      <w:divBdr>
        <w:top w:val="none" w:sz="0" w:space="0" w:color="auto"/>
        <w:left w:val="none" w:sz="0" w:space="0" w:color="auto"/>
        <w:bottom w:val="none" w:sz="0" w:space="0" w:color="auto"/>
        <w:right w:val="none" w:sz="0" w:space="0" w:color="auto"/>
      </w:divBdr>
    </w:div>
    <w:div w:id="1799910068">
      <w:marLeft w:val="0"/>
      <w:marRight w:val="0"/>
      <w:marTop w:val="0"/>
      <w:marBottom w:val="0"/>
      <w:divBdr>
        <w:top w:val="none" w:sz="0" w:space="0" w:color="auto"/>
        <w:left w:val="none" w:sz="0" w:space="0" w:color="auto"/>
        <w:bottom w:val="none" w:sz="0" w:space="0" w:color="auto"/>
        <w:right w:val="none" w:sz="0" w:space="0" w:color="auto"/>
      </w:divBdr>
    </w:div>
    <w:div w:id="1799910069">
      <w:marLeft w:val="0"/>
      <w:marRight w:val="0"/>
      <w:marTop w:val="0"/>
      <w:marBottom w:val="0"/>
      <w:divBdr>
        <w:top w:val="none" w:sz="0" w:space="0" w:color="auto"/>
        <w:left w:val="none" w:sz="0" w:space="0" w:color="auto"/>
        <w:bottom w:val="none" w:sz="0" w:space="0" w:color="auto"/>
        <w:right w:val="none" w:sz="0" w:space="0" w:color="auto"/>
      </w:divBdr>
    </w:div>
    <w:div w:id="1799910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5</TotalTime>
  <Pages>2</Pages>
  <Words>481</Words>
  <Characters>2649</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LCAEL</dc:creator>
  <cp:keywords/>
  <dc:description/>
  <cp:lastModifiedBy>Nathalie De Keyzer</cp:lastModifiedBy>
  <cp:revision>3</cp:revision>
  <cp:lastPrinted>2011-06-10T09:15:00Z</cp:lastPrinted>
  <dcterms:created xsi:type="dcterms:W3CDTF">2011-06-10T09:16:00Z</dcterms:created>
  <dcterms:modified xsi:type="dcterms:W3CDTF">2011-06-14T13:49:00Z</dcterms:modified>
</cp:coreProperties>
</file>