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6B2658" w:rsidRPr="00DD4121" w:rsidRDefault="006B2658"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6B2658" w:rsidRPr="00015BF7" w:rsidRDefault="006B2658"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en vlaams minister van economie, buitenlands beleid, landbouw en plattelandsbeleid</w:t>
      </w:r>
      <w:r>
        <w:fldChar w:fldCharType="end"/>
      </w:r>
      <w:bookmarkEnd w:id="1"/>
    </w:p>
    <w:p w:rsidR="006B2658" w:rsidRPr="00015BF7" w:rsidRDefault="006B2658" w:rsidP="000976E9">
      <w:pPr>
        <w:rPr>
          <w:szCs w:val="22"/>
        </w:rPr>
      </w:pPr>
    </w:p>
    <w:p w:rsidR="006B2658" w:rsidRPr="00DB41C0" w:rsidRDefault="006B2658" w:rsidP="000976E9">
      <w:pPr>
        <w:pStyle w:val="A-Lijn"/>
      </w:pPr>
    </w:p>
    <w:p w:rsidR="006B2658" w:rsidRDefault="006B2658" w:rsidP="000976E9">
      <w:pPr>
        <w:pStyle w:val="A-Type"/>
        <w:sectPr w:rsidR="006B2658">
          <w:pgSz w:w="11906" w:h="16838"/>
          <w:pgMar w:top="1417" w:right="1417" w:bottom="1417" w:left="1417" w:header="708" w:footer="708" w:gutter="0"/>
          <w:cols w:space="708"/>
          <w:rtlGutter/>
          <w:docGrid w:linePitch="360"/>
        </w:sectPr>
      </w:pPr>
    </w:p>
    <w:p w:rsidR="006B2658" w:rsidRDefault="006B2658" w:rsidP="000976E9">
      <w:pPr>
        <w:pStyle w:val="A-Type"/>
        <w:sectPr w:rsidR="006B2658"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6B2658" w:rsidRPr="00326A58" w:rsidRDefault="006B2658"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302</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4</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6B2658" w:rsidRDefault="006B2658"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marc hendrickx</w:t>
      </w:r>
      <w:r w:rsidRPr="009D7043">
        <w:rPr>
          <w:rStyle w:val="AntwoordNaamMinisterChar"/>
          <w:sz w:val="22"/>
        </w:rPr>
        <w:fldChar w:fldCharType="end"/>
      </w:r>
    </w:p>
    <w:p w:rsidR="006B2658" w:rsidRPr="00015BF7" w:rsidRDefault="006B2658" w:rsidP="000976E9">
      <w:pPr>
        <w:rPr>
          <w:szCs w:val="22"/>
        </w:rPr>
      </w:pPr>
    </w:p>
    <w:p w:rsidR="006B2658" w:rsidRPr="00DB41C0" w:rsidRDefault="006B2658" w:rsidP="000976E9">
      <w:pPr>
        <w:pStyle w:val="A-Lijn"/>
      </w:pPr>
    </w:p>
    <w:p w:rsidR="006B2658" w:rsidRPr="00DB41C0" w:rsidRDefault="006B2658" w:rsidP="000976E9">
      <w:pPr>
        <w:pStyle w:val="A-Lijn"/>
      </w:pPr>
    </w:p>
    <w:p w:rsidR="006B2658" w:rsidRDefault="006B2658" w:rsidP="00DB41C0">
      <w:pPr>
        <w:sectPr w:rsidR="006B2658" w:rsidSect="000976E9">
          <w:type w:val="continuous"/>
          <w:pgSz w:w="11906" w:h="16838"/>
          <w:pgMar w:top="1417" w:right="1417" w:bottom="1417" w:left="1417" w:header="708" w:footer="708" w:gutter="0"/>
          <w:cols w:space="708"/>
          <w:rtlGutter/>
          <w:docGrid w:linePitch="360"/>
        </w:sectPr>
      </w:pPr>
    </w:p>
    <w:p w:rsidR="006B2658" w:rsidRDefault="006B2658" w:rsidP="00EB2E66">
      <w:pPr>
        <w:jc w:val="both"/>
      </w:pPr>
      <w:r>
        <w:t xml:space="preserve">De Vlaamse overheid ontving sinds </w:t>
      </w:r>
      <w:smartTag w:uri="urn:schemas-microsoft-com:office:smarttags" w:element="metricconverter">
        <w:smartTagPr>
          <w:attr w:name="ProductID" w:val="2006 in"/>
        </w:smartTagPr>
        <w:r>
          <w:t>2006 in</w:t>
        </w:r>
      </w:smartTag>
      <w:r>
        <w:t xml:space="preserve"> totaal negen aanvragen tot waarborgverstrekking. Hieronder volgt de opdeling per jaar.</w:t>
      </w:r>
    </w:p>
    <w:p w:rsidR="006B2658" w:rsidRDefault="006B2658" w:rsidP="00EB2E66"/>
    <w:tbl>
      <w:tblPr>
        <w:tblW w:w="9072" w:type="dxa"/>
        <w:tblInd w:w="108" w:type="dxa"/>
        <w:tblBorders>
          <w:top w:val="single" w:sz="12" w:space="0" w:color="000000"/>
          <w:bottom w:val="single" w:sz="12" w:space="0" w:color="000000"/>
        </w:tblBorders>
        <w:tblLook w:val="00A0"/>
      </w:tblPr>
      <w:tblGrid>
        <w:gridCol w:w="1985"/>
        <w:gridCol w:w="1134"/>
        <w:gridCol w:w="1276"/>
        <w:gridCol w:w="1134"/>
        <w:gridCol w:w="1134"/>
        <w:gridCol w:w="1275"/>
        <w:gridCol w:w="1134"/>
      </w:tblGrid>
      <w:tr w:rsidR="006B2658" w:rsidTr="00B9410C">
        <w:tc>
          <w:tcPr>
            <w:tcW w:w="1985" w:type="dxa"/>
            <w:tcBorders>
              <w:top w:val="single" w:sz="12" w:space="0" w:color="000000"/>
              <w:bottom w:val="single" w:sz="6" w:space="0" w:color="000000"/>
              <w:right w:val="single" w:sz="6" w:space="0" w:color="000000"/>
            </w:tcBorders>
          </w:tcPr>
          <w:p w:rsidR="006B2658" w:rsidRPr="00EE622C" w:rsidRDefault="006B2658" w:rsidP="00B9410C">
            <w:pPr>
              <w:rPr>
                <w:i/>
                <w:iCs/>
              </w:rPr>
            </w:pPr>
            <w:r w:rsidRPr="00EE622C">
              <w:rPr>
                <w:i/>
                <w:iCs/>
              </w:rPr>
              <w:t>Jaar</w:t>
            </w:r>
          </w:p>
        </w:tc>
        <w:tc>
          <w:tcPr>
            <w:tcW w:w="1134" w:type="dxa"/>
            <w:tcBorders>
              <w:top w:val="single" w:sz="12" w:space="0" w:color="000000"/>
              <w:bottom w:val="single" w:sz="6" w:space="0" w:color="000000"/>
            </w:tcBorders>
          </w:tcPr>
          <w:p w:rsidR="006B2658" w:rsidRPr="00EE622C" w:rsidRDefault="006B2658" w:rsidP="00B9410C">
            <w:pPr>
              <w:jc w:val="center"/>
              <w:rPr>
                <w:b/>
                <w:i/>
                <w:iCs/>
              </w:rPr>
            </w:pPr>
            <w:r w:rsidRPr="00EE622C">
              <w:rPr>
                <w:b/>
                <w:i/>
                <w:iCs/>
              </w:rPr>
              <w:t>2006</w:t>
            </w:r>
          </w:p>
        </w:tc>
        <w:tc>
          <w:tcPr>
            <w:tcW w:w="1276" w:type="dxa"/>
            <w:tcBorders>
              <w:top w:val="single" w:sz="12" w:space="0" w:color="000000"/>
              <w:bottom w:val="single" w:sz="6" w:space="0" w:color="000000"/>
            </w:tcBorders>
          </w:tcPr>
          <w:p w:rsidR="006B2658" w:rsidRPr="00EE622C" w:rsidRDefault="006B2658" w:rsidP="00B9410C">
            <w:pPr>
              <w:jc w:val="center"/>
              <w:rPr>
                <w:b/>
                <w:i/>
                <w:iCs/>
              </w:rPr>
            </w:pPr>
            <w:r w:rsidRPr="00EE622C">
              <w:rPr>
                <w:b/>
                <w:i/>
                <w:iCs/>
              </w:rPr>
              <w:t>2007</w:t>
            </w:r>
          </w:p>
        </w:tc>
        <w:tc>
          <w:tcPr>
            <w:tcW w:w="1134" w:type="dxa"/>
            <w:tcBorders>
              <w:top w:val="single" w:sz="12" w:space="0" w:color="000000"/>
              <w:bottom w:val="single" w:sz="6" w:space="0" w:color="000000"/>
            </w:tcBorders>
          </w:tcPr>
          <w:p w:rsidR="006B2658" w:rsidRPr="00EE622C" w:rsidRDefault="006B2658" w:rsidP="00B9410C">
            <w:pPr>
              <w:jc w:val="center"/>
              <w:rPr>
                <w:b/>
                <w:i/>
                <w:iCs/>
              </w:rPr>
            </w:pPr>
            <w:r w:rsidRPr="00EE622C">
              <w:rPr>
                <w:b/>
                <w:i/>
                <w:iCs/>
              </w:rPr>
              <w:t>2008</w:t>
            </w:r>
          </w:p>
        </w:tc>
        <w:tc>
          <w:tcPr>
            <w:tcW w:w="1134" w:type="dxa"/>
            <w:tcBorders>
              <w:top w:val="single" w:sz="12" w:space="0" w:color="000000"/>
              <w:bottom w:val="single" w:sz="6" w:space="0" w:color="000000"/>
            </w:tcBorders>
          </w:tcPr>
          <w:p w:rsidR="006B2658" w:rsidRPr="00EE622C" w:rsidRDefault="006B2658" w:rsidP="00B9410C">
            <w:pPr>
              <w:jc w:val="center"/>
              <w:rPr>
                <w:b/>
                <w:i/>
                <w:iCs/>
              </w:rPr>
            </w:pPr>
            <w:r w:rsidRPr="00EE622C">
              <w:rPr>
                <w:b/>
                <w:i/>
                <w:iCs/>
              </w:rPr>
              <w:t>2009</w:t>
            </w:r>
          </w:p>
        </w:tc>
        <w:tc>
          <w:tcPr>
            <w:tcW w:w="1275" w:type="dxa"/>
            <w:tcBorders>
              <w:top w:val="single" w:sz="12" w:space="0" w:color="000000"/>
              <w:bottom w:val="single" w:sz="6" w:space="0" w:color="000000"/>
            </w:tcBorders>
          </w:tcPr>
          <w:p w:rsidR="006B2658" w:rsidRPr="00EE622C" w:rsidRDefault="006B2658" w:rsidP="00B9410C">
            <w:pPr>
              <w:jc w:val="center"/>
              <w:rPr>
                <w:b/>
                <w:i/>
                <w:iCs/>
              </w:rPr>
            </w:pPr>
            <w:r w:rsidRPr="00EE622C">
              <w:rPr>
                <w:b/>
                <w:i/>
                <w:iCs/>
              </w:rPr>
              <w:t>2010</w:t>
            </w:r>
          </w:p>
        </w:tc>
        <w:tc>
          <w:tcPr>
            <w:tcW w:w="1134" w:type="dxa"/>
            <w:tcBorders>
              <w:top w:val="single" w:sz="12" w:space="0" w:color="000000"/>
              <w:bottom w:val="single" w:sz="6" w:space="0" w:color="000000"/>
            </w:tcBorders>
          </w:tcPr>
          <w:p w:rsidR="006B2658" w:rsidRPr="00EE622C" w:rsidRDefault="006B2658" w:rsidP="00B9410C">
            <w:pPr>
              <w:jc w:val="center"/>
              <w:rPr>
                <w:b/>
                <w:i/>
                <w:iCs/>
              </w:rPr>
            </w:pPr>
            <w:r w:rsidRPr="00EE622C">
              <w:rPr>
                <w:b/>
                <w:i/>
                <w:iCs/>
              </w:rPr>
              <w:t>2011</w:t>
            </w:r>
          </w:p>
        </w:tc>
      </w:tr>
      <w:tr w:rsidR="006B2658" w:rsidTr="00B9410C">
        <w:tc>
          <w:tcPr>
            <w:tcW w:w="1985" w:type="dxa"/>
            <w:tcBorders>
              <w:bottom w:val="single" w:sz="12" w:space="0" w:color="000000"/>
              <w:right w:val="single" w:sz="6" w:space="0" w:color="000000"/>
            </w:tcBorders>
          </w:tcPr>
          <w:p w:rsidR="006B2658" w:rsidRPr="00EE622C" w:rsidRDefault="006B2658" w:rsidP="00B9410C">
            <w:pPr>
              <w:rPr>
                <w:i/>
              </w:rPr>
            </w:pPr>
            <w:r w:rsidRPr="00EE622C">
              <w:rPr>
                <w:i/>
              </w:rPr>
              <w:t>Aantal aanvragen</w:t>
            </w:r>
          </w:p>
        </w:tc>
        <w:tc>
          <w:tcPr>
            <w:tcW w:w="1134" w:type="dxa"/>
            <w:tcBorders>
              <w:bottom w:val="single" w:sz="12" w:space="0" w:color="000000"/>
            </w:tcBorders>
          </w:tcPr>
          <w:p w:rsidR="006B2658" w:rsidRPr="00D56793" w:rsidRDefault="006B2658" w:rsidP="00B9410C">
            <w:pPr>
              <w:jc w:val="center"/>
            </w:pPr>
            <w:r w:rsidRPr="00D56793">
              <w:t>3</w:t>
            </w:r>
          </w:p>
        </w:tc>
        <w:tc>
          <w:tcPr>
            <w:tcW w:w="1276" w:type="dxa"/>
            <w:tcBorders>
              <w:bottom w:val="single" w:sz="12" w:space="0" w:color="000000"/>
            </w:tcBorders>
          </w:tcPr>
          <w:p w:rsidR="006B2658" w:rsidRPr="00D56793" w:rsidRDefault="006B2658" w:rsidP="00B9410C">
            <w:pPr>
              <w:jc w:val="center"/>
            </w:pPr>
            <w:r w:rsidRPr="00D56793">
              <w:t>0</w:t>
            </w:r>
          </w:p>
        </w:tc>
        <w:tc>
          <w:tcPr>
            <w:tcW w:w="1134" w:type="dxa"/>
            <w:tcBorders>
              <w:bottom w:val="single" w:sz="12" w:space="0" w:color="000000"/>
            </w:tcBorders>
          </w:tcPr>
          <w:p w:rsidR="006B2658" w:rsidRPr="00D56793" w:rsidRDefault="006B2658" w:rsidP="00B9410C">
            <w:pPr>
              <w:jc w:val="center"/>
            </w:pPr>
            <w:r w:rsidRPr="00D56793">
              <w:t>3</w:t>
            </w:r>
          </w:p>
        </w:tc>
        <w:tc>
          <w:tcPr>
            <w:tcW w:w="1134" w:type="dxa"/>
            <w:tcBorders>
              <w:bottom w:val="single" w:sz="12" w:space="0" w:color="000000"/>
            </w:tcBorders>
          </w:tcPr>
          <w:p w:rsidR="006B2658" w:rsidRPr="00D56793" w:rsidRDefault="006B2658" w:rsidP="00B9410C">
            <w:pPr>
              <w:jc w:val="center"/>
            </w:pPr>
            <w:r w:rsidRPr="00D56793">
              <w:t>1</w:t>
            </w:r>
          </w:p>
        </w:tc>
        <w:tc>
          <w:tcPr>
            <w:tcW w:w="1275" w:type="dxa"/>
            <w:tcBorders>
              <w:bottom w:val="single" w:sz="12" w:space="0" w:color="000000"/>
            </w:tcBorders>
          </w:tcPr>
          <w:p w:rsidR="006B2658" w:rsidRPr="00D56793" w:rsidRDefault="006B2658" w:rsidP="00B9410C">
            <w:pPr>
              <w:jc w:val="center"/>
            </w:pPr>
            <w:r w:rsidRPr="00D56793">
              <w:t>1</w:t>
            </w:r>
          </w:p>
        </w:tc>
        <w:tc>
          <w:tcPr>
            <w:tcW w:w="1134" w:type="dxa"/>
            <w:tcBorders>
              <w:bottom w:val="single" w:sz="12" w:space="0" w:color="000000"/>
            </w:tcBorders>
          </w:tcPr>
          <w:p w:rsidR="006B2658" w:rsidRPr="00D56793" w:rsidRDefault="006B2658" w:rsidP="00B9410C">
            <w:pPr>
              <w:jc w:val="center"/>
            </w:pPr>
            <w:r w:rsidRPr="00D56793">
              <w:t>1</w:t>
            </w:r>
          </w:p>
        </w:tc>
      </w:tr>
    </w:tbl>
    <w:p w:rsidR="006B2658" w:rsidRDefault="006B2658" w:rsidP="00EB2E66"/>
    <w:p w:rsidR="006B2658" w:rsidRDefault="006B2658" w:rsidP="00EB2E66">
      <w:pPr>
        <w:jc w:val="both"/>
        <w:rPr>
          <w:color w:val="000000"/>
        </w:rPr>
      </w:pPr>
      <w:r>
        <w:rPr>
          <w:color w:val="000000"/>
        </w:rPr>
        <w:t xml:space="preserve">Zes </w:t>
      </w:r>
      <w:r w:rsidRPr="00432435">
        <w:rPr>
          <w:color w:val="000000"/>
        </w:rPr>
        <w:t xml:space="preserve">aanvragen </w:t>
      </w:r>
      <w:r>
        <w:rPr>
          <w:color w:val="000000"/>
        </w:rPr>
        <w:t xml:space="preserve">werden </w:t>
      </w:r>
      <w:r w:rsidRPr="00432435">
        <w:rPr>
          <w:color w:val="000000"/>
        </w:rPr>
        <w:t xml:space="preserve">goedgekeurd </w:t>
      </w:r>
      <w:r>
        <w:rPr>
          <w:color w:val="000000"/>
        </w:rPr>
        <w:t xml:space="preserve">omdat ze voldeden </w:t>
      </w:r>
      <w:r w:rsidRPr="00432435">
        <w:rPr>
          <w:color w:val="000000"/>
        </w:rPr>
        <w:t xml:space="preserve">aan </w:t>
      </w:r>
      <w:r>
        <w:rPr>
          <w:color w:val="000000"/>
        </w:rPr>
        <w:t xml:space="preserve">de </w:t>
      </w:r>
      <w:r w:rsidRPr="00432435">
        <w:rPr>
          <w:color w:val="000000"/>
        </w:rPr>
        <w:t>voorwaarden zoals bepaald door het decreet en het uitvoeringsbesluit</w:t>
      </w:r>
      <w:r>
        <w:rPr>
          <w:color w:val="000000"/>
        </w:rPr>
        <w:t xml:space="preserve"> – en na positief advies van het Waarborgcomité.</w:t>
      </w:r>
    </w:p>
    <w:p w:rsidR="006B2658" w:rsidRPr="00EB2E66" w:rsidRDefault="006B2658" w:rsidP="00EB2E66">
      <w:pPr>
        <w:jc w:val="both"/>
        <w:rPr>
          <w:color w:val="000000"/>
          <w:szCs w:val="22"/>
        </w:rPr>
      </w:pPr>
    </w:p>
    <w:p w:rsidR="006B2658" w:rsidRPr="00EB2E66" w:rsidRDefault="006B2658" w:rsidP="00EB2E66">
      <w:pPr>
        <w:pStyle w:val="ListParagraph"/>
        <w:ind w:left="0"/>
        <w:jc w:val="both"/>
        <w:rPr>
          <w:sz w:val="22"/>
          <w:szCs w:val="22"/>
        </w:rPr>
      </w:pPr>
      <w:r w:rsidRPr="00EB2E66">
        <w:rPr>
          <w:sz w:val="22"/>
          <w:szCs w:val="22"/>
        </w:rPr>
        <w:t>Drie aanvragen werden afgekeurd om uiteenlopende redenen. Een eerste aanvraag werd geweigerd omdat het Waarborgcomité van oordeel was dat de microfinancieringsinstelling over onvoldoende institutionele capaciteit beschikte. Een tweede dossier werd niet goedgekeurd omdat het een investering betrof die geen waarborgstelling behoefde. Een derde aanvraag tenslotte werd ingediend door een organisatie die nog geen drie jaar bestond, en om die reden niet voldeed aan de formele voorwaarden.</w:t>
      </w:r>
    </w:p>
    <w:p w:rsidR="006B2658" w:rsidRPr="00EB2E66" w:rsidRDefault="006B2658" w:rsidP="00EB2E66">
      <w:pPr>
        <w:pStyle w:val="StandaardSV"/>
        <w:ind w:left="426"/>
        <w:rPr>
          <w:szCs w:val="22"/>
          <w:lang w:val="nl-BE"/>
        </w:rPr>
      </w:pPr>
    </w:p>
    <w:sectPr w:rsidR="006B2658" w:rsidRPr="00EB2E66"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C5C7F"/>
    <w:multiLevelType w:val="hybridMultilevel"/>
    <w:tmpl w:val="699C1AA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865DB"/>
    <w:rsid w:val="00091724"/>
    <w:rsid w:val="000976E9"/>
    <w:rsid w:val="000C4E8C"/>
    <w:rsid w:val="000F3532"/>
    <w:rsid w:val="001201AE"/>
    <w:rsid w:val="001B6E48"/>
    <w:rsid w:val="001F7390"/>
    <w:rsid w:val="00210C07"/>
    <w:rsid w:val="00266E3B"/>
    <w:rsid w:val="002C4DA5"/>
    <w:rsid w:val="00326A58"/>
    <w:rsid w:val="00432435"/>
    <w:rsid w:val="004605A6"/>
    <w:rsid w:val="004B52F7"/>
    <w:rsid w:val="004E2833"/>
    <w:rsid w:val="00566C53"/>
    <w:rsid w:val="005900AD"/>
    <w:rsid w:val="005E38CA"/>
    <w:rsid w:val="0063138E"/>
    <w:rsid w:val="006548DD"/>
    <w:rsid w:val="006B2658"/>
    <w:rsid w:val="0071248C"/>
    <w:rsid w:val="007252C7"/>
    <w:rsid w:val="00732AEF"/>
    <w:rsid w:val="007474BA"/>
    <w:rsid w:val="00785A0D"/>
    <w:rsid w:val="007B177C"/>
    <w:rsid w:val="007F60A8"/>
    <w:rsid w:val="008346AE"/>
    <w:rsid w:val="00873068"/>
    <w:rsid w:val="00894185"/>
    <w:rsid w:val="008A7067"/>
    <w:rsid w:val="008A713D"/>
    <w:rsid w:val="008D5DB4"/>
    <w:rsid w:val="009347E0"/>
    <w:rsid w:val="009D7043"/>
    <w:rsid w:val="00A42280"/>
    <w:rsid w:val="00A76EC9"/>
    <w:rsid w:val="00A804C0"/>
    <w:rsid w:val="00AB4B80"/>
    <w:rsid w:val="00B45EB2"/>
    <w:rsid w:val="00B60F0E"/>
    <w:rsid w:val="00B9410C"/>
    <w:rsid w:val="00BE425A"/>
    <w:rsid w:val="00C0707D"/>
    <w:rsid w:val="00D22EA5"/>
    <w:rsid w:val="00D56793"/>
    <w:rsid w:val="00D71D99"/>
    <w:rsid w:val="00D754F2"/>
    <w:rsid w:val="00D87EFD"/>
    <w:rsid w:val="00DB41C0"/>
    <w:rsid w:val="00DC4DB6"/>
    <w:rsid w:val="00DD19EF"/>
    <w:rsid w:val="00DD4121"/>
    <w:rsid w:val="00E00607"/>
    <w:rsid w:val="00E12C5D"/>
    <w:rsid w:val="00E31F4D"/>
    <w:rsid w:val="00E34A43"/>
    <w:rsid w:val="00E55200"/>
    <w:rsid w:val="00E75830"/>
    <w:rsid w:val="00EB2E66"/>
    <w:rsid w:val="00EE3DDB"/>
    <w:rsid w:val="00EE622C"/>
    <w:rsid w:val="00F369E3"/>
    <w:rsid w:val="00FA29D6"/>
    <w:rsid w:val="00FB3D24"/>
    <w:rsid w:val="00FB4CD3"/>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FC0"/>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D85FC0"/>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D85FC0"/>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D85FC0"/>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tandaardSV">
    <w:name w:val="Standaard SV"/>
    <w:basedOn w:val="Normal"/>
    <w:link w:val="StandaardSVChar"/>
    <w:uiPriority w:val="99"/>
    <w:rsid w:val="00D22EA5"/>
    <w:pPr>
      <w:jc w:val="both"/>
    </w:pPr>
    <w:rPr>
      <w:szCs w:val="20"/>
    </w:rPr>
  </w:style>
  <w:style w:type="character" w:customStyle="1" w:styleId="StandaardSVChar">
    <w:name w:val="Standaard SV Char"/>
    <w:basedOn w:val="DefaultParagraphFont"/>
    <w:link w:val="StandaardSV"/>
    <w:uiPriority w:val="99"/>
    <w:locked/>
    <w:rsid w:val="00D22EA5"/>
    <w:rPr>
      <w:rFonts w:cs="Times New Roman"/>
      <w:sz w:val="22"/>
      <w:lang w:val="nl-NL" w:eastAsia="nl-NL"/>
    </w:rPr>
  </w:style>
  <w:style w:type="paragraph" w:styleId="ListParagraph">
    <w:name w:val="List Paragraph"/>
    <w:basedOn w:val="Normal"/>
    <w:uiPriority w:val="99"/>
    <w:qFormat/>
    <w:rsid w:val="00D22EA5"/>
    <w:pPr>
      <w:ind w:left="708"/>
    </w:pPr>
    <w:rPr>
      <w:sz w:val="24"/>
    </w:rPr>
  </w:style>
  <w:style w:type="paragraph" w:styleId="BalloonText">
    <w:name w:val="Balloon Text"/>
    <w:basedOn w:val="Normal"/>
    <w:link w:val="BalloonTextChar"/>
    <w:uiPriority w:val="99"/>
    <w:rsid w:val="00D22EA5"/>
    <w:rPr>
      <w:rFonts w:ascii="Tahoma" w:hAnsi="Tahoma" w:cs="Tahoma"/>
      <w:sz w:val="16"/>
      <w:szCs w:val="16"/>
    </w:rPr>
  </w:style>
  <w:style w:type="character" w:customStyle="1" w:styleId="BalloonTextChar">
    <w:name w:val="Balloon Text Char"/>
    <w:basedOn w:val="DefaultParagraphFont"/>
    <w:link w:val="BalloonText"/>
    <w:uiPriority w:val="99"/>
    <w:locked/>
    <w:rsid w:val="00D22EA5"/>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179</Words>
  <Characters>987</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3</cp:revision>
  <cp:lastPrinted>2011-05-11T11:05:00Z</cp:lastPrinted>
  <dcterms:created xsi:type="dcterms:W3CDTF">2011-05-11T11:07:00Z</dcterms:created>
  <dcterms:modified xsi:type="dcterms:W3CDTF">2011-06-06T14:19:00Z</dcterms:modified>
</cp:coreProperties>
</file>