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F150D" w:rsidRPr="00DD4121" w:rsidRDefault="00CF150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CF150D" w:rsidRPr="00015BF7" w:rsidRDefault="00CF150D"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CF150D" w:rsidRPr="00015BF7" w:rsidRDefault="00CF150D" w:rsidP="000976E9">
      <w:pPr>
        <w:rPr>
          <w:szCs w:val="22"/>
        </w:rPr>
      </w:pPr>
    </w:p>
    <w:p w:rsidR="00CF150D" w:rsidRPr="00DB41C0" w:rsidRDefault="00CF150D" w:rsidP="000976E9">
      <w:pPr>
        <w:pStyle w:val="A-Lijn"/>
      </w:pPr>
    </w:p>
    <w:p w:rsidR="00CF150D" w:rsidRDefault="00CF150D" w:rsidP="000976E9">
      <w:pPr>
        <w:pStyle w:val="A-Type"/>
        <w:sectPr w:rsidR="00CF150D">
          <w:pgSz w:w="11906" w:h="16838"/>
          <w:pgMar w:top="1417" w:right="1417" w:bottom="1417" w:left="1417" w:header="708" w:footer="708" w:gutter="0"/>
          <w:cols w:space="708"/>
          <w:rtlGutter/>
          <w:docGrid w:linePitch="360"/>
        </w:sectPr>
      </w:pPr>
    </w:p>
    <w:p w:rsidR="00CF150D" w:rsidRDefault="00CF150D" w:rsidP="000976E9">
      <w:pPr>
        <w:pStyle w:val="A-Type"/>
        <w:sectPr w:rsidR="00CF150D"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F150D" w:rsidRPr="00326A58" w:rsidRDefault="00CF150D"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281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F150D" w:rsidRDefault="00CF150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CF150D" w:rsidRPr="00015BF7" w:rsidRDefault="00CF150D" w:rsidP="000976E9">
      <w:pPr>
        <w:rPr>
          <w:szCs w:val="22"/>
        </w:rPr>
      </w:pPr>
    </w:p>
    <w:p w:rsidR="00CF150D" w:rsidRPr="00DB41C0" w:rsidRDefault="00CF150D" w:rsidP="000976E9">
      <w:pPr>
        <w:pStyle w:val="A-Lijn"/>
      </w:pPr>
    </w:p>
    <w:p w:rsidR="00CF150D" w:rsidRPr="00DB41C0" w:rsidRDefault="00CF150D" w:rsidP="000976E9">
      <w:pPr>
        <w:pStyle w:val="A-Lijn"/>
      </w:pPr>
    </w:p>
    <w:p w:rsidR="00CF150D" w:rsidRDefault="00CF150D" w:rsidP="00DB41C0">
      <w:pPr>
        <w:sectPr w:rsidR="00CF150D" w:rsidSect="000976E9">
          <w:type w:val="continuous"/>
          <w:pgSz w:w="11906" w:h="16838"/>
          <w:pgMar w:top="1417" w:right="1417" w:bottom="1417" w:left="1417" w:header="708" w:footer="708" w:gutter="0"/>
          <w:cols w:space="708"/>
          <w:rtlGutter/>
          <w:docGrid w:linePitch="360"/>
        </w:sectPr>
      </w:pPr>
    </w:p>
    <w:p w:rsidR="00CF150D" w:rsidRDefault="00CF150D" w:rsidP="009F1338">
      <w:pPr>
        <w:pStyle w:val="StandaardSV"/>
        <w:numPr>
          <w:ilvl w:val="0"/>
          <w:numId w:val="4"/>
        </w:numPr>
        <w:tabs>
          <w:tab w:val="left" w:pos="426"/>
        </w:tabs>
        <w:rPr>
          <w:szCs w:val="22"/>
        </w:rPr>
      </w:pPr>
      <w:r>
        <w:rPr>
          <w:szCs w:val="22"/>
        </w:rPr>
        <w:t>In 2011 werden er tot nu ongeveer 20 nieuwe dossiers aangemeld. Negen van deze dossiers werden behandeld op de commissievergadering. Deze negen dossiers bevinden zich in de volgende fasen van de behandelingsprocedure:</w:t>
      </w:r>
    </w:p>
    <w:p w:rsidR="00CF150D" w:rsidRDefault="00CF150D" w:rsidP="008F1AE5">
      <w:pPr>
        <w:pStyle w:val="StandaardSV"/>
        <w:numPr>
          <w:ilvl w:val="0"/>
          <w:numId w:val="3"/>
        </w:numPr>
        <w:tabs>
          <w:tab w:val="left" w:pos="851"/>
        </w:tabs>
        <w:ind w:left="851"/>
        <w:rPr>
          <w:szCs w:val="22"/>
        </w:rPr>
      </w:pPr>
      <w:r>
        <w:rPr>
          <w:szCs w:val="22"/>
        </w:rPr>
        <w:t xml:space="preserve">Twee dossiers werden stopgezet. </w:t>
      </w:r>
    </w:p>
    <w:p w:rsidR="00CF150D" w:rsidRDefault="00CF150D" w:rsidP="008F1AE5">
      <w:pPr>
        <w:pStyle w:val="StandaardSV"/>
        <w:numPr>
          <w:ilvl w:val="0"/>
          <w:numId w:val="3"/>
        </w:numPr>
        <w:tabs>
          <w:tab w:val="left" w:pos="851"/>
        </w:tabs>
        <w:ind w:left="851"/>
        <w:rPr>
          <w:szCs w:val="22"/>
        </w:rPr>
      </w:pPr>
      <w:r>
        <w:rPr>
          <w:szCs w:val="22"/>
        </w:rPr>
        <w:t xml:space="preserve">Voor twee dossiers zullen kennismakingsgesprekken plaatsvinden in de komende weken. </w:t>
      </w:r>
    </w:p>
    <w:p w:rsidR="00CF150D" w:rsidRDefault="00CF150D" w:rsidP="008F1AE5">
      <w:pPr>
        <w:pStyle w:val="StandaardSV"/>
        <w:numPr>
          <w:ilvl w:val="0"/>
          <w:numId w:val="3"/>
        </w:numPr>
        <w:tabs>
          <w:tab w:val="left" w:pos="851"/>
        </w:tabs>
        <w:ind w:left="851"/>
        <w:rPr>
          <w:szCs w:val="22"/>
        </w:rPr>
      </w:pPr>
      <w:r>
        <w:rPr>
          <w:szCs w:val="22"/>
        </w:rPr>
        <w:t xml:space="preserve">Één dossier werd ‘on hold’ gezet door de aanvragende onderneming. </w:t>
      </w:r>
    </w:p>
    <w:p w:rsidR="00CF150D" w:rsidRDefault="00CF150D" w:rsidP="008F1AE5">
      <w:pPr>
        <w:pStyle w:val="StandaardSV"/>
        <w:numPr>
          <w:ilvl w:val="0"/>
          <w:numId w:val="3"/>
        </w:numPr>
        <w:tabs>
          <w:tab w:val="left" w:pos="851"/>
        </w:tabs>
        <w:ind w:left="851"/>
        <w:rPr>
          <w:szCs w:val="22"/>
        </w:rPr>
      </w:pPr>
      <w:r>
        <w:rPr>
          <w:szCs w:val="22"/>
        </w:rPr>
        <w:t xml:space="preserve">Twee dossiers bevinden zich in de fase waarbij een vooranalyse wordt opgemaakt, waarbij voor één dossier bijkomende informatie wordt opgevraagd. </w:t>
      </w:r>
    </w:p>
    <w:p w:rsidR="00CF150D" w:rsidRDefault="00CF150D" w:rsidP="008F1AE5">
      <w:pPr>
        <w:pStyle w:val="StandaardSV"/>
        <w:numPr>
          <w:ilvl w:val="0"/>
          <w:numId w:val="3"/>
        </w:numPr>
        <w:tabs>
          <w:tab w:val="left" w:pos="851"/>
        </w:tabs>
        <w:ind w:left="851"/>
        <w:rPr>
          <w:szCs w:val="22"/>
        </w:rPr>
      </w:pPr>
      <w:r>
        <w:rPr>
          <w:szCs w:val="22"/>
        </w:rPr>
        <w:t xml:space="preserve">Voor één dossier is detailanalyse opgestart. </w:t>
      </w:r>
    </w:p>
    <w:p w:rsidR="00CF150D" w:rsidRDefault="00CF150D" w:rsidP="008F1AE5">
      <w:pPr>
        <w:pStyle w:val="StandaardSV"/>
        <w:numPr>
          <w:ilvl w:val="0"/>
          <w:numId w:val="3"/>
        </w:numPr>
        <w:tabs>
          <w:tab w:val="left" w:pos="851"/>
        </w:tabs>
        <w:ind w:left="851"/>
        <w:rPr>
          <w:szCs w:val="22"/>
        </w:rPr>
      </w:pPr>
      <w:r>
        <w:rPr>
          <w:szCs w:val="22"/>
        </w:rPr>
        <w:t>Aan één nieuw investeringsproject werd goedkeuring gegeven.</w:t>
      </w:r>
    </w:p>
    <w:p w:rsidR="00CF150D" w:rsidRDefault="00CF150D" w:rsidP="008F1AE5">
      <w:pPr>
        <w:pStyle w:val="StandaardSV"/>
        <w:tabs>
          <w:tab w:val="left" w:pos="426"/>
        </w:tabs>
        <w:rPr>
          <w:szCs w:val="22"/>
        </w:rPr>
      </w:pPr>
    </w:p>
    <w:p w:rsidR="00CF150D" w:rsidRPr="00B515CD" w:rsidRDefault="00CF150D" w:rsidP="009F1338">
      <w:pPr>
        <w:pStyle w:val="StandaardSV"/>
        <w:numPr>
          <w:ilvl w:val="0"/>
          <w:numId w:val="4"/>
        </w:numPr>
        <w:tabs>
          <w:tab w:val="left" w:pos="426"/>
        </w:tabs>
        <w:rPr>
          <w:szCs w:val="22"/>
          <w:lang w:val="nl-BE"/>
        </w:rPr>
      </w:pPr>
      <w:r w:rsidRPr="00B515CD">
        <w:rPr>
          <w:szCs w:val="22"/>
        </w:rPr>
        <w:t xml:space="preserve">Tijdens de verschillende fases van het besluitvormingsproces worden investeringsplannen (a) beoordeeld op hun economische haalbaarheid, hun belang voor de onderneming, de capaciteiten van de managementteams, hun marktpotentieel, het inkomstenmodel en het financieel plan, en (b) getoetst aan mogelijke politieke-, markt-, technische- en wisselkoersrisico’s. Projectaanvragen worden geweigerd als de resultaten van het gevoerde onderzoek geen voldoening geven op een of meerdere van die punten. </w:t>
      </w:r>
    </w:p>
    <w:p w:rsidR="00CF150D" w:rsidRDefault="00CF150D" w:rsidP="008F1AE5">
      <w:pPr>
        <w:pStyle w:val="StandaardSV"/>
        <w:tabs>
          <w:tab w:val="left" w:pos="426"/>
        </w:tabs>
        <w:rPr>
          <w:szCs w:val="22"/>
        </w:rPr>
      </w:pPr>
    </w:p>
    <w:p w:rsidR="00CF150D" w:rsidRPr="009F1338" w:rsidRDefault="00CF150D" w:rsidP="009F1338">
      <w:pPr>
        <w:pStyle w:val="StandaardSV"/>
        <w:numPr>
          <w:ilvl w:val="0"/>
          <w:numId w:val="4"/>
        </w:numPr>
        <w:tabs>
          <w:tab w:val="left" w:pos="426"/>
        </w:tabs>
        <w:rPr>
          <w:szCs w:val="22"/>
        </w:rPr>
      </w:pPr>
      <w:r>
        <w:rPr>
          <w:szCs w:val="22"/>
        </w:rPr>
        <w:t>Het FVI wordt via meerdere kanalen bereikt: workshops, mond-tot-mondreclame, contacten met beroepsfederaties, via agentschappen (Flanders Investment and Trade en Agentschap Onder</w:t>
      </w:r>
      <w:r>
        <w:rPr>
          <w:szCs w:val="22"/>
        </w:rPr>
        <w:softHyphen/>
        <w:t>nemen) … Het belangrijkste en meest succesvolle kanaal waarlangs het FVI wordt bereikt zijn de intermediairs: financiële instellingen, juridisch adviseurs, financiële dienstverleners etc. Als gevolg hiervan werd recent een roadshow opgestart. Met diverse financiële instellingen, tussenpersonen en organisaties vinden momenteel ontmoetingen plaats met zeer positieve reacties en een aantal nieuwe dossiers tot gevolg. Aangezien deze roadshow pas in februari 2011 werd opgestart, is het nog te vroeg om deze actie te evalueren.</w:t>
      </w:r>
    </w:p>
    <w:p w:rsidR="00CF150D" w:rsidRPr="00BF2DDD" w:rsidRDefault="00CF150D" w:rsidP="008F1AE5">
      <w:pPr>
        <w:pStyle w:val="NormalWeb"/>
        <w:tabs>
          <w:tab w:val="left" w:pos="426"/>
        </w:tabs>
        <w:spacing w:before="0" w:beforeAutospacing="0" w:after="0" w:afterAutospacing="0"/>
        <w:jc w:val="both"/>
        <w:rPr>
          <w:sz w:val="22"/>
          <w:szCs w:val="22"/>
        </w:rPr>
      </w:pPr>
    </w:p>
    <w:p w:rsidR="00CF150D" w:rsidRDefault="00CF150D" w:rsidP="008F1AE5">
      <w:pPr>
        <w:pStyle w:val="StandaardSV"/>
        <w:tabs>
          <w:tab w:val="left" w:pos="426"/>
        </w:tabs>
        <w:ind w:left="426" w:hanging="426"/>
        <w:rPr>
          <w:szCs w:val="22"/>
        </w:rPr>
      </w:pPr>
      <w:r w:rsidRPr="002E6B7F">
        <w:rPr>
          <w:szCs w:val="22"/>
        </w:rPr>
        <w:t>4</w:t>
      </w:r>
      <w:r>
        <w:rPr>
          <w:szCs w:val="22"/>
        </w:rPr>
        <w:t>-5.</w:t>
      </w:r>
      <w:r>
        <w:rPr>
          <w:szCs w:val="22"/>
        </w:rPr>
        <w:tab/>
        <w:t>Onderstaande tabel biedt een overzicht van de ondernemingen die tot op heden gebruik konden maken van een investering van het Fonds Vlaanderen Internationaal. Omwille van confidentialiteitsredenen wordt geen investeringsbedrag per onderneming vrijgegeven. Het totaal door FVI geïnvesteerde bedrag bedraagt 10,2 miljoen euro. Op dit moment is er nog 14,8 miljoen euro beschikbaar voor investeringen.</w:t>
      </w:r>
    </w:p>
    <w:p w:rsidR="00CF150D" w:rsidRPr="002E6B7F" w:rsidRDefault="00CF150D" w:rsidP="008F1AE5">
      <w:pPr>
        <w:pStyle w:val="StandaardSV"/>
        <w:tabs>
          <w:tab w:val="left" w:pos="426"/>
        </w:tabs>
        <w:rPr>
          <w:szCs w:val="22"/>
        </w:rPr>
      </w:pPr>
    </w:p>
    <w:tbl>
      <w:tblPr>
        <w:tblpPr w:leftFromText="180" w:rightFromText="180" w:vertAnchor="text" w:horzAnchor="page" w:tblpX="1455" w:tblpY="12"/>
        <w:tblW w:w="9142" w:type="dxa"/>
        <w:tblCellMar>
          <w:left w:w="0" w:type="dxa"/>
          <w:right w:w="0" w:type="dxa"/>
        </w:tblCellMar>
        <w:tblLook w:val="00A0"/>
      </w:tblPr>
      <w:tblGrid>
        <w:gridCol w:w="1913"/>
        <w:gridCol w:w="3544"/>
        <w:gridCol w:w="1875"/>
        <w:gridCol w:w="1841"/>
      </w:tblGrid>
      <w:tr w:rsidR="00CF150D" w:rsidTr="00C0027A">
        <w:trPr>
          <w:trHeight w:val="300"/>
        </w:trPr>
        <w:tc>
          <w:tcPr>
            <w:tcW w:w="1913"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CF150D" w:rsidRPr="00711AC2" w:rsidRDefault="00CF150D" w:rsidP="00C0027A">
            <w:pPr>
              <w:tabs>
                <w:tab w:val="left" w:pos="426"/>
              </w:tabs>
              <w:rPr>
                <w:rFonts w:ascii="Calibri" w:hAnsi="Calibri"/>
                <w:b/>
                <w:color w:val="000000"/>
              </w:rPr>
            </w:pPr>
            <w:r w:rsidRPr="00711AC2">
              <w:rPr>
                <w:b/>
                <w:color w:val="000000"/>
              </w:rPr>
              <w:t xml:space="preserve">Onderneming </w:t>
            </w:r>
          </w:p>
        </w:tc>
        <w:tc>
          <w:tcPr>
            <w:tcW w:w="35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Pr="00711AC2" w:rsidRDefault="00CF150D" w:rsidP="00C0027A">
            <w:pPr>
              <w:tabs>
                <w:tab w:val="left" w:pos="426"/>
              </w:tabs>
              <w:rPr>
                <w:rFonts w:ascii="Calibri" w:hAnsi="Calibri"/>
                <w:b/>
                <w:color w:val="000000"/>
              </w:rPr>
            </w:pPr>
            <w:r w:rsidRPr="00711AC2">
              <w:rPr>
                <w:b/>
                <w:color w:val="000000"/>
              </w:rPr>
              <w:t xml:space="preserve">Activiteit </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Pr="00711AC2" w:rsidRDefault="00CF150D" w:rsidP="00C0027A">
            <w:pPr>
              <w:tabs>
                <w:tab w:val="left" w:pos="426"/>
              </w:tabs>
              <w:jc w:val="center"/>
              <w:rPr>
                <w:rFonts w:ascii="Calibri" w:hAnsi="Calibri"/>
                <w:b/>
                <w:color w:val="000000"/>
              </w:rPr>
            </w:pPr>
            <w:r w:rsidRPr="00711AC2">
              <w:rPr>
                <w:b/>
                <w:color w:val="000000"/>
              </w:rPr>
              <w:t>Vorm</w:t>
            </w:r>
          </w:p>
        </w:tc>
        <w:tc>
          <w:tcPr>
            <w:tcW w:w="1842" w:type="dxa"/>
            <w:tcBorders>
              <w:top w:val="single" w:sz="8" w:space="0" w:color="auto"/>
              <w:left w:val="nil"/>
              <w:bottom w:val="single" w:sz="8" w:space="0" w:color="auto"/>
              <w:right w:val="single" w:sz="8" w:space="0" w:color="auto"/>
            </w:tcBorders>
            <w:vAlign w:val="center"/>
          </w:tcPr>
          <w:p w:rsidR="00CF150D" w:rsidRPr="00711AC2" w:rsidRDefault="00CF150D" w:rsidP="00C0027A">
            <w:pPr>
              <w:tabs>
                <w:tab w:val="left" w:pos="426"/>
              </w:tabs>
              <w:jc w:val="center"/>
              <w:rPr>
                <w:b/>
                <w:color w:val="000000"/>
              </w:rPr>
            </w:pPr>
            <w:r>
              <w:rPr>
                <w:b/>
                <w:color w:val="000000"/>
              </w:rPr>
              <w:t>Doel</w:t>
            </w:r>
          </w:p>
        </w:tc>
      </w:tr>
      <w:tr w:rsidR="00CF150D" w:rsidTr="00C0027A">
        <w:trPr>
          <w:trHeight w:val="288"/>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rFonts w:ascii="Calibri" w:hAnsi="Calibri"/>
                <w:color w:val="000000"/>
              </w:rPr>
            </w:pPr>
            <w:r>
              <w:rPr>
                <w:color w:val="000000"/>
              </w:rPr>
              <w:t>Citymesh</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produceert, installeert en beheert draadloze netwerktechnologie</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Kapitaalparticipatie</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buitenlandse entiteit</w:t>
            </w:r>
          </w:p>
        </w:tc>
      </w:tr>
      <w:tr w:rsidR="00CF150D" w:rsidTr="00C0027A">
        <w:trPr>
          <w:trHeight w:val="288"/>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Pr="00C13F9F" w:rsidRDefault="00CF150D" w:rsidP="00C0027A">
            <w:pPr>
              <w:tabs>
                <w:tab w:val="left" w:pos="426"/>
              </w:tabs>
              <w:rPr>
                <w:color w:val="000000"/>
              </w:rPr>
            </w:pPr>
            <w:r>
              <w:rPr>
                <w:color w:val="000000"/>
              </w:rPr>
              <w:t xml:space="preserve">Clear2Pay </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biedt wereldwijd financiële betaaltechnologie aan</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Kapitaalparticipatie</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Uitbreiding en acquisities</w:t>
            </w:r>
          </w:p>
        </w:tc>
      </w:tr>
      <w:tr w:rsidR="00CF150D" w:rsidTr="00C0027A">
        <w:trPr>
          <w:trHeight w:val="288"/>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rFonts w:ascii="Calibri" w:hAnsi="Calibri"/>
                <w:color w:val="000000"/>
              </w:rPr>
            </w:pPr>
            <w:r>
              <w:rPr>
                <w:color w:val="000000"/>
              </w:rPr>
              <w:t>Luma International</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vermarkt een online platform voor de automatisering van marketingcommunicatie</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Achtergestelde lening</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buitenlandse entiteit</w:t>
            </w:r>
          </w:p>
        </w:tc>
      </w:tr>
      <w:tr w:rsidR="00CF150D" w:rsidTr="00C0027A">
        <w:trPr>
          <w:trHeight w:val="288"/>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rFonts w:ascii="Calibri" w:hAnsi="Calibri"/>
                <w:color w:val="000000"/>
              </w:rPr>
            </w:pPr>
            <w:r>
              <w:rPr>
                <w:color w:val="000000"/>
              </w:rPr>
              <w:t>Moana Belgium</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verbetert, produceert en commercialiseert het zaad van zwarte tijgergarnalen</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Achtergestelde lening</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Uitbreiding</w:t>
            </w:r>
          </w:p>
        </w:tc>
      </w:tr>
      <w:tr w:rsidR="00CF150D" w:rsidTr="00C0027A">
        <w:trPr>
          <w:trHeight w:val="300"/>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rFonts w:ascii="Calibri" w:hAnsi="Calibri"/>
                <w:color w:val="000000"/>
              </w:rPr>
            </w:pPr>
            <w:r>
              <w:rPr>
                <w:color w:val="000000"/>
              </w:rPr>
              <w:t>Septentrio Inc</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commercialiseert hoge precisie-satellietnavigatiesystemen</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rFonts w:ascii="Calibri" w:hAnsi="Calibri"/>
                <w:color w:val="000000"/>
              </w:rPr>
            </w:pPr>
            <w:r>
              <w:rPr>
                <w:color w:val="000000"/>
              </w:rPr>
              <w:t>Achtergestelde lening</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en uitbreiding buitenlandse entiteit</w:t>
            </w:r>
          </w:p>
        </w:tc>
      </w:tr>
      <w:tr w:rsidR="00CF150D" w:rsidTr="00C0027A">
        <w:trPr>
          <w:trHeight w:val="300"/>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color w:val="000000"/>
              </w:rPr>
            </w:pPr>
            <w:r>
              <w:rPr>
                <w:color w:val="000000"/>
              </w:rPr>
              <w:t xml:space="preserve">3d eyetronics </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Scanning technologie</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Kapitaalparticipatie</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buitenlandse entiteit</w:t>
            </w:r>
          </w:p>
        </w:tc>
      </w:tr>
      <w:tr w:rsidR="00CF150D" w:rsidTr="00C0027A">
        <w:trPr>
          <w:trHeight w:val="300"/>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color w:val="000000"/>
              </w:rPr>
            </w:pPr>
            <w:r>
              <w:rPr>
                <w:color w:val="000000"/>
              </w:rPr>
              <w:t xml:space="preserve">Vanreusel Snacks </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Voedselindustrie</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Achtergestelde lening</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buitenlandse productie entiteit</w:t>
            </w:r>
          </w:p>
        </w:tc>
      </w:tr>
      <w:tr w:rsidR="00CF150D" w:rsidTr="00C0027A">
        <w:trPr>
          <w:trHeight w:val="300"/>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color w:val="000000"/>
              </w:rPr>
            </w:pPr>
            <w:r>
              <w:rPr>
                <w:color w:val="000000"/>
              </w:rPr>
              <w:t>Eden Chocolates</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Voedselindustrie</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Achtergestelde lening</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buitenlandse productie capaciteit</w:t>
            </w:r>
          </w:p>
        </w:tc>
      </w:tr>
      <w:tr w:rsidR="00CF150D" w:rsidTr="00C0027A">
        <w:trPr>
          <w:trHeight w:val="300"/>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color w:val="000000"/>
              </w:rPr>
            </w:pPr>
            <w:r>
              <w:rPr>
                <w:color w:val="000000"/>
              </w:rPr>
              <w:t xml:space="preserve">Arena Comet </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sidRPr="00E45078">
              <w:rPr>
                <w:color w:val="000000"/>
              </w:rPr>
              <w:t>is een specialist in de thermische reiniging van organisch afval op metalen voorwerpen</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Achtergestelde lening</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2 bijkomende cleaning shops</w:t>
            </w:r>
          </w:p>
        </w:tc>
      </w:tr>
      <w:tr w:rsidR="00CF150D" w:rsidTr="00C0027A">
        <w:trPr>
          <w:trHeight w:val="300"/>
        </w:trPr>
        <w:tc>
          <w:tcPr>
            <w:tcW w:w="1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rPr>
                <w:color w:val="000000"/>
              </w:rPr>
            </w:pPr>
            <w:r>
              <w:rPr>
                <w:color w:val="000000"/>
              </w:rPr>
              <w:t xml:space="preserve">Sinfrared </w:t>
            </w:r>
          </w:p>
        </w:tc>
        <w:tc>
          <w:tcPr>
            <w:tcW w:w="35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sidRPr="00E45078">
              <w:rPr>
                <w:color w:val="000000"/>
              </w:rPr>
              <w:t>assembleert, vermarkt en verkoopt infraroodcamera's</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CF150D" w:rsidRDefault="00CF150D" w:rsidP="00C0027A">
            <w:pPr>
              <w:tabs>
                <w:tab w:val="left" w:pos="426"/>
              </w:tabs>
              <w:jc w:val="center"/>
              <w:rPr>
                <w:color w:val="000000"/>
              </w:rPr>
            </w:pPr>
            <w:r>
              <w:rPr>
                <w:color w:val="000000"/>
              </w:rPr>
              <w:t>Achtergestelde lening</w:t>
            </w:r>
          </w:p>
        </w:tc>
        <w:tc>
          <w:tcPr>
            <w:tcW w:w="1842" w:type="dxa"/>
            <w:tcBorders>
              <w:top w:val="single" w:sz="8" w:space="0" w:color="auto"/>
              <w:left w:val="nil"/>
              <w:bottom w:val="single" w:sz="8" w:space="0" w:color="auto"/>
              <w:right w:val="single" w:sz="8" w:space="0" w:color="auto"/>
            </w:tcBorders>
            <w:vAlign w:val="center"/>
          </w:tcPr>
          <w:p w:rsidR="00CF150D" w:rsidRDefault="00CF150D" w:rsidP="00C0027A">
            <w:pPr>
              <w:tabs>
                <w:tab w:val="left" w:pos="426"/>
              </w:tabs>
              <w:jc w:val="center"/>
              <w:rPr>
                <w:color w:val="000000"/>
              </w:rPr>
            </w:pPr>
            <w:r>
              <w:rPr>
                <w:color w:val="000000"/>
              </w:rPr>
              <w:t>Opstart buitenlandse dochteronderneming</w:t>
            </w:r>
          </w:p>
        </w:tc>
      </w:tr>
    </w:tbl>
    <w:p w:rsidR="00CF150D" w:rsidRDefault="00CF150D" w:rsidP="008F1AE5">
      <w:pPr>
        <w:pStyle w:val="StandaardSV"/>
        <w:tabs>
          <w:tab w:val="left" w:pos="426"/>
        </w:tabs>
        <w:rPr>
          <w:szCs w:val="22"/>
        </w:rPr>
      </w:pPr>
    </w:p>
    <w:p w:rsidR="00CF150D" w:rsidRDefault="00CF150D" w:rsidP="009F1338">
      <w:pPr>
        <w:pStyle w:val="StandaardSV"/>
        <w:tabs>
          <w:tab w:val="left" w:pos="360"/>
        </w:tabs>
        <w:ind w:left="360" w:hanging="360"/>
        <w:rPr>
          <w:szCs w:val="22"/>
        </w:rPr>
      </w:pPr>
      <w:r>
        <w:rPr>
          <w:szCs w:val="22"/>
        </w:rPr>
        <w:t>6.</w:t>
      </w:r>
      <w:r>
        <w:rPr>
          <w:szCs w:val="22"/>
        </w:rPr>
        <w:tab/>
        <w:t>FVI heeft geïnvesteerd in China, Hongarije, India, Polen, Singapore, Thailand, Turkije, de Verenigde Staten en Vietnam.</w:t>
      </w:r>
    </w:p>
    <w:p w:rsidR="00CF150D" w:rsidRDefault="00CF150D" w:rsidP="008F1AE5">
      <w:pPr>
        <w:pStyle w:val="StandaardSV"/>
        <w:tabs>
          <w:tab w:val="left" w:pos="426"/>
        </w:tabs>
        <w:rPr>
          <w:szCs w:val="22"/>
        </w:rPr>
      </w:pPr>
    </w:p>
    <w:p w:rsidR="00CF150D" w:rsidRDefault="00CF150D" w:rsidP="009F1338">
      <w:pPr>
        <w:pStyle w:val="StandaardSV"/>
        <w:tabs>
          <w:tab w:val="left" w:pos="360"/>
        </w:tabs>
        <w:ind w:left="360" w:hanging="360"/>
        <w:rPr>
          <w:szCs w:val="22"/>
        </w:rPr>
      </w:pPr>
      <w:r>
        <w:rPr>
          <w:szCs w:val="22"/>
        </w:rPr>
        <w:t>7.</w:t>
      </w:r>
      <w:r>
        <w:rPr>
          <w:szCs w:val="22"/>
        </w:rPr>
        <w:tab/>
        <w:t xml:space="preserve">Ik heb geen weet van projecten die uiteindelijk geleid hebben tot delokalisatie of projecten die met een dergelijk risico geconfronteerd worden. </w:t>
      </w:r>
      <w:r w:rsidRPr="003F1174">
        <w:rPr>
          <w:szCs w:val="22"/>
        </w:rPr>
        <w:t xml:space="preserve">PMV onderzoekt </w:t>
      </w:r>
      <w:r>
        <w:rPr>
          <w:szCs w:val="22"/>
        </w:rPr>
        <w:t>overigens steeds het</w:t>
      </w:r>
      <w:r w:rsidRPr="003F1174">
        <w:rPr>
          <w:szCs w:val="22"/>
        </w:rPr>
        <w:t xml:space="preserve"> economische belang</w:t>
      </w:r>
      <w:r>
        <w:rPr>
          <w:szCs w:val="22"/>
        </w:rPr>
        <w:t xml:space="preserve"> van internationa</w:t>
      </w:r>
      <w:r w:rsidRPr="003F1174">
        <w:rPr>
          <w:szCs w:val="22"/>
        </w:rPr>
        <w:t>l</w:t>
      </w:r>
      <w:r>
        <w:rPr>
          <w:szCs w:val="22"/>
        </w:rPr>
        <w:t>e</w:t>
      </w:r>
      <w:r w:rsidRPr="003F1174">
        <w:rPr>
          <w:szCs w:val="22"/>
        </w:rPr>
        <w:t xml:space="preserve"> investeringsproject</w:t>
      </w:r>
      <w:r>
        <w:rPr>
          <w:szCs w:val="22"/>
        </w:rPr>
        <w:t>en voor Vlaanderen. Indien een</w:t>
      </w:r>
      <w:r w:rsidRPr="003F1174">
        <w:rPr>
          <w:szCs w:val="22"/>
        </w:rPr>
        <w:t xml:space="preserve"> project louter delokalisatie tot gevolg heeft, zal het project niet gefinancierd worden. Vastgesteld wordt dat indien een gedeelte van de productie overgebracht wordt naar het buitenland, de bestaande Vlaamse werkgelegenheid en productiecapaciteit benut blijft en zelfs vaak uitgebreid wordt naar andere activiteiten waarin voldoende concurrentieel opgetreden kan worden. </w:t>
      </w:r>
    </w:p>
    <w:p w:rsidR="00CF150D" w:rsidRDefault="00CF150D" w:rsidP="008F1AE5">
      <w:pPr>
        <w:pStyle w:val="StandaardSV"/>
        <w:tabs>
          <w:tab w:val="left" w:pos="426"/>
        </w:tabs>
        <w:rPr>
          <w:szCs w:val="22"/>
        </w:rPr>
      </w:pPr>
    </w:p>
    <w:p w:rsidR="00CF150D" w:rsidRDefault="00CF150D" w:rsidP="00FA2F3C">
      <w:pPr>
        <w:pStyle w:val="StandaardSV"/>
        <w:tabs>
          <w:tab w:val="left" w:pos="540"/>
        </w:tabs>
        <w:ind w:left="540" w:hanging="540"/>
      </w:pPr>
      <w:r>
        <w:rPr>
          <w:szCs w:val="22"/>
        </w:rPr>
        <w:t>8-10.</w:t>
      </w:r>
      <w:r>
        <w:rPr>
          <w:szCs w:val="22"/>
        </w:rPr>
        <w:tab/>
        <w:t xml:space="preserve">Anderhalf jaar geleden vond er een interne evaluatie van het Fonds Vlaanderen Internationaal plaats. Het belangrijkste knelpunt dat gesignaleerd werd was een tekort aan naambekendheid. Om dit te verhelpen werden meerdere acties ondernomen. Ten eerste heeft </w:t>
      </w:r>
      <w:r>
        <w:t>PMV haar verschillende activiteiten in het najaar van 2010 gebundeld in drie clusters (seed &amp; early stage, doelgroepfinanciering en groeifinanciering) zodat synergieën kunnen ontstaan op vlak van communicatie en organisatie. Daarnaast wordt hierdoor ook het bereik, de doeltreffendheid en de doelmatigheid van de activiteiten verhoogd. Ten tweede werd de samenwerking met FIT</w:t>
      </w:r>
      <w:r w:rsidRPr="009C08B9">
        <w:t xml:space="preserve"> </w:t>
      </w:r>
      <w:r>
        <w:t>i</w:t>
      </w:r>
      <w:r w:rsidRPr="009C08B9">
        <w:t>n de af</w:t>
      </w:r>
      <w:r>
        <w:t>gelopen maanden verder uitgebouw</w:t>
      </w:r>
      <w:r w:rsidRPr="009C08B9">
        <w:t xml:space="preserve">d. </w:t>
      </w:r>
      <w:r>
        <w:t xml:space="preserve">FVI en FIT wisselen op regelmatige tijdstippen informatie uit en verwijzen onderling ondernemingen door die mogelijk gebaat zijn bij steun of informatie van de andere partij. In dit kader zal </w:t>
      </w:r>
      <w:r w:rsidRPr="009C08B9">
        <w:t xml:space="preserve">PMV dit jaar </w:t>
      </w:r>
      <w:r>
        <w:t xml:space="preserve">ook </w:t>
      </w:r>
      <w:r w:rsidRPr="009C08B9">
        <w:t xml:space="preserve">sponsor zijn van het jaarlijkse event </w:t>
      </w:r>
      <w:r>
        <w:t>“</w:t>
      </w:r>
      <w:r w:rsidRPr="009C08B9">
        <w:t>Leeuw van de Export</w:t>
      </w:r>
      <w:r>
        <w:t>”</w:t>
      </w:r>
      <w:r w:rsidRPr="009C08B9">
        <w:t>.</w:t>
      </w:r>
      <w:r>
        <w:rPr>
          <w:i/>
        </w:rPr>
        <w:t xml:space="preserve"> </w:t>
      </w:r>
      <w:r>
        <w:t>Ten derde werd</w:t>
      </w:r>
      <w:r>
        <w:rPr>
          <w:i/>
        </w:rPr>
        <w:t xml:space="preserve"> </w:t>
      </w:r>
      <w:r w:rsidRPr="00B5542D">
        <w:t>i</w:t>
      </w:r>
      <w:r w:rsidRPr="009C08B9">
        <w:t>n februari 2011 gestart met een roadshow met als doel het promoten van de diverse mogelijkheden van PMV groeifinan</w:t>
      </w:r>
      <w:r>
        <w:softHyphen/>
      </w:r>
      <w:r w:rsidRPr="009C08B9">
        <w:t xml:space="preserve">ciering. </w:t>
      </w:r>
      <w:r>
        <w:t>In dit kader vinden momenteel ontmoetingen plaats met</w:t>
      </w:r>
      <w:r w:rsidRPr="009C08B9">
        <w:t xml:space="preserve"> diverse instellingen, tuss</w:t>
      </w:r>
      <w:r>
        <w:t>enpersonen en organisaties.</w:t>
      </w:r>
    </w:p>
    <w:p w:rsidR="00CF150D" w:rsidRDefault="00CF150D" w:rsidP="00FA2F3C">
      <w:pPr>
        <w:pStyle w:val="StandaardSV"/>
        <w:tabs>
          <w:tab w:val="left" w:pos="540"/>
        </w:tabs>
        <w:ind w:left="540" w:hanging="540"/>
      </w:pPr>
      <w:r>
        <w:tab/>
        <w:t xml:space="preserve">Aangezien de samenwerking tussen FIT en PMV op dit moment vlot verloopt, zijn bijsturingen niet aan de orde. Om na te kunnen gaan wat het effect van de roadshow is zullen we nog even geduld moeten oefenen, aangezien deze nog maar net van start is gegaan. </w:t>
      </w:r>
    </w:p>
    <w:p w:rsidR="00CF150D" w:rsidRDefault="00CF150D" w:rsidP="008F1AE5">
      <w:pPr>
        <w:pStyle w:val="StandaardSV"/>
        <w:tabs>
          <w:tab w:val="left" w:pos="426"/>
        </w:tabs>
        <w:rPr>
          <w:szCs w:val="22"/>
        </w:rPr>
      </w:pPr>
    </w:p>
    <w:p w:rsidR="00CF150D" w:rsidRDefault="00CF150D" w:rsidP="009F1338">
      <w:pPr>
        <w:pStyle w:val="StandaardSV"/>
        <w:tabs>
          <w:tab w:val="left" w:pos="360"/>
        </w:tabs>
        <w:ind w:left="360" w:hanging="360"/>
        <w:rPr>
          <w:szCs w:val="22"/>
        </w:rPr>
      </w:pPr>
      <w:r>
        <w:rPr>
          <w:szCs w:val="22"/>
        </w:rPr>
        <w:t>11.</w:t>
      </w:r>
      <w:r>
        <w:rPr>
          <w:szCs w:val="22"/>
        </w:rPr>
        <w:tab/>
        <w:t>Op dit moment is het nog vroeg om al uitspraak te doen over de vraag of het FVI erin slaagt uit te groeien tot een rollend fonds. Veel hangt af van de evolutie van de ondernemingen waarin FVI participeert en aan de terugbetalingscapaciteit van de ondernemingen aan wie leningen werden verschaft. Bovendien dienen nog heel wat verbintenissen te worden aangegaan de komende jaren met het resterende geld dat nu nog in het investeringsfonds zit.</w:t>
      </w:r>
      <w:r w:rsidRPr="00F66CFB">
        <w:rPr>
          <w:szCs w:val="22"/>
        </w:rPr>
        <w:t xml:space="preserve"> </w:t>
      </w:r>
    </w:p>
    <w:p w:rsidR="00CF150D" w:rsidRDefault="00CF150D" w:rsidP="009F1338">
      <w:pPr>
        <w:pStyle w:val="StandaardSV"/>
        <w:tabs>
          <w:tab w:val="left" w:pos="426"/>
        </w:tabs>
        <w:ind w:left="360"/>
        <w:rPr>
          <w:szCs w:val="22"/>
        </w:rPr>
      </w:pPr>
      <w:r>
        <w:rPr>
          <w:szCs w:val="22"/>
        </w:rPr>
        <w:t>Een interne evaluatie maakte duidelijk dat het huidige investeringsfonds momenteel voor 40% wordt ingezet, wat 6% lager ligt dan het voorziene investeringsritme na 4 jaar in het business plan.</w:t>
      </w:r>
    </w:p>
    <w:p w:rsidR="00CF150D" w:rsidRDefault="00CF150D" w:rsidP="008F1AE5">
      <w:pPr>
        <w:pStyle w:val="StandaardSV"/>
        <w:tabs>
          <w:tab w:val="left" w:pos="426"/>
        </w:tabs>
        <w:rPr>
          <w:szCs w:val="22"/>
        </w:rPr>
      </w:pPr>
    </w:p>
    <w:p w:rsidR="00CF150D" w:rsidRDefault="00CF150D" w:rsidP="009F1338">
      <w:pPr>
        <w:pStyle w:val="StandaardSV"/>
        <w:tabs>
          <w:tab w:val="left" w:pos="360"/>
        </w:tabs>
        <w:ind w:left="360" w:hanging="360"/>
      </w:pPr>
      <w:r>
        <w:rPr>
          <w:szCs w:val="22"/>
        </w:rPr>
        <w:t>12.</w:t>
      </w:r>
      <w:r>
        <w:rPr>
          <w:szCs w:val="22"/>
        </w:rPr>
        <w:tab/>
      </w:r>
      <w:r>
        <w:t xml:space="preserve">De uitvoering van het samenwerkingsakkoord verloopt op dit moment vlot. Zoals in de samenwerkingsovereenkomst werd vastgelegd wisselen beide actoren op regelmatige tijdstippen informatie uit en verwijzen ze onderling ondernemingen door die mogelijk gebaat zijn bij steun of informatie van de andere partij. Aangezien de samenwerking op dit moment vlot verloopt, zijn bijsturingen niet aan de orde. </w:t>
      </w:r>
    </w:p>
    <w:sectPr w:rsidR="00CF150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36B6"/>
    <w:multiLevelType w:val="hybridMultilevel"/>
    <w:tmpl w:val="3CB66D3C"/>
    <w:lvl w:ilvl="0" w:tplc="01E04D28">
      <w:start w:val="1"/>
      <w:numFmt w:val="decimal"/>
      <w:lvlText w:val="%1."/>
      <w:lvlJc w:val="left"/>
      <w:pPr>
        <w:tabs>
          <w:tab w:val="num" w:pos="360"/>
        </w:tabs>
        <w:ind w:left="360" w:hanging="360"/>
      </w:pPr>
      <w:rPr>
        <w:rFonts w:cs="Times New Roman"/>
        <w:color w:val="auto"/>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43D871D1"/>
    <w:multiLevelType w:val="hybridMultilevel"/>
    <w:tmpl w:val="E1784FA8"/>
    <w:lvl w:ilvl="0" w:tplc="08130001">
      <w:start w:val="1"/>
      <w:numFmt w:val="bullet"/>
      <w:lvlText w:val=""/>
      <w:lvlJc w:val="left"/>
      <w:pPr>
        <w:ind w:left="65" w:hanging="360"/>
      </w:pPr>
      <w:rPr>
        <w:rFonts w:ascii="Symbol" w:hAnsi="Symbol" w:hint="default"/>
      </w:rPr>
    </w:lvl>
    <w:lvl w:ilvl="1" w:tplc="0413000F">
      <w:start w:val="1"/>
      <w:numFmt w:val="decimal"/>
      <w:lvlText w:val="%2."/>
      <w:lvlJc w:val="left"/>
      <w:pPr>
        <w:tabs>
          <w:tab w:val="num" w:pos="785"/>
        </w:tabs>
        <w:ind w:left="785" w:hanging="360"/>
      </w:pPr>
      <w:rPr>
        <w:rFonts w:cs="Times New Roman" w:hint="default"/>
      </w:rPr>
    </w:lvl>
    <w:lvl w:ilvl="2" w:tplc="08130005" w:tentative="1">
      <w:start w:val="1"/>
      <w:numFmt w:val="bullet"/>
      <w:lvlText w:val=""/>
      <w:lvlJc w:val="left"/>
      <w:pPr>
        <w:ind w:left="1505" w:hanging="360"/>
      </w:pPr>
      <w:rPr>
        <w:rFonts w:ascii="Wingdings" w:hAnsi="Wingdings" w:hint="default"/>
      </w:rPr>
    </w:lvl>
    <w:lvl w:ilvl="3" w:tplc="08130001" w:tentative="1">
      <w:start w:val="1"/>
      <w:numFmt w:val="bullet"/>
      <w:lvlText w:val=""/>
      <w:lvlJc w:val="left"/>
      <w:pPr>
        <w:ind w:left="2225" w:hanging="360"/>
      </w:pPr>
      <w:rPr>
        <w:rFonts w:ascii="Symbol" w:hAnsi="Symbol" w:hint="default"/>
      </w:rPr>
    </w:lvl>
    <w:lvl w:ilvl="4" w:tplc="08130003" w:tentative="1">
      <w:start w:val="1"/>
      <w:numFmt w:val="bullet"/>
      <w:lvlText w:val="o"/>
      <w:lvlJc w:val="left"/>
      <w:pPr>
        <w:ind w:left="2945" w:hanging="360"/>
      </w:pPr>
      <w:rPr>
        <w:rFonts w:ascii="Courier New" w:hAnsi="Courier New" w:hint="default"/>
      </w:rPr>
    </w:lvl>
    <w:lvl w:ilvl="5" w:tplc="08130005" w:tentative="1">
      <w:start w:val="1"/>
      <w:numFmt w:val="bullet"/>
      <w:lvlText w:val=""/>
      <w:lvlJc w:val="left"/>
      <w:pPr>
        <w:ind w:left="3665" w:hanging="360"/>
      </w:pPr>
      <w:rPr>
        <w:rFonts w:ascii="Wingdings" w:hAnsi="Wingdings" w:hint="default"/>
      </w:rPr>
    </w:lvl>
    <w:lvl w:ilvl="6" w:tplc="08130001" w:tentative="1">
      <w:start w:val="1"/>
      <w:numFmt w:val="bullet"/>
      <w:lvlText w:val=""/>
      <w:lvlJc w:val="left"/>
      <w:pPr>
        <w:ind w:left="4385" w:hanging="360"/>
      </w:pPr>
      <w:rPr>
        <w:rFonts w:ascii="Symbol" w:hAnsi="Symbol" w:hint="default"/>
      </w:rPr>
    </w:lvl>
    <w:lvl w:ilvl="7" w:tplc="08130003" w:tentative="1">
      <w:start w:val="1"/>
      <w:numFmt w:val="bullet"/>
      <w:lvlText w:val="o"/>
      <w:lvlJc w:val="left"/>
      <w:pPr>
        <w:ind w:left="5105" w:hanging="360"/>
      </w:pPr>
      <w:rPr>
        <w:rFonts w:ascii="Courier New" w:hAnsi="Courier New" w:hint="default"/>
      </w:rPr>
    </w:lvl>
    <w:lvl w:ilvl="8" w:tplc="08130005" w:tentative="1">
      <w:start w:val="1"/>
      <w:numFmt w:val="bullet"/>
      <w:lvlText w:val=""/>
      <w:lvlJc w:val="left"/>
      <w:pPr>
        <w:ind w:left="5825" w:hanging="360"/>
      </w:pPr>
      <w:rPr>
        <w:rFonts w:ascii="Wingdings" w:hAnsi="Wingdings" w:hint="default"/>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0511"/>
    <w:rsid w:val="00002E44"/>
    <w:rsid w:val="000075AE"/>
    <w:rsid w:val="00015BF7"/>
    <w:rsid w:val="000865DB"/>
    <w:rsid w:val="00091724"/>
    <w:rsid w:val="000976E9"/>
    <w:rsid w:val="000C4E8C"/>
    <w:rsid w:val="000D5FB5"/>
    <w:rsid w:val="000F3532"/>
    <w:rsid w:val="001527B7"/>
    <w:rsid w:val="0018027C"/>
    <w:rsid w:val="001A31A7"/>
    <w:rsid w:val="001B6E48"/>
    <w:rsid w:val="001F7390"/>
    <w:rsid w:val="00210C07"/>
    <w:rsid w:val="0021423C"/>
    <w:rsid w:val="00266E3B"/>
    <w:rsid w:val="002C4DA5"/>
    <w:rsid w:val="002E6B7F"/>
    <w:rsid w:val="00311C82"/>
    <w:rsid w:val="00326A58"/>
    <w:rsid w:val="003F1174"/>
    <w:rsid w:val="00433894"/>
    <w:rsid w:val="004605A6"/>
    <w:rsid w:val="004E2833"/>
    <w:rsid w:val="005538CA"/>
    <w:rsid w:val="00566C53"/>
    <w:rsid w:val="005900AD"/>
    <w:rsid w:val="005E38CA"/>
    <w:rsid w:val="0063138E"/>
    <w:rsid w:val="006548DD"/>
    <w:rsid w:val="006E3EE4"/>
    <w:rsid w:val="006F4EB3"/>
    <w:rsid w:val="00711AC2"/>
    <w:rsid w:val="0071248C"/>
    <w:rsid w:val="007252C7"/>
    <w:rsid w:val="007474BA"/>
    <w:rsid w:val="00785A0D"/>
    <w:rsid w:val="007B177C"/>
    <w:rsid w:val="007F60A8"/>
    <w:rsid w:val="008346AE"/>
    <w:rsid w:val="00873068"/>
    <w:rsid w:val="00894185"/>
    <w:rsid w:val="008A7067"/>
    <w:rsid w:val="008A713D"/>
    <w:rsid w:val="008D5DB4"/>
    <w:rsid w:val="008F1AE5"/>
    <w:rsid w:val="009347E0"/>
    <w:rsid w:val="0093491C"/>
    <w:rsid w:val="009C08B9"/>
    <w:rsid w:val="009D5AC1"/>
    <w:rsid w:val="009D7043"/>
    <w:rsid w:val="009F1338"/>
    <w:rsid w:val="00A42280"/>
    <w:rsid w:val="00A76EC9"/>
    <w:rsid w:val="00A804C0"/>
    <w:rsid w:val="00AB4B80"/>
    <w:rsid w:val="00B45EB2"/>
    <w:rsid w:val="00B515CD"/>
    <w:rsid w:val="00B5542D"/>
    <w:rsid w:val="00B60F0E"/>
    <w:rsid w:val="00BE425A"/>
    <w:rsid w:val="00BF2DDD"/>
    <w:rsid w:val="00C0027A"/>
    <w:rsid w:val="00C0707D"/>
    <w:rsid w:val="00C13F9F"/>
    <w:rsid w:val="00CE2FB7"/>
    <w:rsid w:val="00CF150D"/>
    <w:rsid w:val="00D6605A"/>
    <w:rsid w:val="00D71D99"/>
    <w:rsid w:val="00D754F2"/>
    <w:rsid w:val="00D87EFD"/>
    <w:rsid w:val="00DB41C0"/>
    <w:rsid w:val="00DC4DB6"/>
    <w:rsid w:val="00DD19EF"/>
    <w:rsid w:val="00DD4121"/>
    <w:rsid w:val="00E12C5D"/>
    <w:rsid w:val="00E31F4D"/>
    <w:rsid w:val="00E45078"/>
    <w:rsid w:val="00E55200"/>
    <w:rsid w:val="00E75830"/>
    <w:rsid w:val="00EE3DDB"/>
    <w:rsid w:val="00F369E3"/>
    <w:rsid w:val="00F66CFB"/>
    <w:rsid w:val="00FA29D6"/>
    <w:rsid w:val="00FA2F3C"/>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9D5AC1"/>
    <w:rPr>
      <w:rFonts w:ascii="Tahoma" w:hAnsi="Tahoma" w:cs="Tahoma"/>
      <w:sz w:val="16"/>
      <w:szCs w:val="16"/>
    </w:rPr>
  </w:style>
  <w:style w:type="character" w:customStyle="1" w:styleId="BalloonTextChar">
    <w:name w:val="Balloon Text Char"/>
    <w:basedOn w:val="DefaultParagraphFont"/>
    <w:link w:val="BalloonText"/>
    <w:uiPriority w:val="99"/>
    <w:locked/>
    <w:rsid w:val="009D5AC1"/>
    <w:rPr>
      <w:rFonts w:ascii="Tahoma" w:hAnsi="Tahoma" w:cs="Tahoma"/>
      <w:sz w:val="16"/>
      <w:szCs w:val="16"/>
      <w:lang w:val="nl-NL" w:eastAsia="nl-NL"/>
    </w:rPr>
  </w:style>
  <w:style w:type="paragraph" w:customStyle="1" w:styleId="StandaardSV">
    <w:name w:val="Standaard SV"/>
    <w:basedOn w:val="Normal"/>
    <w:uiPriority w:val="99"/>
    <w:rsid w:val="008F1AE5"/>
    <w:pPr>
      <w:jc w:val="both"/>
    </w:pPr>
    <w:rPr>
      <w:szCs w:val="20"/>
    </w:rPr>
  </w:style>
  <w:style w:type="paragraph" w:styleId="NormalWeb">
    <w:name w:val="Normal (Web)"/>
    <w:basedOn w:val="Normal"/>
    <w:uiPriority w:val="99"/>
    <w:rsid w:val="008F1AE5"/>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3</Pages>
  <Words>1093</Words>
  <Characters>6012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JME</cp:lastModifiedBy>
  <cp:revision>5</cp:revision>
  <cp:lastPrinted>2011-04-12T09:30:00Z</cp:lastPrinted>
  <dcterms:created xsi:type="dcterms:W3CDTF">2011-05-02T09:34:00Z</dcterms:created>
  <dcterms:modified xsi:type="dcterms:W3CDTF">2011-05-30T12:08:00Z</dcterms:modified>
</cp:coreProperties>
</file>