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17685" w:rsidRPr="00DD4121" w:rsidRDefault="00F1768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F17685" w:rsidRPr="00015BF7" w:rsidRDefault="00F17685"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F17685" w:rsidRPr="00015BF7" w:rsidRDefault="00F17685" w:rsidP="000976E9">
      <w:pPr>
        <w:rPr>
          <w:szCs w:val="22"/>
        </w:rPr>
      </w:pPr>
    </w:p>
    <w:p w:rsidR="00F17685" w:rsidRPr="00DB41C0" w:rsidRDefault="00F17685" w:rsidP="000976E9">
      <w:pPr>
        <w:pStyle w:val="A-Lijn"/>
      </w:pPr>
    </w:p>
    <w:p w:rsidR="00F17685" w:rsidRDefault="00F17685" w:rsidP="000976E9">
      <w:pPr>
        <w:pStyle w:val="A-Type"/>
        <w:sectPr w:rsidR="00F17685">
          <w:pgSz w:w="11906" w:h="16838"/>
          <w:pgMar w:top="1417" w:right="1417" w:bottom="1417" w:left="1417" w:header="708" w:footer="708" w:gutter="0"/>
          <w:cols w:space="708"/>
          <w:rtlGutter/>
          <w:docGrid w:linePitch="360"/>
        </w:sectPr>
      </w:pPr>
    </w:p>
    <w:p w:rsidR="00F17685" w:rsidRDefault="00F17685" w:rsidP="000976E9">
      <w:pPr>
        <w:pStyle w:val="A-Type"/>
        <w:sectPr w:rsidR="00F1768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17685" w:rsidRPr="00326A58" w:rsidRDefault="00F17685"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254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17685" w:rsidRDefault="00F17685"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F17685" w:rsidRPr="00015BF7" w:rsidRDefault="00F17685" w:rsidP="000976E9">
      <w:pPr>
        <w:rPr>
          <w:szCs w:val="22"/>
        </w:rPr>
      </w:pPr>
    </w:p>
    <w:p w:rsidR="00F17685" w:rsidRPr="00DB41C0" w:rsidRDefault="00F17685" w:rsidP="000976E9">
      <w:pPr>
        <w:pStyle w:val="A-Lijn"/>
      </w:pPr>
    </w:p>
    <w:p w:rsidR="00F17685" w:rsidRPr="00DB41C0" w:rsidRDefault="00F17685" w:rsidP="000976E9">
      <w:pPr>
        <w:pStyle w:val="A-Lijn"/>
      </w:pPr>
    </w:p>
    <w:p w:rsidR="00F17685" w:rsidRDefault="00F17685" w:rsidP="00DB41C0">
      <w:pPr>
        <w:sectPr w:rsidR="00F17685" w:rsidSect="000976E9">
          <w:type w:val="continuous"/>
          <w:pgSz w:w="11906" w:h="16838"/>
          <w:pgMar w:top="1417" w:right="1417" w:bottom="1417" w:left="1417" w:header="708" w:footer="708" w:gutter="0"/>
          <w:cols w:space="708"/>
          <w:rtlGutter/>
          <w:docGrid w:linePitch="360"/>
        </w:sectPr>
      </w:pPr>
    </w:p>
    <w:p w:rsidR="00F17685" w:rsidRPr="00AC6626" w:rsidRDefault="00F17685" w:rsidP="00B11AE6">
      <w:pPr>
        <w:pStyle w:val="StandaardSV"/>
        <w:numPr>
          <w:ilvl w:val="0"/>
          <w:numId w:val="3"/>
        </w:numPr>
        <w:rPr>
          <w:szCs w:val="22"/>
        </w:rPr>
      </w:pPr>
      <w:r w:rsidRPr="00AC6626">
        <w:rPr>
          <w:szCs w:val="22"/>
        </w:rPr>
        <w:t>In de onderstaande tabellen is voor de agromilieuverbintenissen “behoud van variëteiten hoogstamboomgaarden” een overzicht gegeven van het aantal verbintenissen over de laatste jare</w:t>
      </w:r>
      <w:r>
        <w:rPr>
          <w:szCs w:val="22"/>
        </w:rPr>
        <w:t>n</w:t>
      </w:r>
      <w:r w:rsidRPr="00AC6626">
        <w:rPr>
          <w:szCs w:val="22"/>
        </w:rPr>
        <w:t>.</w:t>
      </w:r>
      <w:bookmarkStart w:id="6" w:name="_GoBack"/>
      <w:bookmarkEnd w:id="6"/>
      <w:r>
        <w:rPr>
          <w:szCs w:val="22"/>
        </w:rPr>
        <w:t>Het is niet mogelijk om een specificatie naar soorten en provincie weer te geven.</w:t>
      </w:r>
    </w:p>
    <w:p w:rsidR="00F17685" w:rsidRPr="00AC6626" w:rsidRDefault="00F17685" w:rsidP="00CA7BBC">
      <w:pPr>
        <w:pStyle w:val="StandaardSV"/>
        <w:rPr>
          <w:szCs w:val="22"/>
        </w:rPr>
      </w:pPr>
    </w:p>
    <w:p w:rsidR="00F17685" w:rsidRPr="00B11AE6" w:rsidRDefault="00F17685" w:rsidP="00B11AE6">
      <w:pPr>
        <w:pStyle w:val="StandaardSV"/>
        <w:ind w:left="360"/>
        <w:rPr>
          <w:szCs w:val="22"/>
        </w:rPr>
      </w:pPr>
      <w:r w:rsidRPr="00B11AE6">
        <w:rPr>
          <w:szCs w:val="22"/>
        </w:rPr>
        <w:t>Tabel 1. Evolutie van het aantal verbintenissen “behoud van variëteiten hoogstamboomgaarden”</w:t>
      </w:r>
    </w:p>
    <w:p w:rsidR="00F17685" w:rsidRPr="00B11AE6" w:rsidRDefault="00F17685" w:rsidP="00B11AE6">
      <w:pPr>
        <w:pStyle w:val="StandaardSV"/>
        <w:ind w:left="360"/>
        <w:rPr>
          <w:szCs w:val="22"/>
          <w:u w:val="single"/>
        </w:rPr>
      </w:pPr>
    </w:p>
    <w:tbl>
      <w:tblPr>
        <w:tblW w:w="7741" w:type="dxa"/>
        <w:tblInd w:w="430" w:type="dxa"/>
        <w:tblCellMar>
          <w:left w:w="70" w:type="dxa"/>
          <w:right w:w="70" w:type="dxa"/>
        </w:tblCellMar>
        <w:tblLook w:val="00A0"/>
      </w:tblPr>
      <w:tblGrid>
        <w:gridCol w:w="2582"/>
        <w:gridCol w:w="737"/>
        <w:gridCol w:w="737"/>
        <w:gridCol w:w="737"/>
        <w:gridCol w:w="737"/>
        <w:gridCol w:w="737"/>
        <w:gridCol w:w="737"/>
        <w:gridCol w:w="737"/>
      </w:tblGrid>
      <w:tr w:rsidR="00F17685" w:rsidRPr="00B11AE6" w:rsidTr="00B11AE6">
        <w:trPr>
          <w:trHeight w:val="330"/>
        </w:trPr>
        <w:tc>
          <w:tcPr>
            <w:tcW w:w="2582" w:type="dxa"/>
            <w:tcBorders>
              <w:top w:val="single" w:sz="8" w:space="0" w:color="auto"/>
              <w:left w:val="single" w:sz="8" w:space="0" w:color="auto"/>
              <w:bottom w:val="single" w:sz="8" w:space="0" w:color="auto"/>
              <w:right w:val="single" w:sz="8" w:space="0" w:color="auto"/>
            </w:tcBorders>
            <w:vAlign w:val="center"/>
          </w:tcPr>
          <w:p w:rsidR="00F17685" w:rsidRPr="00B11AE6" w:rsidRDefault="00F17685" w:rsidP="004F57F4">
            <w:pPr>
              <w:rPr>
                <w:color w:val="000000"/>
                <w:lang w:val="nl-BE" w:eastAsia="nl-BE"/>
              </w:rPr>
            </w:pPr>
            <w:r w:rsidRPr="00B11AE6">
              <w:rPr>
                <w:color w:val="000000"/>
                <w:szCs w:val="22"/>
                <w:lang w:val="nl-BE" w:eastAsia="nl-BE"/>
              </w:rPr>
              <w:t>Contractjaar</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2004</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2005</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2006</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2007</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2008</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2009</w:t>
            </w:r>
          </w:p>
        </w:tc>
        <w:tc>
          <w:tcPr>
            <w:tcW w:w="737" w:type="dxa"/>
            <w:tcBorders>
              <w:top w:val="single" w:sz="8" w:space="0" w:color="auto"/>
              <w:left w:val="nil"/>
              <w:bottom w:val="single" w:sz="8" w:space="0" w:color="auto"/>
              <w:right w:val="single" w:sz="8" w:space="0" w:color="auto"/>
            </w:tcBorders>
            <w:vAlign w:val="center"/>
          </w:tcPr>
          <w:p w:rsidR="00F17685" w:rsidRPr="00B11AE6" w:rsidRDefault="00F17685" w:rsidP="004F57F4">
            <w:pPr>
              <w:jc w:val="right"/>
              <w:rPr>
                <w:color w:val="000000"/>
                <w:lang w:val="nl-BE" w:eastAsia="nl-BE"/>
              </w:rPr>
            </w:pPr>
            <w:r w:rsidRPr="00B11AE6">
              <w:rPr>
                <w:color w:val="000000"/>
                <w:szCs w:val="22"/>
                <w:lang w:eastAsia="nl-BE"/>
              </w:rPr>
              <w:t>2010</w:t>
            </w:r>
          </w:p>
        </w:tc>
      </w:tr>
      <w:tr w:rsidR="00F17685" w:rsidRPr="00B11AE6" w:rsidTr="00B11AE6">
        <w:trPr>
          <w:trHeight w:val="461"/>
        </w:trPr>
        <w:tc>
          <w:tcPr>
            <w:tcW w:w="2582" w:type="dxa"/>
            <w:tcBorders>
              <w:top w:val="nil"/>
              <w:left w:val="single" w:sz="8" w:space="0" w:color="auto"/>
              <w:bottom w:val="single" w:sz="8" w:space="0" w:color="auto"/>
              <w:right w:val="single" w:sz="8" w:space="0" w:color="auto"/>
            </w:tcBorders>
            <w:vAlign w:val="center"/>
          </w:tcPr>
          <w:p w:rsidR="00F17685" w:rsidRPr="00B11AE6" w:rsidRDefault="00F17685" w:rsidP="004F57F4">
            <w:pPr>
              <w:rPr>
                <w:color w:val="000000"/>
                <w:lang w:eastAsia="nl-BE"/>
              </w:rPr>
            </w:pPr>
            <w:r w:rsidRPr="00B11AE6">
              <w:rPr>
                <w:color w:val="000000"/>
                <w:szCs w:val="22"/>
                <w:lang w:eastAsia="nl-BE"/>
              </w:rPr>
              <w:t>Aantal verbintenissen</w:t>
            </w:r>
          </w:p>
          <w:p w:rsidR="00F17685" w:rsidRPr="00B11AE6" w:rsidRDefault="00F17685" w:rsidP="004F57F4">
            <w:pPr>
              <w:rPr>
                <w:color w:val="000000"/>
                <w:lang w:val="nl-BE" w:eastAsia="nl-BE"/>
              </w:rPr>
            </w:pPr>
            <w:r w:rsidRPr="00B11AE6">
              <w:rPr>
                <w:szCs w:val="22"/>
              </w:rPr>
              <w:t>“behoud van variëteiten hoogstamboomgaarden”</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0</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515</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854</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1.133</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1.385</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1.732</w:t>
            </w:r>
          </w:p>
        </w:tc>
        <w:tc>
          <w:tcPr>
            <w:tcW w:w="737" w:type="dxa"/>
            <w:tcBorders>
              <w:top w:val="nil"/>
              <w:left w:val="nil"/>
              <w:bottom w:val="single" w:sz="8" w:space="0" w:color="auto"/>
              <w:right w:val="single" w:sz="8" w:space="0" w:color="auto"/>
            </w:tcBorders>
            <w:vAlign w:val="center"/>
          </w:tcPr>
          <w:p w:rsidR="00F17685" w:rsidRPr="00B11AE6" w:rsidRDefault="00F17685" w:rsidP="004F57F4">
            <w:pPr>
              <w:jc w:val="center"/>
            </w:pPr>
            <w:r w:rsidRPr="00B11AE6">
              <w:rPr>
                <w:szCs w:val="22"/>
              </w:rPr>
              <w:t>2.020</w:t>
            </w:r>
          </w:p>
        </w:tc>
      </w:tr>
    </w:tbl>
    <w:p w:rsidR="00F17685" w:rsidRPr="00B11AE6" w:rsidRDefault="00F17685" w:rsidP="00B11AE6">
      <w:pPr>
        <w:pStyle w:val="StandaardSV"/>
        <w:ind w:left="360"/>
        <w:rPr>
          <w:szCs w:val="22"/>
        </w:rPr>
      </w:pPr>
    </w:p>
    <w:p w:rsidR="00F17685" w:rsidRPr="00B11AE6" w:rsidRDefault="00F17685" w:rsidP="00B11AE6">
      <w:pPr>
        <w:pStyle w:val="StandaardSV"/>
        <w:ind w:left="360"/>
        <w:rPr>
          <w:szCs w:val="22"/>
        </w:rPr>
      </w:pPr>
      <w:r w:rsidRPr="00B11AE6">
        <w:rPr>
          <w:szCs w:val="22"/>
        </w:rPr>
        <w:t>In de onderstaande tabel wordt de uitbetaalde subsidie “behoud van variëteiten hoogstam</w:t>
      </w:r>
      <w:r>
        <w:rPr>
          <w:szCs w:val="22"/>
        </w:rPr>
        <w:softHyphen/>
      </w:r>
      <w:r w:rsidRPr="00B11AE6">
        <w:rPr>
          <w:szCs w:val="22"/>
        </w:rPr>
        <w:t>boomgaarden” weergegeven voor de laatste jaren. Voor 2004 tot 2006 is er geen uitsplitsing gemaakt tussen de submaatregelen “hoogstamboomgaarden” en “behoud van met uitsterven bedreigde veerassen”</w:t>
      </w:r>
    </w:p>
    <w:p w:rsidR="00F17685" w:rsidRPr="00B11AE6" w:rsidRDefault="00F17685" w:rsidP="00B11AE6">
      <w:pPr>
        <w:pStyle w:val="StandaardSV"/>
        <w:ind w:left="360"/>
        <w:rPr>
          <w:szCs w:val="22"/>
        </w:rPr>
      </w:pPr>
    </w:p>
    <w:p w:rsidR="00F17685" w:rsidRPr="00B11AE6" w:rsidRDefault="00F17685" w:rsidP="00B11AE6">
      <w:pPr>
        <w:pStyle w:val="StandaardSV"/>
        <w:ind w:left="360"/>
        <w:rPr>
          <w:szCs w:val="22"/>
        </w:rPr>
      </w:pPr>
      <w:r w:rsidRPr="00B11AE6">
        <w:rPr>
          <w:szCs w:val="22"/>
        </w:rPr>
        <w:t>Tabel 3. Overzicht van de uitbetaalde subsidies “behoud van variëteiten hoogstamboomgaarden”</w:t>
      </w:r>
    </w:p>
    <w:p w:rsidR="00F17685" w:rsidRPr="00B11AE6" w:rsidRDefault="00F17685" w:rsidP="00B11AE6">
      <w:pPr>
        <w:pStyle w:val="StandaardSV"/>
        <w:ind w:left="360"/>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816"/>
        <w:gridCol w:w="816"/>
        <w:gridCol w:w="696"/>
        <w:gridCol w:w="939"/>
        <w:gridCol w:w="939"/>
        <w:gridCol w:w="939"/>
      </w:tblGrid>
      <w:tr w:rsidR="00F17685" w:rsidRPr="00B11AE6" w:rsidTr="00916103">
        <w:tc>
          <w:tcPr>
            <w:tcW w:w="2337" w:type="dxa"/>
          </w:tcPr>
          <w:p w:rsidR="00F17685" w:rsidRPr="00916103" w:rsidRDefault="00F17685" w:rsidP="004F57F4">
            <w:r w:rsidRPr="00916103">
              <w:rPr>
                <w:szCs w:val="22"/>
              </w:rPr>
              <w:t>Contractjaar</w:t>
            </w:r>
          </w:p>
        </w:tc>
        <w:tc>
          <w:tcPr>
            <w:tcW w:w="816" w:type="dxa"/>
          </w:tcPr>
          <w:p w:rsidR="00F17685" w:rsidRPr="00916103" w:rsidRDefault="00F17685" w:rsidP="004F57F4">
            <w:r w:rsidRPr="00916103">
              <w:rPr>
                <w:szCs w:val="22"/>
              </w:rPr>
              <w:t>2004</w:t>
            </w:r>
          </w:p>
        </w:tc>
        <w:tc>
          <w:tcPr>
            <w:tcW w:w="816" w:type="dxa"/>
          </w:tcPr>
          <w:p w:rsidR="00F17685" w:rsidRPr="00916103" w:rsidRDefault="00F17685" w:rsidP="004F57F4">
            <w:r w:rsidRPr="00916103">
              <w:rPr>
                <w:szCs w:val="22"/>
              </w:rPr>
              <w:t>2005</w:t>
            </w:r>
          </w:p>
        </w:tc>
        <w:tc>
          <w:tcPr>
            <w:tcW w:w="696" w:type="dxa"/>
          </w:tcPr>
          <w:p w:rsidR="00F17685" w:rsidRPr="00916103" w:rsidRDefault="00F17685" w:rsidP="004F57F4">
            <w:r w:rsidRPr="00916103">
              <w:rPr>
                <w:szCs w:val="22"/>
              </w:rPr>
              <w:t>2006</w:t>
            </w:r>
          </w:p>
        </w:tc>
        <w:tc>
          <w:tcPr>
            <w:tcW w:w="939" w:type="dxa"/>
          </w:tcPr>
          <w:p w:rsidR="00F17685" w:rsidRPr="00916103" w:rsidRDefault="00F17685" w:rsidP="004F57F4">
            <w:r w:rsidRPr="00916103">
              <w:rPr>
                <w:szCs w:val="22"/>
              </w:rPr>
              <w:t>2007</w:t>
            </w:r>
          </w:p>
        </w:tc>
        <w:tc>
          <w:tcPr>
            <w:tcW w:w="939" w:type="dxa"/>
          </w:tcPr>
          <w:p w:rsidR="00F17685" w:rsidRPr="00916103" w:rsidRDefault="00F17685" w:rsidP="004F57F4">
            <w:r w:rsidRPr="00916103">
              <w:rPr>
                <w:szCs w:val="22"/>
              </w:rPr>
              <w:t>2008</w:t>
            </w:r>
          </w:p>
        </w:tc>
        <w:tc>
          <w:tcPr>
            <w:tcW w:w="939" w:type="dxa"/>
          </w:tcPr>
          <w:p w:rsidR="00F17685" w:rsidRPr="00916103" w:rsidRDefault="00F17685" w:rsidP="004F57F4">
            <w:r w:rsidRPr="00916103">
              <w:rPr>
                <w:szCs w:val="22"/>
              </w:rPr>
              <w:t>2009</w:t>
            </w:r>
          </w:p>
        </w:tc>
      </w:tr>
      <w:tr w:rsidR="00F17685" w:rsidRPr="00B11AE6" w:rsidTr="00916103">
        <w:tblPrEx>
          <w:tblLook w:val="01E0"/>
        </w:tblPrEx>
        <w:tc>
          <w:tcPr>
            <w:tcW w:w="2337" w:type="dxa"/>
          </w:tcPr>
          <w:p w:rsidR="00F17685" w:rsidRPr="00916103" w:rsidRDefault="00F17685" w:rsidP="004F57F4">
            <w:r w:rsidRPr="00916103">
              <w:rPr>
                <w:szCs w:val="22"/>
              </w:rPr>
              <w:t>Subsidiebedrag</w:t>
            </w:r>
          </w:p>
          <w:p w:rsidR="00F17685" w:rsidRPr="00916103" w:rsidRDefault="00F17685" w:rsidP="004F57F4">
            <w:r w:rsidRPr="00916103">
              <w:rPr>
                <w:szCs w:val="22"/>
              </w:rPr>
              <w:t>(X 1000 euro)</w:t>
            </w:r>
          </w:p>
        </w:tc>
        <w:tc>
          <w:tcPr>
            <w:tcW w:w="816" w:type="dxa"/>
            <w:vAlign w:val="center"/>
          </w:tcPr>
          <w:p w:rsidR="00F17685" w:rsidRPr="00916103" w:rsidRDefault="00F17685" w:rsidP="00916103">
            <w:pPr>
              <w:jc w:val="center"/>
            </w:pPr>
          </w:p>
        </w:tc>
        <w:tc>
          <w:tcPr>
            <w:tcW w:w="816" w:type="dxa"/>
            <w:vAlign w:val="center"/>
          </w:tcPr>
          <w:p w:rsidR="00F17685" w:rsidRPr="00916103" w:rsidRDefault="00F17685" w:rsidP="00916103">
            <w:pPr>
              <w:jc w:val="center"/>
            </w:pPr>
          </w:p>
        </w:tc>
        <w:tc>
          <w:tcPr>
            <w:tcW w:w="696" w:type="dxa"/>
            <w:vAlign w:val="center"/>
          </w:tcPr>
          <w:p w:rsidR="00F17685" w:rsidRPr="00916103" w:rsidRDefault="00F17685" w:rsidP="00916103">
            <w:pPr>
              <w:jc w:val="center"/>
            </w:pPr>
          </w:p>
        </w:tc>
        <w:tc>
          <w:tcPr>
            <w:tcW w:w="939" w:type="dxa"/>
            <w:vAlign w:val="center"/>
          </w:tcPr>
          <w:p w:rsidR="00F17685" w:rsidRPr="00916103" w:rsidRDefault="00F17685" w:rsidP="00916103">
            <w:pPr>
              <w:jc w:val="center"/>
            </w:pPr>
          </w:p>
        </w:tc>
        <w:tc>
          <w:tcPr>
            <w:tcW w:w="939" w:type="dxa"/>
            <w:vAlign w:val="center"/>
          </w:tcPr>
          <w:p w:rsidR="00F17685" w:rsidRPr="00916103" w:rsidRDefault="00F17685" w:rsidP="00916103">
            <w:pPr>
              <w:jc w:val="center"/>
            </w:pPr>
          </w:p>
        </w:tc>
        <w:tc>
          <w:tcPr>
            <w:tcW w:w="939" w:type="dxa"/>
            <w:vAlign w:val="center"/>
          </w:tcPr>
          <w:p w:rsidR="00F17685" w:rsidRPr="00916103" w:rsidRDefault="00F17685" w:rsidP="00916103">
            <w:pPr>
              <w:jc w:val="center"/>
            </w:pPr>
          </w:p>
        </w:tc>
      </w:tr>
      <w:tr w:rsidR="00F17685" w:rsidRPr="00B11AE6" w:rsidTr="00916103">
        <w:tblPrEx>
          <w:tblLook w:val="01E0"/>
        </w:tblPrEx>
        <w:tc>
          <w:tcPr>
            <w:tcW w:w="2337" w:type="dxa"/>
          </w:tcPr>
          <w:p w:rsidR="00F17685" w:rsidRPr="00916103" w:rsidRDefault="00F17685" w:rsidP="004F57F4">
            <w:r w:rsidRPr="00916103">
              <w:rPr>
                <w:szCs w:val="22"/>
              </w:rPr>
              <w:t>Hoogstamboomgaarden</w:t>
            </w:r>
          </w:p>
        </w:tc>
        <w:tc>
          <w:tcPr>
            <w:tcW w:w="816" w:type="dxa"/>
            <w:vMerge w:val="restart"/>
            <w:vAlign w:val="center"/>
          </w:tcPr>
          <w:p w:rsidR="00F17685" w:rsidRPr="00916103" w:rsidRDefault="00F17685" w:rsidP="00916103">
            <w:pPr>
              <w:jc w:val="center"/>
            </w:pPr>
            <w:r w:rsidRPr="00916103">
              <w:rPr>
                <w:szCs w:val="22"/>
              </w:rPr>
              <w:t>366</w:t>
            </w:r>
          </w:p>
        </w:tc>
        <w:tc>
          <w:tcPr>
            <w:tcW w:w="816" w:type="dxa"/>
            <w:vMerge w:val="restart"/>
            <w:vAlign w:val="center"/>
          </w:tcPr>
          <w:p w:rsidR="00F17685" w:rsidRPr="00916103" w:rsidRDefault="00F17685" w:rsidP="00916103">
            <w:pPr>
              <w:jc w:val="center"/>
            </w:pPr>
            <w:r w:rsidRPr="00916103">
              <w:rPr>
                <w:szCs w:val="22"/>
              </w:rPr>
              <w:t>423</w:t>
            </w:r>
          </w:p>
        </w:tc>
        <w:tc>
          <w:tcPr>
            <w:tcW w:w="696" w:type="dxa"/>
            <w:vMerge w:val="restart"/>
            <w:vAlign w:val="center"/>
          </w:tcPr>
          <w:p w:rsidR="00F17685" w:rsidRPr="00916103" w:rsidRDefault="00F17685" w:rsidP="00916103">
            <w:pPr>
              <w:jc w:val="center"/>
            </w:pPr>
            <w:r w:rsidRPr="00916103">
              <w:rPr>
                <w:szCs w:val="22"/>
              </w:rPr>
              <w:t>447</w:t>
            </w:r>
          </w:p>
        </w:tc>
        <w:tc>
          <w:tcPr>
            <w:tcW w:w="939" w:type="dxa"/>
            <w:vAlign w:val="center"/>
          </w:tcPr>
          <w:p w:rsidR="00F17685" w:rsidRPr="00916103" w:rsidRDefault="00F17685" w:rsidP="00916103">
            <w:pPr>
              <w:jc w:val="center"/>
            </w:pPr>
            <w:r w:rsidRPr="00916103">
              <w:rPr>
                <w:szCs w:val="22"/>
              </w:rPr>
              <w:t>124</w:t>
            </w:r>
          </w:p>
        </w:tc>
        <w:tc>
          <w:tcPr>
            <w:tcW w:w="939" w:type="dxa"/>
            <w:vAlign w:val="center"/>
          </w:tcPr>
          <w:p w:rsidR="00F17685" w:rsidRPr="00916103" w:rsidRDefault="00F17685" w:rsidP="00916103">
            <w:pPr>
              <w:jc w:val="center"/>
            </w:pPr>
            <w:r w:rsidRPr="00916103">
              <w:rPr>
                <w:szCs w:val="22"/>
              </w:rPr>
              <w:t>111</w:t>
            </w:r>
          </w:p>
        </w:tc>
        <w:tc>
          <w:tcPr>
            <w:tcW w:w="939" w:type="dxa"/>
            <w:vAlign w:val="center"/>
          </w:tcPr>
          <w:p w:rsidR="00F17685" w:rsidRPr="00916103" w:rsidRDefault="00F17685" w:rsidP="00916103">
            <w:pPr>
              <w:jc w:val="center"/>
            </w:pPr>
            <w:r w:rsidRPr="00916103">
              <w:rPr>
                <w:szCs w:val="22"/>
              </w:rPr>
              <w:t>187</w:t>
            </w:r>
          </w:p>
        </w:tc>
      </w:tr>
      <w:tr w:rsidR="00F17685" w:rsidRPr="00B11AE6" w:rsidTr="00916103">
        <w:tblPrEx>
          <w:tblLook w:val="01E0"/>
        </w:tblPrEx>
        <w:tc>
          <w:tcPr>
            <w:tcW w:w="2337" w:type="dxa"/>
          </w:tcPr>
          <w:p w:rsidR="00F17685" w:rsidRPr="00916103" w:rsidRDefault="00F17685" w:rsidP="004F57F4">
            <w:r w:rsidRPr="00916103">
              <w:rPr>
                <w:szCs w:val="22"/>
              </w:rPr>
              <w:t>Bedreigde  veerassen</w:t>
            </w:r>
          </w:p>
        </w:tc>
        <w:tc>
          <w:tcPr>
            <w:tcW w:w="0" w:type="auto"/>
            <w:vMerge/>
            <w:vAlign w:val="center"/>
          </w:tcPr>
          <w:p w:rsidR="00F17685" w:rsidRPr="00916103" w:rsidRDefault="00F17685" w:rsidP="004F57F4"/>
        </w:tc>
        <w:tc>
          <w:tcPr>
            <w:tcW w:w="0" w:type="auto"/>
            <w:vMerge/>
            <w:vAlign w:val="center"/>
          </w:tcPr>
          <w:p w:rsidR="00F17685" w:rsidRPr="00916103" w:rsidRDefault="00F17685" w:rsidP="004F57F4"/>
        </w:tc>
        <w:tc>
          <w:tcPr>
            <w:tcW w:w="0" w:type="auto"/>
            <w:vMerge/>
            <w:vAlign w:val="center"/>
          </w:tcPr>
          <w:p w:rsidR="00F17685" w:rsidRPr="00916103" w:rsidRDefault="00F17685" w:rsidP="004F57F4"/>
        </w:tc>
        <w:tc>
          <w:tcPr>
            <w:tcW w:w="939" w:type="dxa"/>
            <w:vAlign w:val="center"/>
          </w:tcPr>
          <w:p w:rsidR="00F17685" w:rsidRPr="00916103" w:rsidRDefault="00F17685" w:rsidP="00916103">
            <w:pPr>
              <w:jc w:val="center"/>
            </w:pPr>
            <w:r w:rsidRPr="00916103">
              <w:rPr>
                <w:szCs w:val="22"/>
              </w:rPr>
              <w:t>352</w:t>
            </w:r>
          </w:p>
        </w:tc>
        <w:tc>
          <w:tcPr>
            <w:tcW w:w="939" w:type="dxa"/>
            <w:vAlign w:val="center"/>
          </w:tcPr>
          <w:p w:rsidR="00F17685" w:rsidRPr="00916103" w:rsidRDefault="00F17685" w:rsidP="00916103">
            <w:pPr>
              <w:jc w:val="center"/>
            </w:pPr>
            <w:r w:rsidRPr="00916103">
              <w:rPr>
                <w:szCs w:val="22"/>
              </w:rPr>
              <w:t>364</w:t>
            </w:r>
          </w:p>
        </w:tc>
        <w:tc>
          <w:tcPr>
            <w:tcW w:w="939" w:type="dxa"/>
            <w:vAlign w:val="center"/>
          </w:tcPr>
          <w:p w:rsidR="00F17685" w:rsidRPr="00916103" w:rsidRDefault="00F17685" w:rsidP="00916103">
            <w:pPr>
              <w:jc w:val="center"/>
            </w:pPr>
            <w:r w:rsidRPr="00916103">
              <w:rPr>
                <w:szCs w:val="22"/>
              </w:rPr>
              <w:t>386</w:t>
            </w:r>
          </w:p>
        </w:tc>
      </w:tr>
    </w:tbl>
    <w:p w:rsidR="00F17685" w:rsidRPr="00AC6626" w:rsidRDefault="00F17685" w:rsidP="00CA7BBC">
      <w:pPr>
        <w:pStyle w:val="StandaardSV"/>
        <w:rPr>
          <w:szCs w:val="22"/>
        </w:rPr>
      </w:pPr>
    </w:p>
    <w:p w:rsidR="00F17685" w:rsidRPr="00AC6626" w:rsidRDefault="00F17685" w:rsidP="00B11AE6">
      <w:pPr>
        <w:pStyle w:val="StandaardSV"/>
        <w:numPr>
          <w:ilvl w:val="0"/>
          <w:numId w:val="3"/>
        </w:numPr>
        <w:rPr>
          <w:szCs w:val="22"/>
        </w:rPr>
      </w:pPr>
      <w:r w:rsidRPr="00AC6626">
        <w:rPr>
          <w:szCs w:val="22"/>
        </w:rPr>
        <w:t>Elk jaar wordt minstens 5% van de lopende overeenkomsten gecontroleerd ter plaatse door de Afdeling Duurzame Landbouwontwikkeling. In 2010 werden 91 dossiers gecontroleerd. Bij 19 van deze controles was het resultaat niet conform. Daarnaast worden ook door de erkende vereniging nog controles uitgevoerd.</w:t>
      </w:r>
    </w:p>
    <w:p w:rsidR="00F17685" w:rsidRPr="00AC6626" w:rsidRDefault="00F17685" w:rsidP="00CA7BBC">
      <w:pPr>
        <w:pStyle w:val="StandaardSV"/>
        <w:rPr>
          <w:szCs w:val="22"/>
        </w:rPr>
      </w:pPr>
    </w:p>
    <w:p w:rsidR="00F17685" w:rsidRPr="00AC6626" w:rsidRDefault="00F17685" w:rsidP="00B11AE6">
      <w:pPr>
        <w:pStyle w:val="StandaardSV"/>
        <w:numPr>
          <w:ilvl w:val="0"/>
          <w:numId w:val="3"/>
        </w:numPr>
        <w:rPr>
          <w:szCs w:val="22"/>
        </w:rPr>
      </w:pPr>
      <w:r w:rsidRPr="00AC6626">
        <w:rPr>
          <w:szCs w:val="22"/>
        </w:rPr>
        <w:t xml:space="preserve">Jaarlijks geeft de erkende vereniging Nationale Boomgaardenstichting in haar actieplan een overzicht van de evolutie van het aantal bomen betrokken bij de maatregel. Ook geeft zij, op basis van haar expertise terzake, een inschatting van het bestaande areaal hoogstamfruitbomen. </w:t>
      </w:r>
      <w:r>
        <w:rPr>
          <w:szCs w:val="22"/>
        </w:rPr>
        <w:t>De maatregel heeft in elk geval een positieve bijdrage geleverd naar het behoud en het aanplanten van hoogstamboomgaarden in Vlaanderen.</w:t>
      </w:r>
    </w:p>
    <w:p w:rsidR="00F17685" w:rsidRPr="00AC6626" w:rsidRDefault="00F17685" w:rsidP="00CA7BBC">
      <w:pPr>
        <w:pStyle w:val="StandaardSV"/>
        <w:rPr>
          <w:szCs w:val="22"/>
        </w:rPr>
      </w:pPr>
    </w:p>
    <w:p w:rsidR="00F17685" w:rsidRPr="00AC6626" w:rsidRDefault="00F17685" w:rsidP="00B11AE6">
      <w:pPr>
        <w:pStyle w:val="StandaardSV"/>
        <w:numPr>
          <w:ilvl w:val="0"/>
          <w:numId w:val="3"/>
        </w:numPr>
        <w:rPr>
          <w:szCs w:val="22"/>
        </w:rPr>
      </w:pPr>
      <w:r w:rsidRPr="00AC6626">
        <w:rPr>
          <w:szCs w:val="22"/>
        </w:rPr>
        <w:t>De respons op deze maatregel kent een stijgende tendens. Aangezien de in het PDPO vastgestelde doelen bereikt zijn, wordt gestreefd om dit aantal op peil te houden.</w:t>
      </w:r>
    </w:p>
    <w:p w:rsidR="00F17685" w:rsidRPr="00AC6626" w:rsidRDefault="00F17685" w:rsidP="00B11AE6">
      <w:pPr>
        <w:pStyle w:val="StandaardSV"/>
        <w:ind w:left="360"/>
        <w:rPr>
          <w:szCs w:val="22"/>
        </w:rPr>
      </w:pPr>
    </w:p>
    <w:p w:rsidR="00F17685" w:rsidRPr="00AC6626" w:rsidRDefault="00F17685" w:rsidP="00B11AE6">
      <w:pPr>
        <w:pStyle w:val="StandaardSV"/>
        <w:ind w:left="360"/>
        <w:rPr>
          <w:szCs w:val="22"/>
        </w:rPr>
      </w:pPr>
      <w:r w:rsidRPr="00AC6626">
        <w:rPr>
          <w:szCs w:val="22"/>
        </w:rPr>
        <w:t xml:space="preserve">Vanaf 2011 wordt voor deze maatregel een budgettaire enveloppesysteem ingevoerd. Het subsidiebedrag wordt jaarlijks bepaald en het aantal nieuwe </w:t>
      </w:r>
      <w:r>
        <w:rPr>
          <w:szCs w:val="22"/>
        </w:rPr>
        <w:t>verbintenissen</w:t>
      </w:r>
      <w:r w:rsidRPr="00AC6626">
        <w:rPr>
          <w:szCs w:val="22"/>
        </w:rPr>
        <w:t xml:space="preserve"> is beperkt tot aan dit jaarlijks bepaalde subsidiebedrag. Hierbij wordt de voorkeur gegeven aan de aanplant van nieuwe bomen ten opzichte van het onderhoud van bestaande bomen.</w:t>
      </w:r>
    </w:p>
    <w:p w:rsidR="00F17685" w:rsidRPr="00CA7BBC" w:rsidRDefault="00F17685" w:rsidP="00B11AE6">
      <w:pPr>
        <w:ind w:left="360"/>
        <w:jc w:val="both"/>
      </w:pPr>
    </w:p>
    <w:sectPr w:rsidR="00F17685" w:rsidRPr="00CA7BB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155"/>
    <w:multiLevelType w:val="hybridMultilevel"/>
    <w:tmpl w:val="0142C0D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1724"/>
    <w:rsid w:val="000976E9"/>
    <w:rsid w:val="000C4E8C"/>
    <w:rsid w:val="000F3532"/>
    <w:rsid w:val="001B6E48"/>
    <w:rsid w:val="001F7390"/>
    <w:rsid w:val="00210C07"/>
    <w:rsid w:val="0025119E"/>
    <w:rsid w:val="00266E3B"/>
    <w:rsid w:val="002C4DA5"/>
    <w:rsid w:val="00311C82"/>
    <w:rsid w:val="00326A58"/>
    <w:rsid w:val="004605A6"/>
    <w:rsid w:val="004B098A"/>
    <w:rsid w:val="004E2833"/>
    <w:rsid w:val="004F57F4"/>
    <w:rsid w:val="00566C53"/>
    <w:rsid w:val="00580B99"/>
    <w:rsid w:val="005900AD"/>
    <w:rsid w:val="005B0F0C"/>
    <w:rsid w:val="005E38CA"/>
    <w:rsid w:val="0063138E"/>
    <w:rsid w:val="006548DD"/>
    <w:rsid w:val="006B480A"/>
    <w:rsid w:val="006F4EB3"/>
    <w:rsid w:val="0071248C"/>
    <w:rsid w:val="007252C7"/>
    <w:rsid w:val="007474BA"/>
    <w:rsid w:val="007647B3"/>
    <w:rsid w:val="00785A0D"/>
    <w:rsid w:val="007B177C"/>
    <w:rsid w:val="007F60A8"/>
    <w:rsid w:val="008346AE"/>
    <w:rsid w:val="00873068"/>
    <w:rsid w:val="00894185"/>
    <w:rsid w:val="008A7067"/>
    <w:rsid w:val="008A713D"/>
    <w:rsid w:val="008D5DB4"/>
    <w:rsid w:val="00916103"/>
    <w:rsid w:val="009347E0"/>
    <w:rsid w:val="0093491C"/>
    <w:rsid w:val="009D5AC1"/>
    <w:rsid w:val="009D7043"/>
    <w:rsid w:val="00A42280"/>
    <w:rsid w:val="00A76EC9"/>
    <w:rsid w:val="00A804C0"/>
    <w:rsid w:val="00AB4B80"/>
    <w:rsid w:val="00AC6626"/>
    <w:rsid w:val="00B11AE6"/>
    <w:rsid w:val="00B45EB2"/>
    <w:rsid w:val="00B60F0E"/>
    <w:rsid w:val="00BE425A"/>
    <w:rsid w:val="00C0707D"/>
    <w:rsid w:val="00CA7BBC"/>
    <w:rsid w:val="00CE2FB7"/>
    <w:rsid w:val="00D6605A"/>
    <w:rsid w:val="00D71D99"/>
    <w:rsid w:val="00D754F2"/>
    <w:rsid w:val="00D87EFD"/>
    <w:rsid w:val="00DB41C0"/>
    <w:rsid w:val="00DC4DB6"/>
    <w:rsid w:val="00DD19EF"/>
    <w:rsid w:val="00DD4121"/>
    <w:rsid w:val="00DF64EC"/>
    <w:rsid w:val="00E12C5D"/>
    <w:rsid w:val="00E31F4D"/>
    <w:rsid w:val="00E55200"/>
    <w:rsid w:val="00E75830"/>
    <w:rsid w:val="00EE3DDB"/>
    <w:rsid w:val="00F17685"/>
    <w:rsid w:val="00F369E3"/>
    <w:rsid w:val="00F5014D"/>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D5AC1"/>
    <w:rPr>
      <w:rFonts w:ascii="Tahoma" w:hAnsi="Tahoma" w:cs="Tahoma"/>
      <w:sz w:val="16"/>
      <w:szCs w:val="16"/>
    </w:rPr>
  </w:style>
  <w:style w:type="character" w:customStyle="1" w:styleId="BalloonTextChar">
    <w:name w:val="Balloon Text Char"/>
    <w:basedOn w:val="DefaultParagraphFont"/>
    <w:link w:val="BalloonText"/>
    <w:uiPriority w:val="99"/>
    <w:locked/>
    <w:rsid w:val="009D5AC1"/>
    <w:rPr>
      <w:rFonts w:ascii="Tahoma" w:hAnsi="Tahoma" w:cs="Tahoma"/>
      <w:sz w:val="16"/>
      <w:szCs w:val="16"/>
      <w:lang w:val="nl-NL" w:eastAsia="nl-NL"/>
    </w:rPr>
  </w:style>
  <w:style w:type="paragraph" w:customStyle="1" w:styleId="StandaardSV">
    <w:name w:val="Standaard SV"/>
    <w:basedOn w:val="Normal"/>
    <w:uiPriority w:val="99"/>
    <w:rsid w:val="00CA7BBC"/>
    <w:pPr>
      <w:jc w:val="both"/>
    </w:pPr>
    <w:rPr>
      <w:szCs w:val="20"/>
    </w:rPr>
  </w:style>
  <w:style w:type="table" w:styleId="TableGrid">
    <w:name w:val="Table Grid"/>
    <w:basedOn w:val="TableNormal"/>
    <w:uiPriority w:val="99"/>
    <w:rsid w:val="00CA7BB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397</Words>
  <Characters>2187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JME</cp:lastModifiedBy>
  <cp:revision>5</cp:revision>
  <cp:lastPrinted>2011-04-12T09:30:00Z</cp:lastPrinted>
  <dcterms:created xsi:type="dcterms:W3CDTF">2011-04-14T14:14:00Z</dcterms:created>
  <dcterms:modified xsi:type="dcterms:W3CDTF">2011-05-16T13:16:00Z</dcterms:modified>
</cp:coreProperties>
</file>