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0B" w:rsidRPr="005F6D01" w:rsidRDefault="00DE770B" w:rsidP="00596FA2">
      <w:pPr>
        <w:jc w:val="both"/>
        <w:rPr>
          <w:rFonts w:ascii="Times New Roman Vet" w:hAnsi="Times New Roman Vet"/>
          <w:smallCaps/>
          <w:sz w:val="22"/>
          <w:szCs w:val="22"/>
          <w:lang w:val="nl-BE"/>
        </w:rPr>
      </w:pPr>
      <w:r w:rsidRPr="005F6D01">
        <w:rPr>
          <w:rFonts w:ascii="Times New Roman Vet" w:hAnsi="Times New Roman Vet"/>
          <w:b/>
          <w:smallCaps/>
          <w:sz w:val="22"/>
          <w:szCs w:val="22"/>
          <w:lang w:val="nl-BE"/>
        </w:rPr>
        <w:t>philippe muyters</w:t>
      </w:r>
      <w:r w:rsidRPr="005F6D01">
        <w:rPr>
          <w:rFonts w:ascii="Times New Roman Vet" w:hAnsi="Times New Roman Vet"/>
          <w:smallCaps/>
          <w:sz w:val="22"/>
          <w:szCs w:val="22"/>
          <w:lang w:val="nl-BE"/>
        </w:rPr>
        <w:t xml:space="preserve"> </w:t>
      </w:r>
    </w:p>
    <w:p w:rsidR="00DE770B" w:rsidRPr="005F6D01" w:rsidRDefault="00DE770B" w:rsidP="00596FA2">
      <w:pPr>
        <w:jc w:val="both"/>
        <w:rPr>
          <w:b/>
          <w:smallCaps/>
          <w:sz w:val="22"/>
          <w:szCs w:val="22"/>
          <w:lang w:val="nl-BE"/>
        </w:rPr>
      </w:pPr>
      <w:r w:rsidRPr="005F6D01">
        <w:rPr>
          <w:smallCaps/>
          <w:sz w:val="22"/>
          <w:szCs w:val="22"/>
          <w:lang w:val="nl-BE"/>
        </w:rPr>
        <w:t>vlaams minister van financiën, begroting, werk, ruimtelijke ordening en sport</w:t>
      </w:r>
      <w:r w:rsidRPr="005F6D01">
        <w:rPr>
          <w:b/>
          <w:smallCaps/>
          <w:sz w:val="22"/>
          <w:szCs w:val="22"/>
          <w:lang w:val="nl-BE"/>
        </w:rPr>
        <w:t xml:space="preserve"> </w:t>
      </w:r>
    </w:p>
    <w:p w:rsidR="00DE770B" w:rsidRPr="006E7BC2" w:rsidRDefault="00DE770B" w:rsidP="00596FA2">
      <w:pPr>
        <w:pStyle w:val="StandaardSV"/>
        <w:pBdr>
          <w:bottom w:val="single" w:sz="4" w:space="1" w:color="auto"/>
        </w:pBdr>
        <w:rPr>
          <w:lang w:val="nl-BE"/>
        </w:rPr>
      </w:pPr>
    </w:p>
    <w:p w:rsidR="00DE770B" w:rsidRDefault="00DE770B" w:rsidP="00596FA2">
      <w:pPr>
        <w:jc w:val="both"/>
        <w:rPr>
          <w:sz w:val="22"/>
        </w:rPr>
      </w:pPr>
    </w:p>
    <w:p w:rsidR="00DE770B" w:rsidRPr="00B66409" w:rsidRDefault="00DE770B" w:rsidP="00B66409">
      <w:pPr>
        <w:rPr>
          <w:b/>
          <w:smallCaps/>
          <w:sz w:val="22"/>
          <w:szCs w:val="22"/>
        </w:rPr>
      </w:pPr>
      <w:r>
        <w:rPr>
          <w:b/>
          <w:smallCaps/>
          <w:sz w:val="22"/>
          <w:szCs w:val="22"/>
        </w:rPr>
        <w:t>a</w:t>
      </w:r>
      <w:r w:rsidRPr="00B66409">
        <w:rPr>
          <w:b/>
          <w:smallCaps/>
          <w:sz w:val="22"/>
          <w:szCs w:val="22"/>
        </w:rPr>
        <w:t>ntwoord</w:t>
      </w:r>
    </w:p>
    <w:p w:rsidR="00DE770B" w:rsidRDefault="00DE770B" w:rsidP="00596FA2">
      <w:pPr>
        <w:jc w:val="both"/>
        <w:rPr>
          <w:sz w:val="22"/>
        </w:rPr>
      </w:pPr>
      <w:r>
        <w:rPr>
          <w:sz w:val="22"/>
        </w:rPr>
        <w:t>op vraag nr. 351 van 15 maart 2011</w:t>
      </w:r>
    </w:p>
    <w:p w:rsidR="00DE770B" w:rsidRDefault="00DE770B" w:rsidP="00596FA2">
      <w:pPr>
        <w:jc w:val="both"/>
        <w:rPr>
          <w:b/>
          <w:sz w:val="22"/>
        </w:rPr>
      </w:pPr>
      <w:r>
        <w:rPr>
          <w:sz w:val="22"/>
        </w:rPr>
        <w:t xml:space="preserve">van </w:t>
      </w:r>
      <w:r>
        <w:rPr>
          <w:b/>
          <w:smallCaps/>
          <w:sz w:val="22"/>
        </w:rPr>
        <w:t>lydia peeters</w:t>
      </w:r>
    </w:p>
    <w:p w:rsidR="00DE770B" w:rsidRDefault="00DE770B" w:rsidP="00596FA2">
      <w:pPr>
        <w:pBdr>
          <w:bottom w:val="single" w:sz="4" w:space="1" w:color="auto"/>
        </w:pBdr>
        <w:jc w:val="both"/>
        <w:rPr>
          <w:sz w:val="22"/>
        </w:rPr>
      </w:pPr>
    </w:p>
    <w:p w:rsidR="00DE770B" w:rsidRDefault="00DE770B" w:rsidP="00596FA2">
      <w:pPr>
        <w:pStyle w:val="StandaardSV"/>
      </w:pPr>
    </w:p>
    <w:p w:rsidR="00DE770B" w:rsidRDefault="00DE770B" w:rsidP="00596FA2">
      <w:pPr>
        <w:pStyle w:val="StandaardSV"/>
        <w:ind w:left="360"/>
      </w:pPr>
    </w:p>
    <w:p w:rsidR="00DE770B" w:rsidRPr="00D538ED" w:rsidRDefault="00DE770B" w:rsidP="0093189F">
      <w:pPr>
        <w:pStyle w:val="StandaardSV"/>
        <w:numPr>
          <w:ilvl w:val="0"/>
          <w:numId w:val="6"/>
        </w:numPr>
      </w:pPr>
      <w:r w:rsidRPr="00D538ED">
        <w:t>Krijtlijnen, procedure en targets/doelstellingen</w:t>
      </w:r>
    </w:p>
    <w:p w:rsidR="00DE770B" w:rsidRPr="000E1EDA" w:rsidRDefault="00DE770B" w:rsidP="0093189F">
      <w:pPr>
        <w:pStyle w:val="StandaardSV"/>
        <w:ind w:left="360"/>
        <w:rPr>
          <w:b/>
        </w:rPr>
      </w:pPr>
    </w:p>
    <w:p w:rsidR="00DE770B" w:rsidRPr="00D538ED" w:rsidRDefault="00DE770B" w:rsidP="00DB2F15">
      <w:pPr>
        <w:ind w:left="360"/>
        <w:jc w:val="both"/>
        <w:rPr>
          <w:sz w:val="22"/>
          <w:szCs w:val="22"/>
        </w:rPr>
      </w:pPr>
      <w:r w:rsidRPr="00D538ED">
        <w:rPr>
          <w:sz w:val="22"/>
          <w:szCs w:val="22"/>
          <w:lang w:val="nl-BE"/>
        </w:rPr>
        <w:t>Het samenwerkingsakkoord tussen de VDAB en het RIZIV kadert volledig in de nieuwe dynamiek die is ontstaan naar aanleiding van de overdracht op 1 juli 2009 van de beslissings</w:t>
      </w:r>
      <w:r>
        <w:rPr>
          <w:sz w:val="22"/>
          <w:szCs w:val="22"/>
          <w:lang w:val="nl-BE"/>
        </w:rPr>
        <w:softHyphen/>
      </w:r>
      <w:r w:rsidRPr="00D538ED">
        <w:rPr>
          <w:sz w:val="22"/>
          <w:szCs w:val="22"/>
          <w:lang w:val="nl-BE"/>
        </w:rPr>
        <w:t>bevoegdheid over de herscholingsdossiers van het College v</w:t>
      </w:r>
      <w:r>
        <w:rPr>
          <w:sz w:val="22"/>
          <w:szCs w:val="22"/>
          <w:lang w:val="nl-BE"/>
        </w:rPr>
        <w:t>an</w:t>
      </w:r>
      <w:r w:rsidRPr="00D538ED">
        <w:rPr>
          <w:sz w:val="22"/>
          <w:szCs w:val="22"/>
          <w:lang w:val="nl-BE"/>
        </w:rPr>
        <w:t xml:space="preserve"> Geneesheren Directeurs naar de Hoge Commissie van de Geneeskundige Raad voor Invaliditeit (HCGRI). Hierdoor werd een integrale benadering van de arbeidsongeschiktheid mogelijk.</w:t>
      </w:r>
    </w:p>
    <w:p w:rsidR="00DE770B" w:rsidRPr="00D538ED" w:rsidRDefault="00DE770B" w:rsidP="001F2A4C">
      <w:pPr>
        <w:jc w:val="both"/>
        <w:rPr>
          <w:sz w:val="22"/>
          <w:szCs w:val="22"/>
          <w:lang w:val="nl-BE"/>
        </w:rPr>
      </w:pPr>
    </w:p>
    <w:p w:rsidR="00DE770B" w:rsidRPr="00D538ED" w:rsidRDefault="00DE770B" w:rsidP="00DB2F15">
      <w:pPr>
        <w:ind w:left="360"/>
        <w:jc w:val="both"/>
        <w:rPr>
          <w:sz w:val="22"/>
          <w:szCs w:val="22"/>
          <w:lang w:val="nl-BE"/>
        </w:rPr>
      </w:pPr>
      <w:r w:rsidRPr="00D538ED">
        <w:rPr>
          <w:sz w:val="22"/>
          <w:szCs w:val="22"/>
          <w:lang w:val="nl-BE"/>
        </w:rPr>
        <w:t>Het doel van deze samenwerking is dat de arbeidsongeschikt erkende gerechtigden die het volledige traject naar werk hebben doorlopen, geschikt kunnen worden verklaard voor het nieuwe referentieberoep en begeleid worden naar een concrete job in de regeling voor werknemers of een activiteit als zelfstandige.</w:t>
      </w:r>
    </w:p>
    <w:p w:rsidR="00DE770B" w:rsidRPr="00D538ED" w:rsidRDefault="00DE770B" w:rsidP="001F2A4C">
      <w:pPr>
        <w:jc w:val="both"/>
        <w:rPr>
          <w:sz w:val="22"/>
          <w:szCs w:val="22"/>
          <w:lang w:val="nl-BE"/>
        </w:rPr>
      </w:pPr>
    </w:p>
    <w:p w:rsidR="00DE770B" w:rsidRPr="00D538ED" w:rsidRDefault="00DE770B" w:rsidP="00DB2F15">
      <w:pPr>
        <w:ind w:left="360"/>
        <w:jc w:val="both"/>
        <w:rPr>
          <w:sz w:val="22"/>
          <w:szCs w:val="22"/>
          <w:lang w:val="nl-BE"/>
        </w:rPr>
      </w:pPr>
      <w:r w:rsidRPr="00D538ED">
        <w:rPr>
          <w:sz w:val="22"/>
          <w:szCs w:val="22"/>
          <w:lang w:val="nl-BE"/>
        </w:rPr>
        <w:t>Die doelstelling wordt bereikt door het gepast inzetten van de verschillende onderdelen van de dienstverlening die de VDAB en zijn partners kunnen aanbieden zoals bijvoorbeeld een traject</w:t>
      </w:r>
      <w:r>
        <w:rPr>
          <w:sz w:val="22"/>
          <w:szCs w:val="22"/>
          <w:lang w:val="nl-BE"/>
        </w:rPr>
        <w:softHyphen/>
      </w:r>
      <w:r w:rsidRPr="00D538ED">
        <w:rPr>
          <w:sz w:val="22"/>
          <w:szCs w:val="22"/>
          <w:lang w:val="nl-BE"/>
        </w:rPr>
        <w:t>bepaling, een trajectbegeleiding en verschillende extra acties zoals screeningen, opleidingen, stages en opleidingen op de werkvloer. Op deze manier willen we de kansen van de arbeids</w:t>
      </w:r>
      <w:r>
        <w:rPr>
          <w:sz w:val="22"/>
          <w:szCs w:val="22"/>
          <w:lang w:val="nl-BE"/>
        </w:rPr>
        <w:softHyphen/>
      </w:r>
      <w:r w:rsidRPr="00D538ED">
        <w:rPr>
          <w:sz w:val="22"/>
          <w:szCs w:val="22"/>
          <w:lang w:val="nl-BE"/>
        </w:rPr>
        <w:t>ongeschikt erkende gerechtigden op de arbeidsmarkt gevoelig verhogen. De VDAB maakt daarom van bij de trajectbepaling een inschatting van de sterktes en de aandachtspunten van de arbeidsongeschikt erkende gerechtigden en binnen het eigenlijke traject naar werk worden slechts die noodzakelijke modules ingezet die ervoor zorgen dat de competenties op een juiste manier geanalyseerd en versterkt worden.</w:t>
      </w:r>
    </w:p>
    <w:p w:rsidR="00DE770B" w:rsidRPr="00D538ED" w:rsidRDefault="00DE770B" w:rsidP="004A227D">
      <w:pPr>
        <w:pStyle w:val="StandaardSV"/>
        <w:rPr>
          <w:szCs w:val="22"/>
          <w:lang w:val="nl-BE"/>
        </w:rPr>
      </w:pPr>
    </w:p>
    <w:p w:rsidR="00DE770B" w:rsidRPr="00D538ED" w:rsidRDefault="00DE770B" w:rsidP="00DB2F15">
      <w:pPr>
        <w:ind w:left="360"/>
        <w:jc w:val="both"/>
        <w:rPr>
          <w:b/>
          <w:sz w:val="22"/>
          <w:szCs w:val="22"/>
          <w:u w:val="single"/>
          <w:lang w:val="nl-BE"/>
        </w:rPr>
      </w:pPr>
      <w:r w:rsidRPr="00D538ED">
        <w:rPr>
          <w:sz w:val="22"/>
          <w:szCs w:val="22"/>
          <w:lang w:val="nl-BE"/>
        </w:rPr>
        <w:t>De VDAB verbindt zich ertoe om in 2011 voor een contingent van 100 arbeidsongeschikt erkende gerechtigden een traject naar werk op te starten.</w:t>
      </w:r>
      <w:r w:rsidRPr="00D538ED">
        <w:rPr>
          <w:b/>
          <w:sz w:val="22"/>
          <w:szCs w:val="22"/>
          <w:u w:val="single"/>
          <w:lang w:val="nl-BE"/>
        </w:rPr>
        <w:t xml:space="preserve"> </w:t>
      </w:r>
      <w:r w:rsidRPr="00D538ED">
        <w:rPr>
          <w:sz w:val="22"/>
          <w:szCs w:val="22"/>
          <w:lang w:val="nl-BE"/>
        </w:rPr>
        <w:t>Op basis van de ervaring die door de VDAB werd opgebouwd, kan ervan worden uitgegaan dat 80% van de arbeidsongeschikt erkende gerechtigden, die het volledige traject hebben doorlopen, door de adviserend geneesheer of de HCGRI geschikt zouden worden verklaard voor het uitoefenen van hun nieuw referentieberoep of nieuwe zelfstandige activiteit. Deze inspanningsverbintenis vanwege de VDAB doet geen afbreuk aan het feit dat de adviserend geneesheer zijn beslissing in volle onafhankelijkheid dient te nemen.</w:t>
      </w:r>
    </w:p>
    <w:p w:rsidR="00DE770B" w:rsidRDefault="00DE770B" w:rsidP="00CA09F1">
      <w:pPr>
        <w:jc w:val="both"/>
        <w:rPr>
          <w:lang w:val="nl-BE"/>
        </w:rPr>
      </w:pPr>
    </w:p>
    <w:p w:rsidR="00DE770B" w:rsidRPr="00D538ED" w:rsidRDefault="00DE770B" w:rsidP="00DB2F15">
      <w:pPr>
        <w:ind w:left="360"/>
        <w:jc w:val="both"/>
        <w:rPr>
          <w:sz w:val="22"/>
          <w:szCs w:val="22"/>
          <w:lang w:val="nl-BE"/>
        </w:rPr>
      </w:pPr>
      <w:r w:rsidRPr="00D538ED">
        <w:rPr>
          <w:sz w:val="22"/>
          <w:szCs w:val="22"/>
          <w:lang w:val="nl-BE"/>
        </w:rPr>
        <w:t>Looptijd</w:t>
      </w:r>
    </w:p>
    <w:p w:rsidR="00DE770B" w:rsidRPr="00D538ED" w:rsidRDefault="00DE770B" w:rsidP="00CA09F1">
      <w:pPr>
        <w:jc w:val="both"/>
        <w:rPr>
          <w:sz w:val="22"/>
          <w:szCs w:val="22"/>
          <w:lang w:val="nl-BE"/>
        </w:rPr>
      </w:pPr>
    </w:p>
    <w:p w:rsidR="00DE770B" w:rsidRPr="00D538ED" w:rsidRDefault="00DE770B" w:rsidP="00DB2F15">
      <w:pPr>
        <w:ind w:left="360"/>
        <w:jc w:val="both"/>
        <w:rPr>
          <w:sz w:val="22"/>
          <w:szCs w:val="22"/>
          <w:lang w:val="nl-BE"/>
        </w:rPr>
      </w:pPr>
      <w:r w:rsidRPr="00D538ED">
        <w:rPr>
          <w:sz w:val="22"/>
          <w:szCs w:val="22"/>
          <w:lang w:val="nl-BE"/>
        </w:rPr>
        <w:t xml:space="preserve">Het project start op 1/3/2011 en loopt tot en met 31/12/2011. Het is toegankelijk voor zowel werknemers, als voor zelfstandigen. </w:t>
      </w:r>
    </w:p>
    <w:p w:rsidR="00DE770B" w:rsidRPr="00D538ED" w:rsidRDefault="00DE770B" w:rsidP="00CA09F1">
      <w:pPr>
        <w:jc w:val="both"/>
        <w:rPr>
          <w:b/>
          <w:sz w:val="22"/>
          <w:szCs w:val="22"/>
          <w:lang w:val="nl-BE"/>
        </w:rPr>
      </w:pPr>
    </w:p>
    <w:p w:rsidR="00DE770B" w:rsidRPr="00D538ED" w:rsidRDefault="00DE770B" w:rsidP="00DB2F15">
      <w:pPr>
        <w:ind w:left="360"/>
        <w:jc w:val="both"/>
        <w:rPr>
          <w:sz w:val="22"/>
          <w:szCs w:val="22"/>
          <w:lang w:val="nl-BE"/>
        </w:rPr>
      </w:pPr>
      <w:r w:rsidRPr="00D538ED">
        <w:rPr>
          <w:sz w:val="22"/>
          <w:szCs w:val="22"/>
          <w:lang w:val="nl-BE"/>
        </w:rPr>
        <w:t>Financieringsstructuur</w:t>
      </w:r>
    </w:p>
    <w:p w:rsidR="00DE770B" w:rsidRPr="00D538ED" w:rsidRDefault="00DE770B" w:rsidP="00CA09F1">
      <w:pPr>
        <w:jc w:val="both"/>
        <w:rPr>
          <w:sz w:val="22"/>
          <w:szCs w:val="22"/>
          <w:lang w:val="nl-BE"/>
        </w:rPr>
      </w:pPr>
    </w:p>
    <w:p w:rsidR="00DE770B" w:rsidRPr="00D538ED" w:rsidRDefault="00DE770B" w:rsidP="00DB2F15">
      <w:pPr>
        <w:ind w:left="360"/>
        <w:jc w:val="both"/>
        <w:rPr>
          <w:sz w:val="22"/>
          <w:szCs w:val="22"/>
          <w:lang w:val="nl-BE"/>
        </w:rPr>
      </w:pPr>
      <w:r w:rsidRPr="00D538ED">
        <w:rPr>
          <w:sz w:val="22"/>
          <w:szCs w:val="22"/>
          <w:lang w:val="nl-BE"/>
        </w:rPr>
        <w:t>In een traject naar werk zijn steeds voor iedereen volgende modules voorzien:</w:t>
      </w:r>
    </w:p>
    <w:p w:rsidR="00DE770B" w:rsidRPr="00D538ED" w:rsidRDefault="00DE770B" w:rsidP="00C01752">
      <w:pPr>
        <w:numPr>
          <w:ilvl w:val="0"/>
          <w:numId w:val="2"/>
        </w:numPr>
        <w:jc w:val="both"/>
        <w:rPr>
          <w:sz w:val="22"/>
          <w:szCs w:val="22"/>
          <w:lang w:val="nl-BE"/>
        </w:rPr>
      </w:pPr>
      <w:r w:rsidRPr="00D538ED">
        <w:rPr>
          <w:sz w:val="22"/>
          <w:szCs w:val="22"/>
          <w:lang w:val="nl-BE"/>
        </w:rPr>
        <w:t>een trajectbepaling;</w:t>
      </w:r>
    </w:p>
    <w:p w:rsidR="00DE770B" w:rsidRPr="00D538ED" w:rsidRDefault="00DE770B" w:rsidP="00C01752">
      <w:pPr>
        <w:numPr>
          <w:ilvl w:val="0"/>
          <w:numId w:val="2"/>
        </w:numPr>
        <w:jc w:val="both"/>
        <w:rPr>
          <w:sz w:val="22"/>
          <w:szCs w:val="22"/>
          <w:lang w:val="nl-BE"/>
        </w:rPr>
      </w:pPr>
      <w:r w:rsidRPr="00D538ED">
        <w:rPr>
          <w:sz w:val="22"/>
          <w:szCs w:val="22"/>
          <w:lang w:val="nl-BE"/>
        </w:rPr>
        <w:t>een trajectbegeleiding;</w:t>
      </w:r>
    </w:p>
    <w:p w:rsidR="00DE770B" w:rsidRPr="00D538ED" w:rsidRDefault="00DE770B" w:rsidP="00C01752">
      <w:pPr>
        <w:numPr>
          <w:ilvl w:val="0"/>
          <w:numId w:val="2"/>
        </w:numPr>
        <w:jc w:val="both"/>
        <w:rPr>
          <w:sz w:val="22"/>
          <w:szCs w:val="22"/>
          <w:lang w:val="nl-BE"/>
        </w:rPr>
      </w:pPr>
      <w:r w:rsidRPr="00D538ED">
        <w:rPr>
          <w:sz w:val="22"/>
          <w:szCs w:val="22"/>
          <w:lang w:val="nl-BE"/>
        </w:rPr>
        <w:t xml:space="preserve">een oriënterende </w:t>
      </w:r>
      <w:r>
        <w:rPr>
          <w:sz w:val="22"/>
          <w:szCs w:val="22"/>
          <w:lang w:val="nl-BE"/>
        </w:rPr>
        <w:t>s</w:t>
      </w:r>
      <w:r w:rsidRPr="00D538ED">
        <w:rPr>
          <w:sz w:val="22"/>
          <w:szCs w:val="22"/>
          <w:lang w:val="nl-BE"/>
        </w:rPr>
        <w:t>creening;</w:t>
      </w:r>
    </w:p>
    <w:p w:rsidR="00DE770B" w:rsidRPr="00D538ED" w:rsidRDefault="00DE770B" w:rsidP="00C01752">
      <w:pPr>
        <w:numPr>
          <w:ilvl w:val="0"/>
          <w:numId w:val="2"/>
        </w:numPr>
        <w:jc w:val="both"/>
        <w:rPr>
          <w:sz w:val="22"/>
          <w:szCs w:val="22"/>
          <w:lang w:val="nl-BE"/>
        </w:rPr>
      </w:pPr>
      <w:r w:rsidRPr="00D538ED">
        <w:rPr>
          <w:sz w:val="22"/>
          <w:szCs w:val="22"/>
          <w:lang w:val="nl-BE"/>
        </w:rPr>
        <w:t>sollicitatieondersteuning;</w:t>
      </w:r>
    </w:p>
    <w:p w:rsidR="00DE770B" w:rsidRPr="00D538ED" w:rsidRDefault="00DE770B" w:rsidP="00C01752">
      <w:pPr>
        <w:numPr>
          <w:ilvl w:val="0"/>
          <w:numId w:val="2"/>
        </w:numPr>
        <w:jc w:val="both"/>
        <w:rPr>
          <w:sz w:val="22"/>
          <w:szCs w:val="22"/>
          <w:lang w:val="nl-BE"/>
        </w:rPr>
      </w:pPr>
      <w:r w:rsidRPr="00D538ED">
        <w:rPr>
          <w:sz w:val="22"/>
          <w:szCs w:val="22"/>
          <w:lang w:val="nl-BE"/>
        </w:rPr>
        <w:t>competentieversterkende acties (op de opleidings- of op de werkvloer);</w:t>
      </w:r>
    </w:p>
    <w:p w:rsidR="00DE770B" w:rsidRPr="00D538ED" w:rsidRDefault="00DE770B" w:rsidP="00C01752">
      <w:pPr>
        <w:numPr>
          <w:ilvl w:val="0"/>
          <w:numId w:val="2"/>
        </w:numPr>
        <w:jc w:val="both"/>
        <w:rPr>
          <w:sz w:val="22"/>
          <w:szCs w:val="22"/>
          <w:lang w:val="nl-BE"/>
        </w:rPr>
      </w:pPr>
      <w:r w:rsidRPr="00D538ED">
        <w:rPr>
          <w:sz w:val="22"/>
          <w:szCs w:val="22"/>
          <w:lang w:val="nl-BE"/>
        </w:rPr>
        <w:t xml:space="preserve">jobhunting en jobmatching; </w:t>
      </w:r>
    </w:p>
    <w:p w:rsidR="00DE770B" w:rsidRPr="00D538ED" w:rsidRDefault="00DE770B" w:rsidP="00C01752">
      <w:pPr>
        <w:numPr>
          <w:ilvl w:val="0"/>
          <w:numId w:val="2"/>
        </w:numPr>
        <w:jc w:val="both"/>
        <w:rPr>
          <w:sz w:val="22"/>
          <w:szCs w:val="22"/>
          <w:lang w:val="nl-BE"/>
        </w:rPr>
      </w:pPr>
      <w:r w:rsidRPr="00D538ED">
        <w:rPr>
          <w:sz w:val="22"/>
          <w:szCs w:val="22"/>
          <w:lang w:val="nl-BE"/>
        </w:rPr>
        <w:t>nazorg.</w:t>
      </w:r>
    </w:p>
    <w:p w:rsidR="00DE770B" w:rsidRPr="00D538ED" w:rsidRDefault="00DE770B" w:rsidP="00C01752">
      <w:pPr>
        <w:ind w:left="720"/>
        <w:jc w:val="both"/>
        <w:rPr>
          <w:sz w:val="22"/>
          <w:szCs w:val="22"/>
          <w:lang w:val="nl-BE"/>
        </w:rPr>
      </w:pPr>
    </w:p>
    <w:p w:rsidR="00DE770B" w:rsidRPr="00D538ED" w:rsidRDefault="00DE770B" w:rsidP="00DB2F15">
      <w:pPr>
        <w:ind w:left="360"/>
        <w:jc w:val="both"/>
        <w:rPr>
          <w:sz w:val="22"/>
          <w:szCs w:val="22"/>
          <w:lang w:val="nl-BE"/>
        </w:rPr>
      </w:pPr>
      <w:r w:rsidRPr="00D538ED">
        <w:rPr>
          <w:sz w:val="22"/>
          <w:szCs w:val="22"/>
          <w:lang w:val="nl-BE"/>
        </w:rPr>
        <w:t xml:space="preserve">Voor de bepaling van de kostprijs wordt uitgegaan van de gemiddelde kostprijs van de verschillende mogelijke onderdelen binnen een traject naar werk. </w:t>
      </w:r>
    </w:p>
    <w:p w:rsidR="00DE770B" w:rsidRPr="00D538ED" w:rsidRDefault="00DE770B" w:rsidP="00C01752">
      <w:pPr>
        <w:jc w:val="both"/>
        <w:rPr>
          <w:sz w:val="22"/>
          <w:szCs w:val="22"/>
          <w:lang w:val="nl-BE"/>
        </w:rPr>
      </w:pPr>
    </w:p>
    <w:p w:rsidR="00DE770B" w:rsidRPr="00E047A5" w:rsidRDefault="00DE770B" w:rsidP="00DB2F15">
      <w:pPr>
        <w:ind w:left="360"/>
        <w:jc w:val="both"/>
        <w:rPr>
          <w:sz w:val="22"/>
          <w:szCs w:val="22"/>
          <w:lang w:val="nl-BE"/>
        </w:rPr>
      </w:pPr>
      <w:r w:rsidRPr="00D538ED">
        <w:rPr>
          <w:sz w:val="22"/>
          <w:szCs w:val="22"/>
          <w:lang w:val="nl-BE"/>
        </w:rPr>
        <w:t xml:space="preserve">De kostprijs voor een werkzoekende die het volledige traject naar werk doorloopt en deel uitmaakt van het contigent van 100 arbeidsongeschikt erkende gerechtigden, wordt bepaald op 12.500 €. Dit forfait </w:t>
      </w:r>
      <w:r w:rsidRPr="00E047A5">
        <w:rPr>
          <w:sz w:val="22"/>
          <w:szCs w:val="22"/>
          <w:lang w:val="nl-BE"/>
        </w:rPr>
        <w:t>dekt alle kosten van de diverse modules die in een traject naar werk zijn voorzien (in het volledige traject zijn vorming- en opleidingskosten inbegrepen).</w:t>
      </w:r>
    </w:p>
    <w:p w:rsidR="00DE770B" w:rsidRPr="00E047A5" w:rsidRDefault="00DE770B" w:rsidP="00DB2F15">
      <w:pPr>
        <w:autoSpaceDE w:val="0"/>
        <w:autoSpaceDN w:val="0"/>
        <w:adjustRightInd w:val="0"/>
        <w:ind w:left="360"/>
        <w:jc w:val="both"/>
        <w:rPr>
          <w:sz w:val="22"/>
          <w:szCs w:val="22"/>
          <w:lang w:val="nl-BE"/>
        </w:rPr>
      </w:pPr>
      <w:r w:rsidRPr="00E047A5">
        <w:rPr>
          <w:sz w:val="22"/>
          <w:szCs w:val="22"/>
          <w:lang w:val="nl-BE"/>
        </w:rPr>
        <w:t xml:space="preserve">De kostprijs wordt betaald door het </w:t>
      </w:r>
      <w:r w:rsidRPr="00E047A5">
        <w:rPr>
          <w:sz w:val="22"/>
          <w:szCs w:val="22"/>
          <w:lang w:val="nl-BE" w:eastAsia="nl-BE"/>
        </w:rPr>
        <w:t>ziekenfonds dat het individueel dossier van de</w:t>
      </w:r>
      <w:r>
        <w:rPr>
          <w:sz w:val="22"/>
          <w:szCs w:val="22"/>
          <w:lang w:val="nl-BE" w:eastAsia="nl-BE"/>
        </w:rPr>
        <w:t xml:space="preserve"> </w:t>
      </w:r>
      <w:r w:rsidRPr="00E047A5">
        <w:rPr>
          <w:sz w:val="22"/>
          <w:szCs w:val="22"/>
          <w:lang w:val="nl-BE" w:eastAsia="nl-BE"/>
        </w:rPr>
        <w:t>arbeids</w:t>
      </w:r>
      <w:r>
        <w:rPr>
          <w:sz w:val="22"/>
          <w:szCs w:val="22"/>
          <w:lang w:val="nl-BE" w:eastAsia="nl-BE"/>
        </w:rPr>
        <w:softHyphen/>
      </w:r>
      <w:r w:rsidRPr="00E047A5">
        <w:rPr>
          <w:sz w:val="22"/>
          <w:szCs w:val="22"/>
          <w:lang w:val="nl-BE" w:eastAsia="nl-BE"/>
        </w:rPr>
        <w:t>ongeschikte gerechtigde beheert.</w:t>
      </w:r>
    </w:p>
    <w:p w:rsidR="00DE770B" w:rsidRPr="00D538ED" w:rsidRDefault="00DE770B" w:rsidP="00596FA2">
      <w:pPr>
        <w:pStyle w:val="StandaardSV"/>
        <w:rPr>
          <w:szCs w:val="22"/>
        </w:rPr>
      </w:pPr>
    </w:p>
    <w:p w:rsidR="00DE770B" w:rsidRPr="00D538ED" w:rsidRDefault="00DE770B" w:rsidP="0093189F">
      <w:pPr>
        <w:pStyle w:val="StandaardSV"/>
        <w:numPr>
          <w:ilvl w:val="0"/>
          <w:numId w:val="6"/>
        </w:numPr>
        <w:rPr>
          <w:szCs w:val="22"/>
        </w:rPr>
      </w:pPr>
      <w:r w:rsidRPr="00D538ED">
        <w:rPr>
          <w:szCs w:val="22"/>
        </w:rPr>
        <w:t>De doelgroep van ZIV-gerechtigden is globaal gezien opgedeeld in twee grote groepen:</w:t>
      </w:r>
    </w:p>
    <w:p w:rsidR="00DE770B" w:rsidRPr="00D538ED" w:rsidRDefault="00DE770B" w:rsidP="0093189F">
      <w:pPr>
        <w:pStyle w:val="StandaardSV"/>
        <w:rPr>
          <w:szCs w:val="22"/>
        </w:rPr>
      </w:pPr>
    </w:p>
    <w:p w:rsidR="00DE770B" w:rsidRPr="00D538ED" w:rsidRDefault="00DE770B" w:rsidP="00DB2F15">
      <w:pPr>
        <w:pStyle w:val="StandaardSV"/>
        <w:numPr>
          <w:ilvl w:val="0"/>
          <w:numId w:val="7"/>
        </w:numPr>
        <w:rPr>
          <w:szCs w:val="22"/>
        </w:rPr>
      </w:pPr>
      <w:r w:rsidRPr="00D538ED">
        <w:rPr>
          <w:szCs w:val="22"/>
        </w:rPr>
        <w:t>Personen die omwille van hun medico-sociale beperkingen niet meer aan de slag kunnen in hun referentieberoep. Deze groep heeft recht op een herscholing, zoals voorzien in de ZIV-wetgeving</w:t>
      </w:r>
      <w:r>
        <w:rPr>
          <w:szCs w:val="22"/>
        </w:rPr>
        <w:t>. V</w:t>
      </w:r>
      <w:r w:rsidRPr="00D538ED">
        <w:rPr>
          <w:szCs w:val="22"/>
        </w:rPr>
        <w:t xml:space="preserve">oor deze groep verloopt het traject meestal via de VDAB en/of partners en worden de opleidingsacties gefinancierd door het RIZIV. </w:t>
      </w:r>
    </w:p>
    <w:p w:rsidR="00DE770B" w:rsidRPr="00D538ED" w:rsidRDefault="00DE770B" w:rsidP="00DB2F15">
      <w:pPr>
        <w:pStyle w:val="StandaardSV"/>
        <w:numPr>
          <w:ilvl w:val="0"/>
          <w:numId w:val="8"/>
        </w:numPr>
        <w:rPr>
          <w:szCs w:val="22"/>
        </w:rPr>
      </w:pPr>
      <w:r w:rsidRPr="00D538ED">
        <w:rPr>
          <w:szCs w:val="22"/>
        </w:rPr>
        <w:t>Personen die met hun medico-sociale beperkingen wel nog aan de slag kunnen in hun referentieberoep. Deze groep heeft geen recht heeft op een herscholing, zoals voorzien in de ZIV-wetgeving. Ook voor deze groep van werkzoekenden verloopt het traject via de VDAB en/of partners, maar worden de acties gefinancierd door Vlaanderen.</w:t>
      </w:r>
    </w:p>
    <w:p w:rsidR="00DE770B" w:rsidRDefault="00DE770B" w:rsidP="00454095">
      <w:pPr>
        <w:pStyle w:val="StandaardSV"/>
        <w:rPr>
          <w:szCs w:val="22"/>
        </w:rPr>
      </w:pPr>
    </w:p>
    <w:p w:rsidR="00DE770B" w:rsidRPr="00D538ED" w:rsidRDefault="00DE770B" w:rsidP="00DB2F15">
      <w:pPr>
        <w:pStyle w:val="StandaardSV"/>
        <w:ind w:left="360"/>
        <w:rPr>
          <w:szCs w:val="22"/>
        </w:rPr>
      </w:pPr>
      <w:r w:rsidRPr="00D538ED">
        <w:rPr>
          <w:szCs w:val="22"/>
        </w:rPr>
        <w:t xml:space="preserve">Via het pilootproject kunnen we voor het eerst op een gestructureerde manier, en binnen een afgestemd afsprakenkader, personen uit de eerste groep begeleiden naar werk. </w:t>
      </w:r>
    </w:p>
    <w:p w:rsidR="00DE770B" w:rsidRPr="00D538ED" w:rsidRDefault="00DE770B" w:rsidP="00494BAC">
      <w:pPr>
        <w:pStyle w:val="StandaardSV"/>
        <w:rPr>
          <w:szCs w:val="22"/>
        </w:rPr>
      </w:pPr>
    </w:p>
    <w:p w:rsidR="00DE770B" w:rsidRPr="00D538ED" w:rsidRDefault="00DE770B" w:rsidP="00191758">
      <w:pPr>
        <w:pStyle w:val="StandaardSV"/>
        <w:numPr>
          <w:ilvl w:val="0"/>
          <w:numId w:val="6"/>
        </w:numPr>
        <w:rPr>
          <w:szCs w:val="22"/>
        </w:rPr>
      </w:pPr>
      <w:r w:rsidRPr="00D538ED">
        <w:rPr>
          <w:szCs w:val="22"/>
        </w:rPr>
        <w:t xml:space="preserve">De VDAB zal de evaluatie van dit project zeker op de agenda zetten van overlegorganen die tot doel hebben om de interregionale samenwerking te verbeteren. De praktijk is in de verschillende regio’s echter zeer verschillend. Zo is in Wallonië de tewerkstelling van personen met een arbeidshandicap niet de bevoegdheid van de FOREM, maar wel van </w:t>
      </w:r>
      <w:r>
        <w:rPr>
          <w:szCs w:val="22"/>
        </w:rPr>
        <w:t xml:space="preserve">de </w:t>
      </w:r>
      <w:r w:rsidRPr="00D538ED">
        <w:rPr>
          <w:szCs w:val="22"/>
        </w:rPr>
        <w:t>AWIPH. In Brussel hebben we PHARE naast ACTIRIS.</w:t>
      </w:r>
    </w:p>
    <w:p w:rsidR="00DE770B" w:rsidRPr="00D538ED" w:rsidRDefault="00DE770B" w:rsidP="00191758">
      <w:pPr>
        <w:pStyle w:val="StandaardSV"/>
        <w:rPr>
          <w:szCs w:val="22"/>
        </w:rPr>
      </w:pPr>
      <w:r w:rsidRPr="00D538ED">
        <w:rPr>
          <w:szCs w:val="22"/>
        </w:rPr>
        <w:t xml:space="preserve"> </w:t>
      </w:r>
    </w:p>
    <w:p w:rsidR="00DE770B" w:rsidRPr="00D538ED" w:rsidRDefault="00DE770B" w:rsidP="00D766F3">
      <w:pPr>
        <w:pStyle w:val="StandaardSV"/>
        <w:numPr>
          <w:ilvl w:val="0"/>
          <w:numId w:val="6"/>
        </w:numPr>
        <w:rPr>
          <w:szCs w:val="22"/>
        </w:rPr>
      </w:pPr>
      <w:r w:rsidRPr="00D538ED">
        <w:rPr>
          <w:szCs w:val="22"/>
        </w:rPr>
        <w:t>Het rapport “Inactiviteitsvallen voor personen met een handicap of met langdurige gezondheids</w:t>
      </w:r>
      <w:r>
        <w:rPr>
          <w:szCs w:val="22"/>
        </w:rPr>
        <w:softHyphen/>
      </w:r>
      <w:r w:rsidRPr="00D538ED">
        <w:rPr>
          <w:szCs w:val="22"/>
        </w:rPr>
        <w:t>problemen” van het Centrum voor Sociaal Beleid biedt een goed overzicht van de verschillende belemmeringen die er bestaan in de huidige regelgeving. Aan een aantal ervan is op Vlaams niveau weinig te veranderen, zeker in de huidige federale context. Een aantal ervan worden wel opgenomen binnen Vlaamse overlegplatformen en projecten. Een tweetal concrete voorbeelden:</w:t>
      </w:r>
    </w:p>
    <w:p w:rsidR="00DE770B" w:rsidRPr="00D538ED" w:rsidRDefault="00DE770B" w:rsidP="00D766F3">
      <w:pPr>
        <w:pStyle w:val="StandaardSV"/>
        <w:rPr>
          <w:szCs w:val="22"/>
        </w:rPr>
      </w:pPr>
    </w:p>
    <w:p w:rsidR="00DE770B" w:rsidRPr="00D538ED" w:rsidRDefault="00DE770B" w:rsidP="00DB2F15">
      <w:pPr>
        <w:pStyle w:val="StandaardSV"/>
        <w:numPr>
          <w:ilvl w:val="0"/>
          <w:numId w:val="9"/>
        </w:numPr>
        <w:rPr>
          <w:szCs w:val="22"/>
        </w:rPr>
      </w:pPr>
      <w:r w:rsidRPr="00D538ED">
        <w:rPr>
          <w:szCs w:val="22"/>
          <w:lang w:val="nl-BE"/>
        </w:rPr>
        <w:t xml:space="preserve">De verschillende stelsels van uitkeringen en tegemoetkomingen zijn onvoldoende op elkaar afgestemd. Er worden bijvoorbeeld verschillende inkomensconcepten door elkaar gebruikt bij de evaluatie van bepaalde rechten. De financiële gevolgen van een tewerkstelling zijn bijgevolg moeilijk in te schatten, voor de betrokkenen zelf en voor de begeleidingsdiensten. </w:t>
      </w:r>
      <w:r>
        <w:rPr>
          <w:szCs w:val="22"/>
          <w:lang w:val="nl-BE"/>
        </w:rPr>
        <w:t xml:space="preserve">In </w:t>
      </w:r>
      <w:r w:rsidRPr="00D538ED">
        <w:rPr>
          <w:szCs w:val="22"/>
          <w:lang w:val="nl-BE"/>
        </w:rPr>
        <w:t xml:space="preserve">het zorgplatform (zie </w:t>
      </w:r>
      <w:r>
        <w:rPr>
          <w:szCs w:val="22"/>
          <w:lang w:val="nl-BE"/>
        </w:rPr>
        <w:t xml:space="preserve">punt </w:t>
      </w:r>
      <w:r w:rsidRPr="00D538ED">
        <w:rPr>
          <w:szCs w:val="22"/>
          <w:lang w:val="nl-BE"/>
        </w:rPr>
        <w:t xml:space="preserve">5) worden de acties van het Centrum voor Sociaal Beleid op dit vlak op de voet gevolgd. Via het FLEMOSI-project </w:t>
      </w:r>
      <w:r>
        <w:rPr>
          <w:szCs w:val="22"/>
          <w:lang w:val="nl-BE"/>
        </w:rPr>
        <w:t xml:space="preserve">zal </w:t>
      </w:r>
      <w:r w:rsidRPr="00D538ED">
        <w:rPr>
          <w:szCs w:val="22"/>
          <w:lang w:val="nl-BE"/>
        </w:rPr>
        <w:t>dit centrum een instrument ontwikkelen dat gebruikt kan worden om de financiële gevolgen beter te kunnen inschatten.</w:t>
      </w:r>
    </w:p>
    <w:p w:rsidR="00DE770B" w:rsidRPr="00D538ED" w:rsidRDefault="00DE770B" w:rsidP="00DB2F15">
      <w:pPr>
        <w:pStyle w:val="StandaardSV"/>
        <w:numPr>
          <w:ilvl w:val="0"/>
          <w:numId w:val="10"/>
        </w:numPr>
        <w:rPr>
          <w:szCs w:val="22"/>
          <w:lang w:val="nl-BE"/>
        </w:rPr>
      </w:pPr>
      <w:r w:rsidRPr="00D538ED">
        <w:rPr>
          <w:szCs w:val="22"/>
          <w:lang w:val="nl-BE"/>
        </w:rPr>
        <w:t xml:space="preserve">Er zijn onduidelijkheden bij de interpretatie van de regelgeving en hierdoor ontstaat een inconsistente uitvoeringspraktijk. We zien dat onder meer in de regelgeving rond toegelaten arbeid. Zowel de evaluatie van de handicap zelf als het toegestane percentage van werkhervatting wordt op verschillende manieren in de praktijk gebracht. Ook in verband met opleiding en herscholing is er geen duidelijkheid over de rechten en plichten van de personen met een ZIV-statuut (toestemming vragen, melden, …). </w:t>
      </w:r>
      <w:r>
        <w:rPr>
          <w:szCs w:val="22"/>
          <w:lang w:val="nl-BE"/>
        </w:rPr>
        <w:t xml:space="preserve">De </w:t>
      </w:r>
      <w:r w:rsidRPr="00D538ED">
        <w:rPr>
          <w:szCs w:val="22"/>
          <w:lang w:val="nl-BE"/>
        </w:rPr>
        <w:t>VDAB participeert actief in een aantal studiedagen die georganiseerd worden door de Wetenschappelijke vereniging voor Verzekeringsgeneeskunde en waar verschillende thema’s behandeld worden, onder meer om tot beter afgestemde afspraken en procedures te komen. Bovendien zal de VDAB, samen met het RIZIV en de Verzekeringsinstellingen (VI’s) werk maken van een infobrochure die verzekerden beter zal informeren over de rechten en plichten in het kader van activering naar werk.</w:t>
      </w:r>
    </w:p>
    <w:p w:rsidR="00DE770B" w:rsidRPr="00D538ED" w:rsidRDefault="00DE770B">
      <w:pPr>
        <w:rPr>
          <w:sz w:val="22"/>
          <w:szCs w:val="22"/>
        </w:rPr>
      </w:pPr>
    </w:p>
    <w:p w:rsidR="00DE770B" w:rsidRPr="00D538ED" w:rsidRDefault="00DE770B" w:rsidP="00FE451E">
      <w:pPr>
        <w:pStyle w:val="StandaardSV"/>
        <w:numPr>
          <w:ilvl w:val="0"/>
          <w:numId w:val="6"/>
        </w:numPr>
        <w:rPr>
          <w:szCs w:val="22"/>
        </w:rPr>
      </w:pPr>
      <w:r w:rsidRPr="00D538ED">
        <w:rPr>
          <w:szCs w:val="22"/>
        </w:rPr>
        <w:t xml:space="preserve">Op 3 juni 2010 werd het platform zorgbegeleiding opgestart dat bestaat uit 40 afgevaardigden vanuit de sectoren </w:t>
      </w:r>
      <w:r>
        <w:rPr>
          <w:szCs w:val="22"/>
        </w:rPr>
        <w:t>W</w:t>
      </w:r>
      <w:r w:rsidRPr="00D538ED">
        <w:rPr>
          <w:szCs w:val="22"/>
        </w:rPr>
        <w:t xml:space="preserve">erk en </w:t>
      </w:r>
      <w:r>
        <w:rPr>
          <w:szCs w:val="22"/>
        </w:rPr>
        <w:t>W</w:t>
      </w:r>
      <w:r w:rsidRPr="00D538ED">
        <w:rPr>
          <w:szCs w:val="22"/>
        </w:rPr>
        <w:t>elzijn:</w:t>
      </w:r>
    </w:p>
    <w:p w:rsidR="00DE770B" w:rsidRPr="00D538ED" w:rsidRDefault="00DE770B" w:rsidP="00FE451E">
      <w:pPr>
        <w:pStyle w:val="StandaardSV"/>
        <w:rPr>
          <w:szCs w:val="22"/>
        </w:rPr>
      </w:pPr>
    </w:p>
    <w:p w:rsidR="00DE770B" w:rsidRPr="00D538ED" w:rsidRDefault="00DE770B" w:rsidP="00DB2F15">
      <w:pPr>
        <w:pStyle w:val="StandaardSV"/>
        <w:numPr>
          <w:ilvl w:val="0"/>
          <w:numId w:val="10"/>
        </w:numPr>
        <w:rPr>
          <w:szCs w:val="22"/>
        </w:rPr>
      </w:pPr>
      <w:r w:rsidRPr="00D538ED">
        <w:rPr>
          <w:szCs w:val="22"/>
        </w:rPr>
        <w:t xml:space="preserve">Voor </w:t>
      </w:r>
      <w:r>
        <w:rPr>
          <w:szCs w:val="22"/>
        </w:rPr>
        <w:t xml:space="preserve">de </w:t>
      </w:r>
      <w:r w:rsidRPr="00D538ED">
        <w:rPr>
          <w:szCs w:val="22"/>
        </w:rPr>
        <w:t xml:space="preserve">sector </w:t>
      </w:r>
      <w:r>
        <w:rPr>
          <w:szCs w:val="22"/>
        </w:rPr>
        <w:t>W</w:t>
      </w:r>
      <w:r w:rsidRPr="00D538ED">
        <w:rPr>
          <w:szCs w:val="22"/>
        </w:rPr>
        <w:t>elzijn zetelen hierin o.a. afgevaardigden van de provinciale overleg</w:t>
      </w:r>
      <w:r>
        <w:rPr>
          <w:szCs w:val="22"/>
        </w:rPr>
        <w:softHyphen/>
      </w:r>
      <w:r w:rsidRPr="00D538ED">
        <w:rPr>
          <w:szCs w:val="22"/>
        </w:rPr>
        <w:t xml:space="preserve">platformen Geestelijke Gezondheidszorg, provinciale partnerschappen zorgbegeleiding, Vlaamse Vereniging voor verzekeringsgeneeskunde, departement </w:t>
      </w:r>
      <w:r>
        <w:rPr>
          <w:szCs w:val="22"/>
        </w:rPr>
        <w:t>W</w:t>
      </w:r>
      <w:r w:rsidRPr="00D538ED">
        <w:rPr>
          <w:szCs w:val="22"/>
        </w:rPr>
        <w:t>elzijn, enz.</w:t>
      </w:r>
    </w:p>
    <w:p w:rsidR="00DE770B" w:rsidRPr="00D538ED" w:rsidRDefault="00DE770B" w:rsidP="00DB2F15">
      <w:pPr>
        <w:pStyle w:val="StandaardSV"/>
        <w:numPr>
          <w:ilvl w:val="0"/>
          <w:numId w:val="10"/>
        </w:numPr>
        <w:rPr>
          <w:szCs w:val="22"/>
        </w:rPr>
      </w:pPr>
      <w:r w:rsidRPr="00D538ED">
        <w:rPr>
          <w:szCs w:val="22"/>
        </w:rPr>
        <w:t xml:space="preserve">Voor </w:t>
      </w:r>
      <w:r>
        <w:rPr>
          <w:szCs w:val="22"/>
        </w:rPr>
        <w:t xml:space="preserve">de </w:t>
      </w:r>
      <w:r w:rsidRPr="00D538ED">
        <w:rPr>
          <w:szCs w:val="22"/>
        </w:rPr>
        <w:t xml:space="preserve">sector </w:t>
      </w:r>
      <w:r>
        <w:rPr>
          <w:szCs w:val="22"/>
        </w:rPr>
        <w:t>W</w:t>
      </w:r>
      <w:r w:rsidRPr="00D538ED">
        <w:rPr>
          <w:szCs w:val="22"/>
        </w:rPr>
        <w:t xml:space="preserve">erk zetelen hierin o.a. afgevaardigden vanuit </w:t>
      </w:r>
      <w:r>
        <w:rPr>
          <w:szCs w:val="22"/>
        </w:rPr>
        <w:t xml:space="preserve">de </w:t>
      </w:r>
      <w:r w:rsidRPr="00D538ED">
        <w:rPr>
          <w:szCs w:val="22"/>
        </w:rPr>
        <w:t>VDAB, de dienst voor gespecialiseerde trajectbegeleiding (GTB), RIZIV, gespecialiseerde arbeidsonderzoeks</w:t>
      </w:r>
      <w:r>
        <w:rPr>
          <w:szCs w:val="22"/>
        </w:rPr>
        <w:softHyphen/>
      </w:r>
      <w:r w:rsidRPr="00D538ED">
        <w:rPr>
          <w:szCs w:val="22"/>
        </w:rPr>
        <w:t>diensten (GA) en gespecialiseerde opleidings-en begeleidingsdiensten (GOB), enz.</w:t>
      </w:r>
    </w:p>
    <w:p w:rsidR="00DE770B" w:rsidRPr="00D538ED" w:rsidRDefault="00DE770B" w:rsidP="003D3ABA">
      <w:pPr>
        <w:pStyle w:val="StandaardSV"/>
        <w:ind w:left="720"/>
        <w:rPr>
          <w:szCs w:val="22"/>
        </w:rPr>
      </w:pPr>
    </w:p>
    <w:p w:rsidR="00DE770B" w:rsidRPr="00D538ED" w:rsidRDefault="00DE770B" w:rsidP="00DB2F15">
      <w:pPr>
        <w:pStyle w:val="StandaardSV"/>
        <w:ind w:left="360"/>
        <w:rPr>
          <w:szCs w:val="22"/>
        </w:rPr>
      </w:pPr>
      <w:r w:rsidRPr="00D538ED">
        <w:rPr>
          <w:szCs w:val="22"/>
        </w:rPr>
        <w:t>Dit platform zorgbegeleiding bundelt expertise met de bedoeling om nieuw beleid voor te bereiden ten aanzien van de doelgroep van personen met een medische, mentale, psychische en psychiatrische beperking (MMPP), vooral wat betreft socio-professionele integratie.</w:t>
      </w:r>
    </w:p>
    <w:p w:rsidR="00DE770B" w:rsidRPr="00D538ED" w:rsidRDefault="00DE770B" w:rsidP="00DB2F15">
      <w:pPr>
        <w:pStyle w:val="StandaardSV"/>
        <w:ind w:left="360"/>
        <w:rPr>
          <w:szCs w:val="22"/>
        </w:rPr>
      </w:pPr>
      <w:r w:rsidRPr="00D538ED">
        <w:rPr>
          <w:szCs w:val="22"/>
        </w:rPr>
        <w:t>Er wordt momenteel gewerkt in 5 werkgroepen rond volgende thema’s: kennisdeling, het uitwerken van een toekomstig activerend rehabilitatiemodel, afstemming van de evaluatie van arbeidsongeschiktheid, het delen van informatie met respect voor de regels op de privacy en het uitwerken van een instrument dat duidelijkheid verschaft aan professionelen over de cumulmogelijkheden van arbeidsinkomen en uitkering en de impact op het netto gezinsinkomen. Een tussentijdse stand wordt telkens voorgelegd aan alle leden van het platform, waaronder ook afgevaardigden van de departementen Werk en Welzijn.</w:t>
      </w:r>
    </w:p>
    <w:p w:rsidR="00DE770B" w:rsidRDefault="00DE770B"/>
    <w:sectPr w:rsidR="00DE770B" w:rsidSect="00B10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BA6"/>
    <w:multiLevelType w:val="multilevel"/>
    <w:tmpl w:val="B4F4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B26F7"/>
    <w:multiLevelType w:val="hybridMultilevel"/>
    <w:tmpl w:val="0D724E92"/>
    <w:lvl w:ilvl="0" w:tplc="27AEB136">
      <w:start w:val="1"/>
      <w:numFmt w:val="bullet"/>
      <w:lvlText w:val="-"/>
      <w:lvlJc w:val="left"/>
      <w:pPr>
        <w:tabs>
          <w:tab w:val="num" w:pos="720"/>
        </w:tabs>
        <w:ind w:left="720" w:hanging="360"/>
      </w:pPr>
      <w:rPr>
        <w:rFonts w:ascii="Times New Roman" w:eastAsia="Times New Roman" w:hAnsi="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340"/>
        </w:tabs>
        <w:ind w:left="2340" w:hanging="360"/>
      </w:pPr>
      <w:rPr>
        <w:rFonts w:ascii="Wingdings" w:hAnsi="Wingdings"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FAC4F52"/>
    <w:multiLevelType w:val="hybridMultilevel"/>
    <w:tmpl w:val="96DC1C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3076E89"/>
    <w:multiLevelType w:val="hybridMultilevel"/>
    <w:tmpl w:val="8E9ED830"/>
    <w:lvl w:ilvl="0" w:tplc="27AEB136">
      <w:start w:val="1"/>
      <w:numFmt w:val="bullet"/>
      <w:lvlText w:val="-"/>
      <w:lvlJc w:val="left"/>
      <w:pPr>
        <w:tabs>
          <w:tab w:val="num" w:pos="720"/>
        </w:tabs>
        <w:ind w:left="720" w:hanging="360"/>
      </w:pPr>
      <w:rPr>
        <w:rFonts w:ascii="Times New Roman" w:eastAsia="Times New Roman" w:hAnsi="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340"/>
        </w:tabs>
        <w:ind w:left="2340" w:hanging="360"/>
      </w:pPr>
      <w:rPr>
        <w:rFonts w:ascii="Wingdings" w:hAnsi="Wingdings"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2AC45E98"/>
    <w:multiLevelType w:val="hybridMultilevel"/>
    <w:tmpl w:val="08D05B32"/>
    <w:lvl w:ilvl="0" w:tplc="27AEB136">
      <w:start w:val="1"/>
      <w:numFmt w:val="bullet"/>
      <w:lvlText w:val="-"/>
      <w:lvlJc w:val="left"/>
      <w:pPr>
        <w:tabs>
          <w:tab w:val="num" w:pos="720"/>
        </w:tabs>
        <w:ind w:left="720" w:hanging="360"/>
      </w:pPr>
      <w:rPr>
        <w:rFonts w:ascii="Times New Roman" w:eastAsia="Times New Roman" w:hAnsi="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340"/>
        </w:tabs>
        <w:ind w:left="2340" w:hanging="360"/>
      </w:pPr>
      <w:rPr>
        <w:rFonts w:ascii="Wingdings" w:hAnsi="Wingdings"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475709E"/>
    <w:multiLevelType w:val="hybridMultilevel"/>
    <w:tmpl w:val="43209DEE"/>
    <w:lvl w:ilvl="0" w:tplc="27AEB136">
      <w:start w:val="1"/>
      <w:numFmt w:val="bullet"/>
      <w:lvlText w:val="-"/>
      <w:lvlJc w:val="left"/>
      <w:pPr>
        <w:tabs>
          <w:tab w:val="num" w:pos="720"/>
        </w:tabs>
        <w:ind w:left="720" w:hanging="360"/>
      </w:pPr>
      <w:rPr>
        <w:rFonts w:ascii="Times New Roman" w:eastAsia="Times New Roman" w:hAnsi="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340"/>
        </w:tabs>
        <w:ind w:left="2340" w:hanging="360"/>
      </w:pPr>
      <w:rPr>
        <w:rFonts w:ascii="Wingdings" w:hAnsi="Wingdings"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52777038"/>
    <w:multiLevelType w:val="hybridMultilevel"/>
    <w:tmpl w:val="D9FA024A"/>
    <w:lvl w:ilvl="0" w:tplc="7BD4170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56B789E"/>
    <w:multiLevelType w:val="hybridMultilevel"/>
    <w:tmpl w:val="B8D8ABA0"/>
    <w:lvl w:ilvl="0" w:tplc="0413000F">
      <w:start w:val="1"/>
      <w:numFmt w:val="decimal"/>
      <w:lvlText w:val="%1."/>
      <w:lvlJc w:val="left"/>
      <w:pPr>
        <w:tabs>
          <w:tab w:val="num" w:pos="360"/>
        </w:tabs>
        <w:ind w:left="360" w:hanging="360"/>
      </w:pPr>
      <w:rPr>
        <w:rFonts w:cs="Times New Roman" w:hint="default"/>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66AB7221"/>
    <w:multiLevelType w:val="hybridMultilevel"/>
    <w:tmpl w:val="D7A67BBA"/>
    <w:lvl w:ilvl="0" w:tplc="C9FECAD4">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770B233C"/>
    <w:multiLevelType w:val="hybridMultilevel"/>
    <w:tmpl w:val="258E453C"/>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05">
      <w:start w:val="1"/>
      <w:numFmt w:val="bullet"/>
      <w:lvlText w:val=""/>
      <w:lvlJc w:val="left"/>
      <w:pPr>
        <w:tabs>
          <w:tab w:val="num" w:pos="2340"/>
        </w:tabs>
        <w:ind w:left="2340" w:hanging="360"/>
      </w:pPr>
      <w:rPr>
        <w:rFonts w:ascii="Wingdings" w:hAnsi="Wingdings"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8"/>
  </w:num>
  <w:num w:numId="4">
    <w:abstractNumId w:val="0"/>
  </w:num>
  <w:num w:numId="5">
    <w:abstractNumId w:val="2"/>
  </w:num>
  <w:num w:numId="6">
    <w:abstractNumId w:val="7"/>
  </w:num>
  <w:num w:numId="7">
    <w:abstractNumId w:val="1"/>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FA2"/>
    <w:rsid w:val="00015A40"/>
    <w:rsid w:val="000A6ED2"/>
    <w:rsid w:val="000A72E1"/>
    <w:rsid w:val="000B1F5E"/>
    <w:rsid w:val="000E178E"/>
    <w:rsid w:val="000E1EDA"/>
    <w:rsid w:val="000E74E2"/>
    <w:rsid w:val="001368B9"/>
    <w:rsid w:val="00156ACE"/>
    <w:rsid w:val="001770EB"/>
    <w:rsid w:val="00191758"/>
    <w:rsid w:val="001C087A"/>
    <w:rsid w:val="001F2A4C"/>
    <w:rsid w:val="0021138A"/>
    <w:rsid w:val="0022264E"/>
    <w:rsid w:val="00240ED9"/>
    <w:rsid w:val="00254FBC"/>
    <w:rsid w:val="00262908"/>
    <w:rsid w:val="00296310"/>
    <w:rsid w:val="002B22FC"/>
    <w:rsid w:val="002D7169"/>
    <w:rsid w:val="002E28A2"/>
    <w:rsid w:val="00302761"/>
    <w:rsid w:val="00331034"/>
    <w:rsid w:val="0034045E"/>
    <w:rsid w:val="00340774"/>
    <w:rsid w:val="00352CCF"/>
    <w:rsid w:val="00382159"/>
    <w:rsid w:val="003B1D9D"/>
    <w:rsid w:val="003D3ABA"/>
    <w:rsid w:val="003E43E6"/>
    <w:rsid w:val="003F5B40"/>
    <w:rsid w:val="00415302"/>
    <w:rsid w:val="00454095"/>
    <w:rsid w:val="0046436E"/>
    <w:rsid w:val="00471FDA"/>
    <w:rsid w:val="00494BAC"/>
    <w:rsid w:val="004A227D"/>
    <w:rsid w:val="004B17D8"/>
    <w:rsid w:val="004C49BC"/>
    <w:rsid w:val="00510511"/>
    <w:rsid w:val="00521344"/>
    <w:rsid w:val="0052398B"/>
    <w:rsid w:val="00525AFD"/>
    <w:rsid w:val="005276F9"/>
    <w:rsid w:val="00586677"/>
    <w:rsid w:val="00596FA2"/>
    <w:rsid w:val="005C05A5"/>
    <w:rsid w:val="005F6D01"/>
    <w:rsid w:val="00626CD0"/>
    <w:rsid w:val="00646CE7"/>
    <w:rsid w:val="006521E5"/>
    <w:rsid w:val="00656710"/>
    <w:rsid w:val="00681EB0"/>
    <w:rsid w:val="00684E9F"/>
    <w:rsid w:val="006A0F0C"/>
    <w:rsid w:val="006E7BC2"/>
    <w:rsid w:val="006F39D9"/>
    <w:rsid w:val="00742425"/>
    <w:rsid w:val="0078469D"/>
    <w:rsid w:val="00794CCB"/>
    <w:rsid w:val="008413D2"/>
    <w:rsid w:val="008866BA"/>
    <w:rsid w:val="00886F01"/>
    <w:rsid w:val="0089042E"/>
    <w:rsid w:val="008A05D6"/>
    <w:rsid w:val="008A1B32"/>
    <w:rsid w:val="008A2909"/>
    <w:rsid w:val="008C1D55"/>
    <w:rsid w:val="008C6A8F"/>
    <w:rsid w:val="0093189F"/>
    <w:rsid w:val="0095497C"/>
    <w:rsid w:val="00976559"/>
    <w:rsid w:val="009B5673"/>
    <w:rsid w:val="009C0696"/>
    <w:rsid w:val="009C09FE"/>
    <w:rsid w:val="00A15424"/>
    <w:rsid w:val="00A216E7"/>
    <w:rsid w:val="00A37D06"/>
    <w:rsid w:val="00A40388"/>
    <w:rsid w:val="00A526DB"/>
    <w:rsid w:val="00A61C38"/>
    <w:rsid w:val="00A62CB2"/>
    <w:rsid w:val="00AC00D2"/>
    <w:rsid w:val="00AC58F6"/>
    <w:rsid w:val="00AD3A25"/>
    <w:rsid w:val="00B0337A"/>
    <w:rsid w:val="00B1089E"/>
    <w:rsid w:val="00B268BF"/>
    <w:rsid w:val="00B36800"/>
    <w:rsid w:val="00B422F0"/>
    <w:rsid w:val="00B46844"/>
    <w:rsid w:val="00B66409"/>
    <w:rsid w:val="00B9767F"/>
    <w:rsid w:val="00BB3BBC"/>
    <w:rsid w:val="00BB54FC"/>
    <w:rsid w:val="00BD4288"/>
    <w:rsid w:val="00C01752"/>
    <w:rsid w:val="00C07B1E"/>
    <w:rsid w:val="00C35E00"/>
    <w:rsid w:val="00C70EA1"/>
    <w:rsid w:val="00C747EB"/>
    <w:rsid w:val="00C836CF"/>
    <w:rsid w:val="00C9593D"/>
    <w:rsid w:val="00CA09F1"/>
    <w:rsid w:val="00D0222E"/>
    <w:rsid w:val="00D23B06"/>
    <w:rsid w:val="00D4342F"/>
    <w:rsid w:val="00D538ED"/>
    <w:rsid w:val="00D6194C"/>
    <w:rsid w:val="00D766F3"/>
    <w:rsid w:val="00DB2F15"/>
    <w:rsid w:val="00DE770B"/>
    <w:rsid w:val="00E047A5"/>
    <w:rsid w:val="00E33AA5"/>
    <w:rsid w:val="00E90432"/>
    <w:rsid w:val="00EC662A"/>
    <w:rsid w:val="00EC6C6A"/>
    <w:rsid w:val="00EF5C52"/>
    <w:rsid w:val="00F06DF1"/>
    <w:rsid w:val="00F56139"/>
    <w:rsid w:val="00F5663B"/>
    <w:rsid w:val="00FC7470"/>
    <w:rsid w:val="00FD1829"/>
    <w:rsid w:val="00FE451E"/>
    <w:rsid w:val="00FF6D3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A2"/>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596FA2"/>
    <w:pPr>
      <w:jc w:val="both"/>
    </w:pPr>
    <w:rPr>
      <w:b/>
      <w:smallCaps/>
      <w:sz w:val="22"/>
    </w:rPr>
  </w:style>
  <w:style w:type="paragraph" w:customStyle="1" w:styleId="StandaardSV">
    <w:name w:val="Standaard SV"/>
    <w:basedOn w:val="Normal"/>
    <w:uiPriority w:val="99"/>
    <w:rsid w:val="00596FA2"/>
    <w:pPr>
      <w:jc w:val="both"/>
    </w:pPr>
    <w:rPr>
      <w:sz w:val="22"/>
    </w:rPr>
  </w:style>
  <w:style w:type="paragraph" w:styleId="NormalWeb">
    <w:name w:val="Normal (Web)"/>
    <w:basedOn w:val="Normal"/>
    <w:uiPriority w:val="99"/>
    <w:rsid w:val="004B17D8"/>
    <w:pPr>
      <w:spacing w:before="100" w:beforeAutospacing="1" w:after="100" w:afterAutospacing="1"/>
    </w:pPr>
    <w:rPr>
      <w:rFonts w:eastAsia="Calibri"/>
      <w:szCs w:val="24"/>
    </w:rPr>
  </w:style>
  <w:style w:type="paragraph" w:styleId="BalloonText">
    <w:name w:val="Balloon Text"/>
    <w:basedOn w:val="Normal"/>
    <w:link w:val="BalloonTextChar"/>
    <w:uiPriority w:val="99"/>
    <w:semiHidden/>
    <w:rsid w:val="00F561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139"/>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74145933">
      <w:marLeft w:val="60"/>
      <w:marRight w:val="60"/>
      <w:marTop w:val="60"/>
      <w:marBottom w:val="15"/>
      <w:divBdr>
        <w:top w:val="none" w:sz="0" w:space="0" w:color="auto"/>
        <w:left w:val="none" w:sz="0" w:space="0" w:color="auto"/>
        <w:bottom w:val="none" w:sz="0" w:space="0" w:color="auto"/>
        <w:right w:val="none" w:sz="0" w:space="0" w:color="auto"/>
      </w:divBdr>
    </w:div>
    <w:div w:id="1674145936">
      <w:marLeft w:val="0"/>
      <w:marRight w:val="0"/>
      <w:marTop w:val="0"/>
      <w:marBottom w:val="0"/>
      <w:divBdr>
        <w:top w:val="none" w:sz="0" w:space="0" w:color="auto"/>
        <w:left w:val="none" w:sz="0" w:space="0" w:color="auto"/>
        <w:bottom w:val="none" w:sz="0" w:space="0" w:color="auto"/>
        <w:right w:val="none" w:sz="0" w:space="0" w:color="auto"/>
      </w:divBdr>
      <w:divsChild>
        <w:div w:id="1674145935">
          <w:marLeft w:val="0"/>
          <w:marRight w:val="0"/>
          <w:marTop w:val="0"/>
          <w:marBottom w:val="0"/>
          <w:divBdr>
            <w:top w:val="none" w:sz="0" w:space="0" w:color="auto"/>
            <w:left w:val="none" w:sz="0" w:space="0" w:color="auto"/>
            <w:bottom w:val="none" w:sz="0" w:space="0" w:color="auto"/>
            <w:right w:val="none" w:sz="0" w:space="0" w:color="auto"/>
          </w:divBdr>
          <w:divsChild>
            <w:div w:id="1674145931">
              <w:marLeft w:val="0"/>
              <w:marRight w:val="0"/>
              <w:marTop w:val="0"/>
              <w:marBottom w:val="0"/>
              <w:divBdr>
                <w:top w:val="none" w:sz="0" w:space="0" w:color="auto"/>
                <w:left w:val="none" w:sz="0" w:space="0" w:color="auto"/>
                <w:bottom w:val="none" w:sz="0" w:space="0" w:color="auto"/>
                <w:right w:val="none" w:sz="0" w:space="0" w:color="auto"/>
              </w:divBdr>
            </w:div>
            <w:div w:id="1674145932">
              <w:marLeft w:val="0"/>
              <w:marRight w:val="0"/>
              <w:marTop w:val="0"/>
              <w:marBottom w:val="0"/>
              <w:divBdr>
                <w:top w:val="none" w:sz="0" w:space="0" w:color="auto"/>
                <w:left w:val="none" w:sz="0" w:space="0" w:color="auto"/>
                <w:bottom w:val="none" w:sz="0" w:space="0" w:color="auto"/>
                <w:right w:val="none" w:sz="0" w:space="0" w:color="auto"/>
              </w:divBdr>
            </w:div>
            <w:div w:id="16741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1279</Words>
  <Characters>7037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lambresi</dc:creator>
  <cp:keywords/>
  <dc:description/>
  <cp:lastModifiedBy>Nathalie De Keyzer</cp:lastModifiedBy>
  <cp:revision>3</cp:revision>
  <cp:lastPrinted>2011-04-14T07:11:00Z</cp:lastPrinted>
  <dcterms:created xsi:type="dcterms:W3CDTF">2011-04-14T07:12:00Z</dcterms:created>
  <dcterms:modified xsi:type="dcterms:W3CDTF">2011-04-15T13:37:00Z</dcterms:modified>
</cp:coreProperties>
</file>