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E6" w:rsidRPr="009C1C5D" w:rsidRDefault="008928E6" w:rsidP="00B93773">
      <w:pPr>
        <w:pStyle w:val="A-NaamMinister"/>
        <w:tabs>
          <w:tab w:val="left" w:pos="2436"/>
        </w:tabs>
        <w:outlineLvl w:val="0"/>
        <w:rPr>
          <w:szCs w:val="22"/>
        </w:rPr>
      </w:pPr>
      <w:smartTag w:uri="urn:schemas-microsoft-com:office:smarttags" w:element="PersonName">
        <w:smartTagPr>
          <w:attr w:name="ProductID" w:val="KRIS PEETERS"/>
        </w:smartTagPr>
        <w:r>
          <w:rPr>
            <w:szCs w:val="22"/>
          </w:rPr>
          <w:t>k</w:t>
        </w:r>
        <w:r w:rsidRPr="009C1C5D">
          <w:rPr>
            <w:szCs w:val="22"/>
          </w:rPr>
          <w:t xml:space="preserve">ris </w:t>
        </w:r>
        <w:r>
          <w:rPr>
            <w:szCs w:val="22"/>
          </w:rPr>
          <w:t>p</w:t>
        </w:r>
        <w:r w:rsidRPr="009C1C5D">
          <w:rPr>
            <w:szCs w:val="22"/>
          </w:rPr>
          <w:t>eeters</w:t>
        </w:r>
      </w:smartTag>
    </w:p>
    <w:p w:rsidR="008928E6" w:rsidRPr="009C1C5D" w:rsidRDefault="008928E6" w:rsidP="009F0FB2">
      <w:pPr>
        <w:pStyle w:val="A-NaamMinister"/>
        <w:rPr>
          <w:b w:val="0"/>
          <w:szCs w:val="22"/>
        </w:rPr>
      </w:pPr>
      <w:bookmarkStart w:id="0" w:name="Text2"/>
      <w:r w:rsidRPr="009C1C5D">
        <w:rPr>
          <w:b w:val="0"/>
          <w:szCs w:val="22"/>
        </w:rPr>
        <w:t xml:space="preserve">minister-president van de </w:t>
      </w:r>
      <w:r>
        <w:rPr>
          <w:b w:val="0"/>
          <w:szCs w:val="22"/>
        </w:rPr>
        <w:t>v</w:t>
      </w:r>
      <w:r w:rsidRPr="009C1C5D">
        <w:rPr>
          <w:b w:val="0"/>
          <w:szCs w:val="22"/>
        </w:rPr>
        <w:t xml:space="preserve">laamse regering, </w:t>
      </w:r>
      <w:r>
        <w:rPr>
          <w:b w:val="0"/>
          <w:szCs w:val="22"/>
        </w:rPr>
        <w:t>v</w:t>
      </w:r>
      <w:r w:rsidRPr="009C1C5D">
        <w:rPr>
          <w:b w:val="0"/>
          <w:szCs w:val="22"/>
        </w:rPr>
        <w:t xml:space="preserve">laams minister van </w:t>
      </w:r>
      <w:bookmarkEnd w:id="0"/>
      <w:r w:rsidRPr="009C1C5D">
        <w:rPr>
          <w:b w:val="0"/>
          <w:szCs w:val="22"/>
        </w:rPr>
        <w:t>economie, buitenlands beleid, landbouw en plattelandsbeleid</w:t>
      </w:r>
    </w:p>
    <w:p w:rsidR="008928E6" w:rsidRPr="009C1C5D" w:rsidRDefault="008928E6">
      <w:pPr>
        <w:rPr>
          <w:sz w:val="22"/>
          <w:szCs w:val="22"/>
        </w:rPr>
      </w:pPr>
    </w:p>
    <w:p w:rsidR="008928E6" w:rsidRPr="009C1C5D" w:rsidRDefault="008928E6">
      <w:pPr>
        <w:pStyle w:val="A-Lijn"/>
        <w:rPr>
          <w:szCs w:val="22"/>
        </w:rPr>
      </w:pPr>
    </w:p>
    <w:p w:rsidR="008928E6" w:rsidRPr="009C1C5D" w:rsidRDefault="008928E6">
      <w:pPr>
        <w:pStyle w:val="A-Type"/>
        <w:rPr>
          <w:szCs w:val="22"/>
        </w:rPr>
        <w:sectPr w:rsidR="008928E6" w:rsidRPr="009C1C5D" w:rsidSect="00FA7C02">
          <w:pgSz w:w="11906" w:h="16838"/>
          <w:pgMar w:top="1418" w:right="1418" w:bottom="1134" w:left="1418" w:header="709" w:footer="709" w:gutter="0"/>
          <w:cols w:space="708"/>
          <w:rtlGutter/>
        </w:sectPr>
      </w:pPr>
    </w:p>
    <w:p w:rsidR="008928E6" w:rsidRPr="00CE39DD" w:rsidRDefault="008928E6" w:rsidP="008529AC">
      <w:pPr>
        <w:pStyle w:val="A-Type"/>
        <w:rPr>
          <w:szCs w:val="24"/>
        </w:rPr>
      </w:pPr>
      <w:r>
        <w:rPr>
          <w:szCs w:val="24"/>
        </w:rPr>
        <w:t>a</w:t>
      </w:r>
      <w:r w:rsidRPr="00CE39DD">
        <w:rPr>
          <w:szCs w:val="24"/>
        </w:rPr>
        <w:t xml:space="preserve">ntwoord </w:t>
      </w:r>
    </w:p>
    <w:p w:rsidR="008928E6" w:rsidRDefault="008928E6" w:rsidP="008529AC">
      <w:pPr>
        <w:pStyle w:val="A-Gewonetekst"/>
      </w:pPr>
      <w:r>
        <w:t>op vraag nr. 232 van 15 maart  2011</w:t>
      </w:r>
    </w:p>
    <w:p w:rsidR="008928E6" w:rsidRPr="009C1C5D" w:rsidRDefault="008928E6" w:rsidP="005B5FD6">
      <w:pPr>
        <w:jc w:val="both"/>
        <w:rPr>
          <w:b/>
          <w:sz w:val="22"/>
          <w:szCs w:val="22"/>
        </w:rPr>
      </w:pPr>
      <w:r w:rsidRPr="009C1C5D">
        <w:rPr>
          <w:sz w:val="22"/>
          <w:szCs w:val="22"/>
        </w:rPr>
        <w:t xml:space="preserve">van </w:t>
      </w:r>
      <w:r>
        <w:rPr>
          <w:b/>
          <w:smallCaps/>
          <w:sz w:val="22"/>
        </w:rPr>
        <w:t>gwenny de vroe</w:t>
      </w:r>
    </w:p>
    <w:p w:rsidR="008928E6" w:rsidRPr="009C1C5D" w:rsidRDefault="008928E6" w:rsidP="005B5FD6">
      <w:pPr>
        <w:pBdr>
          <w:bottom w:val="single" w:sz="4" w:space="1" w:color="auto"/>
        </w:pBdr>
        <w:jc w:val="both"/>
        <w:rPr>
          <w:sz w:val="22"/>
          <w:szCs w:val="22"/>
        </w:rPr>
      </w:pPr>
    </w:p>
    <w:p w:rsidR="008928E6" w:rsidRDefault="008928E6" w:rsidP="00F101C5">
      <w:pPr>
        <w:pStyle w:val="StandaardSV"/>
        <w:rPr>
          <w:szCs w:val="22"/>
        </w:rPr>
      </w:pPr>
    </w:p>
    <w:p w:rsidR="008928E6" w:rsidRPr="004C7932" w:rsidRDefault="008928E6" w:rsidP="004C0E87">
      <w:pPr>
        <w:jc w:val="both"/>
      </w:pPr>
    </w:p>
    <w:p w:rsidR="008928E6" w:rsidRPr="006B6625" w:rsidRDefault="008928E6" w:rsidP="00F0730B">
      <w:pPr>
        <w:pStyle w:val="ListParagraph"/>
        <w:numPr>
          <w:ilvl w:val="0"/>
          <w:numId w:val="28"/>
        </w:numPr>
        <w:tabs>
          <w:tab w:val="left" w:pos="426"/>
        </w:tabs>
        <w:spacing w:after="200"/>
        <w:ind w:left="709" w:hanging="709"/>
        <w:jc w:val="both"/>
        <w:rPr>
          <w:sz w:val="22"/>
          <w:szCs w:val="22"/>
        </w:rPr>
      </w:pPr>
      <w:r w:rsidRPr="006B6625">
        <w:rPr>
          <w:sz w:val="22"/>
          <w:szCs w:val="22"/>
        </w:rPr>
        <w:t>a)</w:t>
      </w:r>
      <w:r>
        <w:rPr>
          <w:iCs/>
          <w:sz w:val="24"/>
          <w:szCs w:val="24"/>
          <w:lang w:eastAsia="nl-BE"/>
        </w:rPr>
        <w:tab/>
      </w:r>
      <w:r w:rsidRPr="006B6625">
        <w:rPr>
          <w:iCs/>
          <w:sz w:val="22"/>
          <w:szCs w:val="22"/>
        </w:rPr>
        <w:t xml:space="preserve">Er zijn geen schriftelijke, mondelinge of telefonische contacten of vergaderingen geweest met leden van de Federale Regering of met leden van de Waalse of Brusselse hoofdstedelijke gewestregeringen door leden van de Vlaamse Regering. De contacten hebben zich, voor de EU ontwikkelingen, afgespeeld </w:t>
      </w:r>
      <w:r>
        <w:rPr>
          <w:iCs/>
          <w:sz w:val="22"/>
          <w:szCs w:val="22"/>
        </w:rPr>
        <w:t xml:space="preserve">op ambtelijk niveau </w:t>
      </w:r>
      <w:r w:rsidRPr="006B6625">
        <w:rPr>
          <w:iCs/>
          <w:sz w:val="22"/>
          <w:szCs w:val="22"/>
        </w:rPr>
        <w:t xml:space="preserve">in de periode </w:t>
      </w:r>
      <w:r>
        <w:rPr>
          <w:iCs/>
          <w:sz w:val="22"/>
          <w:szCs w:val="22"/>
        </w:rPr>
        <w:t xml:space="preserve">van </w:t>
      </w:r>
      <w:r w:rsidRPr="006B6625">
        <w:rPr>
          <w:iCs/>
          <w:sz w:val="22"/>
          <w:szCs w:val="22"/>
        </w:rPr>
        <w:t>25 oktobe</w:t>
      </w:r>
      <w:r>
        <w:rPr>
          <w:iCs/>
          <w:sz w:val="22"/>
          <w:szCs w:val="22"/>
        </w:rPr>
        <w:t xml:space="preserve">r (bespreking raadswerkgroep) tot </w:t>
      </w:r>
      <w:r w:rsidRPr="006B6625">
        <w:rPr>
          <w:iCs/>
          <w:sz w:val="22"/>
          <w:szCs w:val="22"/>
        </w:rPr>
        <w:t>18 november 2010 (afronding voorzitterschapteksten). Voor de standpuntinname in het OSPAR kader hebben ambtelijke besprekingen plaatsgevonden in de periode</w:t>
      </w:r>
      <w:r>
        <w:rPr>
          <w:iCs/>
          <w:sz w:val="22"/>
          <w:szCs w:val="22"/>
        </w:rPr>
        <w:t xml:space="preserve"> tussen mei en</w:t>
      </w:r>
      <w:r w:rsidRPr="006B6625">
        <w:rPr>
          <w:iCs/>
          <w:sz w:val="22"/>
          <w:szCs w:val="22"/>
        </w:rPr>
        <w:t xml:space="preserve"> september 2010,</w:t>
      </w:r>
      <w:r>
        <w:rPr>
          <w:iCs/>
          <w:sz w:val="22"/>
          <w:szCs w:val="22"/>
        </w:rPr>
        <w:t xml:space="preserve"> </w:t>
      </w:r>
      <w:r w:rsidRPr="006B6625">
        <w:rPr>
          <w:iCs/>
          <w:sz w:val="22"/>
          <w:szCs w:val="22"/>
        </w:rPr>
        <w:t xml:space="preserve"> </w:t>
      </w:r>
      <w:r>
        <w:rPr>
          <w:iCs/>
          <w:sz w:val="22"/>
          <w:szCs w:val="22"/>
        </w:rPr>
        <w:t xml:space="preserve">binnen </w:t>
      </w:r>
      <w:r w:rsidRPr="006B6625">
        <w:rPr>
          <w:iCs/>
          <w:sz w:val="22"/>
          <w:szCs w:val="22"/>
        </w:rPr>
        <w:t xml:space="preserve"> </w:t>
      </w:r>
      <w:r>
        <w:rPr>
          <w:iCs/>
          <w:sz w:val="22"/>
          <w:szCs w:val="22"/>
        </w:rPr>
        <w:t xml:space="preserve">de </w:t>
      </w:r>
      <w:r w:rsidRPr="006B6625">
        <w:rPr>
          <w:iCs/>
          <w:sz w:val="22"/>
          <w:szCs w:val="22"/>
        </w:rPr>
        <w:t>Stuurgroep ‘Noordzee en Oceanen’</w:t>
      </w:r>
      <w:r>
        <w:rPr>
          <w:iCs/>
          <w:sz w:val="22"/>
          <w:szCs w:val="22"/>
        </w:rPr>
        <w:t xml:space="preserve"> </w:t>
      </w:r>
      <w:r w:rsidRPr="006B6625">
        <w:rPr>
          <w:iCs/>
          <w:sz w:val="22"/>
          <w:szCs w:val="22"/>
        </w:rPr>
        <w:t>van het Coördinatiecomité Int</w:t>
      </w:r>
      <w:r>
        <w:rPr>
          <w:iCs/>
          <w:sz w:val="22"/>
          <w:szCs w:val="22"/>
        </w:rPr>
        <w:t>ernationaal Milieubeleid (CCIM)</w:t>
      </w:r>
      <w:r w:rsidRPr="006B6625">
        <w:rPr>
          <w:iCs/>
          <w:sz w:val="22"/>
          <w:szCs w:val="22"/>
        </w:rPr>
        <w:t xml:space="preserve">. </w:t>
      </w:r>
      <w:r>
        <w:rPr>
          <w:iCs/>
          <w:sz w:val="22"/>
          <w:szCs w:val="22"/>
        </w:rPr>
        <w:t xml:space="preserve">Hierbij werden </w:t>
      </w:r>
      <w:r w:rsidRPr="006B6625">
        <w:rPr>
          <w:iCs/>
          <w:sz w:val="22"/>
          <w:szCs w:val="22"/>
        </w:rPr>
        <w:t>de standpunten van de ambtenaren van het Vlaamse Gewest politiek gevalideerd door het kabinet van de Minister van Leefmilieu, Natuur en Cultuur.”</w:t>
      </w:r>
    </w:p>
    <w:p w:rsidR="008928E6" w:rsidRDefault="008928E6" w:rsidP="006B6625">
      <w:pPr>
        <w:pStyle w:val="ListParagraph"/>
        <w:spacing w:after="200"/>
        <w:ind w:left="360"/>
        <w:jc w:val="both"/>
        <w:rPr>
          <w:sz w:val="22"/>
          <w:szCs w:val="22"/>
        </w:rPr>
      </w:pPr>
    </w:p>
    <w:p w:rsidR="008928E6" w:rsidRPr="006B6625" w:rsidRDefault="008928E6" w:rsidP="00F0730B">
      <w:pPr>
        <w:pStyle w:val="ListParagraph"/>
        <w:spacing w:after="200"/>
        <w:ind w:left="709" w:hanging="283"/>
        <w:jc w:val="both"/>
        <w:rPr>
          <w:sz w:val="22"/>
          <w:szCs w:val="22"/>
        </w:rPr>
      </w:pPr>
      <w:r w:rsidRPr="006B6625">
        <w:rPr>
          <w:sz w:val="22"/>
          <w:szCs w:val="22"/>
        </w:rPr>
        <w:t>b)</w:t>
      </w:r>
      <w:r>
        <w:rPr>
          <w:sz w:val="22"/>
          <w:szCs w:val="22"/>
        </w:rPr>
        <w:tab/>
      </w:r>
      <w:r w:rsidRPr="006B6625">
        <w:rPr>
          <w:sz w:val="22"/>
          <w:szCs w:val="22"/>
        </w:rPr>
        <w:t>Tijdens het Belgisch voorzitterschap van de Europese Raad hebben Vlaamse ambtenaren van het beleidsdomein Leefmilieu, Natuur en Energie (LNE) bijgedragen aan de beleids</w:t>
      </w:r>
      <w:r>
        <w:rPr>
          <w:sz w:val="22"/>
          <w:szCs w:val="22"/>
        </w:rPr>
        <w:softHyphen/>
      </w:r>
      <w:r w:rsidRPr="006B6625">
        <w:rPr>
          <w:sz w:val="22"/>
          <w:szCs w:val="22"/>
        </w:rPr>
        <w:t>ontwikkelingen over dit onderwerp binnen de Europese context. Er was tussen de gewesten en de federale overheid overeenstemming om dit punt o</w:t>
      </w:r>
      <w:r>
        <w:rPr>
          <w:sz w:val="22"/>
          <w:szCs w:val="22"/>
        </w:rPr>
        <w:t>p de agenda te plaatsen van de I</w:t>
      </w:r>
      <w:r w:rsidRPr="006B6625">
        <w:rPr>
          <w:sz w:val="22"/>
          <w:szCs w:val="22"/>
        </w:rPr>
        <w:t xml:space="preserve">nformele </w:t>
      </w:r>
      <w:r>
        <w:rPr>
          <w:sz w:val="22"/>
          <w:szCs w:val="22"/>
        </w:rPr>
        <w:t>Raad Energie van</w:t>
      </w:r>
      <w:r w:rsidRPr="006B6625">
        <w:rPr>
          <w:sz w:val="22"/>
          <w:szCs w:val="22"/>
        </w:rPr>
        <w:t xml:space="preserve"> 7 september 2010. De Raad Energie nam tijdens het Belgische voorzitter</w:t>
      </w:r>
      <w:r>
        <w:rPr>
          <w:sz w:val="22"/>
          <w:szCs w:val="22"/>
        </w:rPr>
        <w:softHyphen/>
      </w:r>
      <w:r w:rsidRPr="006B6625">
        <w:rPr>
          <w:sz w:val="22"/>
          <w:szCs w:val="22"/>
        </w:rPr>
        <w:t>schap hierover ook raadsconclusies</w:t>
      </w:r>
      <w:r w:rsidRPr="004C7932">
        <w:rPr>
          <w:vertAlign w:val="superscript"/>
        </w:rPr>
        <w:footnoteReference w:id="2"/>
      </w:r>
      <w:r w:rsidRPr="006B6625">
        <w:rPr>
          <w:sz w:val="22"/>
          <w:szCs w:val="22"/>
        </w:rPr>
        <w:t xml:space="preserve"> aan</w:t>
      </w:r>
      <w:bookmarkStart w:id="1" w:name="_GoBack"/>
      <w:bookmarkEnd w:id="1"/>
      <w:r w:rsidRPr="006B6625">
        <w:rPr>
          <w:sz w:val="22"/>
          <w:szCs w:val="22"/>
        </w:rPr>
        <w:t xml:space="preserve"> </w:t>
      </w:r>
      <w:r>
        <w:rPr>
          <w:sz w:val="22"/>
          <w:szCs w:val="22"/>
        </w:rPr>
        <w:t>als</w:t>
      </w:r>
      <w:r w:rsidRPr="006B6625">
        <w:rPr>
          <w:sz w:val="22"/>
          <w:szCs w:val="22"/>
        </w:rPr>
        <w:t xml:space="preserve"> respons op de Mededeling van de Commissie van 12 oktober 2010</w:t>
      </w:r>
      <w:r w:rsidRPr="004C7932">
        <w:rPr>
          <w:vertAlign w:val="superscript"/>
        </w:rPr>
        <w:footnoteReference w:id="3"/>
      </w:r>
      <w:r w:rsidRPr="006B6625">
        <w:rPr>
          <w:sz w:val="22"/>
          <w:szCs w:val="22"/>
        </w:rPr>
        <w:t xml:space="preserve">. Daarbij werden collega’s van het Departement LNE, van het Vlaams Energieagentschap en van het Agentschap voor Natuur en Bos betrokken. </w:t>
      </w:r>
    </w:p>
    <w:p w:rsidR="008928E6" w:rsidRDefault="008928E6" w:rsidP="00F0730B">
      <w:pPr>
        <w:pStyle w:val="ListParagraph"/>
        <w:spacing w:after="200"/>
        <w:ind w:left="709"/>
        <w:jc w:val="both"/>
        <w:rPr>
          <w:sz w:val="22"/>
          <w:szCs w:val="22"/>
        </w:rPr>
      </w:pPr>
      <w:r w:rsidRPr="004C7932">
        <w:rPr>
          <w:sz w:val="22"/>
          <w:szCs w:val="22"/>
        </w:rPr>
        <w:t xml:space="preserve">Ook werd vanuit de Vlaamse overheid deelgenomen aan de bespreking over dit zelfde onderwerp van de ministeriële vergadering van de OSPAR Commissie die in september </w:t>
      </w:r>
      <w:smartTag w:uri="urn:schemas-microsoft-com:office:smarttags" w:element="metricconverter">
        <w:smartTagPr>
          <w:attr w:name="ProductID" w:val="2010 in"/>
        </w:smartTagPr>
        <w:r w:rsidRPr="004C7932">
          <w:rPr>
            <w:sz w:val="22"/>
            <w:szCs w:val="22"/>
          </w:rPr>
          <w:t>2010 in</w:t>
        </w:r>
      </w:smartTag>
      <w:r w:rsidRPr="004C7932">
        <w:rPr>
          <w:sz w:val="22"/>
          <w:szCs w:val="22"/>
        </w:rPr>
        <w:t xml:space="preserve"> Bergen (Noorwegen) doorging, en waar ter zake afspraken werden gemaakt onder de vorm van OSPAR Aanbeveling 2010/18</w:t>
      </w:r>
      <w:r w:rsidRPr="004C7932">
        <w:rPr>
          <w:sz w:val="22"/>
          <w:szCs w:val="22"/>
          <w:vertAlign w:val="superscript"/>
        </w:rPr>
        <w:footnoteReference w:id="4"/>
      </w:r>
      <w:r w:rsidRPr="004C7932">
        <w:rPr>
          <w:sz w:val="22"/>
          <w:szCs w:val="22"/>
        </w:rPr>
        <w:t xml:space="preserve"> die als complementair kunnen worden beschouwd aan genoemde raadsconclusies.</w:t>
      </w:r>
    </w:p>
    <w:p w:rsidR="008928E6" w:rsidRPr="004C7932" w:rsidRDefault="008928E6" w:rsidP="004C7932">
      <w:pPr>
        <w:pStyle w:val="ListParagraph"/>
        <w:ind w:left="360"/>
        <w:jc w:val="both"/>
        <w:rPr>
          <w:sz w:val="22"/>
          <w:szCs w:val="22"/>
        </w:rPr>
      </w:pPr>
    </w:p>
    <w:p w:rsidR="008928E6" w:rsidRPr="004C7932" w:rsidRDefault="008928E6" w:rsidP="004C7932">
      <w:pPr>
        <w:pStyle w:val="StandaardSV"/>
        <w:numPr>
          <w:ilvl w:val="0"/>
          <w:numId w:val="28"/>
        </w:numPr>
      </w:pPr>
      <w:r w:rsidRPr="004C7932">
        <w:t>De voortgang van de Europese beleidsontwikkelingen met betrekking tot rampen met olieplatforms is deels afhankelijk gemaakt van de analyses van de oorzaken van het Deepwater Horizon ongeval. Het finale rapport van de VS ‘Oil Spill Commission’ werd gepubliceerd op 11 januari 2011</w:t>
      </w:r>
      <w:r w:rsidRPr="004C7932">
        <w:rPr>
          <w:rStyle w:val="FootnoteReference"/>
        </w:rPr>
        <w:footnoteReference w:id="5"/>
      </w:r>
      <w:r w:rsidRPr="004C7932">
        <w:t xml:space="preserve"> en het valt te verwachten dat de Europese Commissie in 2011 met concrete voorstellen voor aanpassing aan Europese regelgeving komt</w:t>
      </w:r>
      <w:r w:rsidRPr="004C7932">
        <w:rPr>
          <w:rStyle w:val="FootnoteReference"/>
        </w:rPr>
        <w:footnoteReference w:id="6"/>
      </w:r>
      <w:r w:rsidRPr="004C7932">
        <w:t xml:space="preserve">.  In dit licht werd tot nu toe met de federale bevoegde diensten niet verder besproken of, en in voorkomend geval hoe, een mogelijke behandeling door de Internationale Zeebodemautoriteit zou kunnen bijdragen tot een verhogen van de veiligheid van olie exploratie activiteiten.  Er is daarbij rekening gehouden met de situatie dat de huidige exploratie en exploitatie van olie veelal, zelfs wanneer deze verder uitbreidt naar diepere wateren verder van de kusten, plaatsvindt in wateren die onder de soevereiniteit of jurisdictie van de kuststaat vallen. Internationaal bindende afspraken daaromtrent vallen niet onder de bevoegdheid van de Internationale Zeebodem Autoriteit, maar – in de Europese context – onder die van de Europese Unie of van regionale zeeverdragen, zoals het OSPAR Verdrag voor de Noordoost Atlantische Oceaan. </w:t>
      </w:r>
    </w:p>
    <w:p w:rsidR="008928E6" w:rsidRPr="004C7932" w:rsidRDefault="008928E6" w:rsidP="004C7932">
      <w:pPr>
        <w:pStyle w:val="StandaardSV"/>
        <w:ind w:left="360"/>
      </w:pPr>
    </w:p>
    <w:p w:rsidR="008928E6" w:rsidRDefault="008928E6" w:rsidP="004C7932">
      <w:pPr>
        <w:pStyle w:val="ListParagraph"/>
        <w:numPr>
          <w:ilvl w:val="0"/>
          <w:numId w:val="28"/>
        </w:numPr>
        <w:spacing w:after="200"/>
        <w:jc w:val="both"/>
        <w:rPr>
          <w:sz w:val="22"/>
          <w:szCs w:val="22"/>
        </w:rPr>
      </w:pPr>
      <w:r w:rsidRPr="004C7932">
        <w:rPr>
          <w:sz w:val="22"/>
          <w:szCs w:val="22"/>
        </w:rPr>
        <w:t>Zie antwoord op vraag 1</w:t>
      </w:r>
    </w:p>
    <w:p w:rsidR="008928E6" w:rsidRPr="004C7932" w:rsidRDefault="008928E6" w:rsidP="00AE53F6">
      <w:pPr>
        <w:pStyle w:val="ListParagraph"/>
        <w:ind w:left="360"/>
        <w:jc w:val="both"/>
        <w:rPr>
          <w:sz w:val="22"/>
          <w:szCs w:val="22"/>
        </w:rPr>
      </w:pPr>
    </w:p>
    <w:p w:rsidR="008928E6" w:rsidRPr="004C7932" w:rsidRDefault="008928E6" w:rsidP="004C7932">
      <w:pPr>
        <w:pStyle w:val="StandaardSV"/>
        <w:numPr>
          <w:ilvl w:val="0"/>
          <w:numId w:val="28"/>
        </w:numPr>
      </w:pPr>
      <w:r w:rsidRPr="004C7932">
        <w:t>Het resultaat is dat de Europese Commissie bezig is met het voorbereiden van wetgevende voorstellen die de veiligheid van olie- en gasboringen in de Europese wateren op een zo hoog</w:t>
      </w:r>
      <w:r>
        <w:t xml:space="preserve"> mogelijk niveau moet brengen. </w:t>
      </w:r>
      <w:r w:rsidRPr="004C7932">
        <w:t>De Europese Commissie lanceerde hierover op 16 maart 2011 een publieksconsultatie die loopt tot 11 mei</w:t>
      </w:r>
      <w:r>
        <w:t xml:space="preserve"> 2011</w:t>
      </w:r>
      <w:r w:rsidRPr="004C7932">
        <w:t xml:space="preserve">. </w:t>
      </w:r>
    </w:p>
    <w:p w:rsidR="008928E6" w:rsidRPr="00706907" w:rsidRDefault="008928E6" w:rsidP="00F101C5">
      <w:pPr>
        <w:ind w:firstLine="709"/>
        <w:jc w:val="both"/>
      </w:pPr>
    </w:p>
    <w:sectPr w:rsidR="008928E6" w:rsidRPr="00706907" w:rsidSect="009060FD">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8E6" w:rsidRDefault="008928E6">
      <w:r>
        <w:separator/>
      </w:r>
    </w:p>
  </w:endnote>
  <w:endnote w:type="continuationSeparator" w:id="1">
    <w:p w:rsidR="008928E6" w:rsidRDefault="008928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8E6" w:rsidRDefault="008928E6">
      <w:r>
        <w:separator/>
      </w:r>
    </w:p>
  </w:footnote>
  <w:footnote w:type="continuationSeparator" w:id="1">
    <w:p w:rsidR="008928E6" w:rsidRDefault="008928E6">
      <w:r>
        <w:continuationSeparator/>
      </w:r>
    </w:p>
  </w:footnote>
  <w:footnote w:id="2">
    <w:p w:rsidR="008928E6" w:rsidRDefault="008928E6" w:rsidP="004C7932">
      <w:pPr>
        <w:pStyle w:val="FootnoteText"/>
      </w:pPr>
      <w:r>
        <w:rPr>
          <w:rStyle w:val="FootnoteReference"/>
        </w:rPr>
        <w:footnoteRef/>
      </w:r>
      <w:hyperlink r:id="rId1" w:history="1">
        <w:r w:rsidRPr="0021148A">
          <w:rPr>
            <w:rStyle w:val="Hyperlink"/>
          </w:rPr>
          <w:t>http://register.consilium.europa.eu/pdf/en/10/st16/st16943.en10.pdf</w:t>
        </w:r>
      </w:hyperlink>
    </w:p>
  </w:footnote>
  <w:footnote w:id="3">
    <w:p w:rsidR="008928E6" w:rsidRDefault="008928E6" w:rsidP="004C7932">
      <w:pPr>
        <w:pStyle w:val="FootnoteText"/>
      </w:pPr>
      <w:r>
        <w:rPr>
          <w:rStyle w:val="FootnoteReference"/>
        </w:rPr>
        <w:footnoteRef/>
      </w:r>
      <w:r>
        <w:t>COM (2010) 560 final van 12 oktober 2010 met bijlage SEC(2010) 1193 final.</w:t>
      </w:r>
    </w:p>
  </w:footnote>
  <w:footnote w:id="4">
    <w:p w:rsidR="008928E6" w:rsidRDefault="008928E6" w:rsidP="004C7932">
      <w:pPr>
        <w:pStyle w:val="FootnoteText"/>
      </w:pPr>
      <w:r>
        <w:rPr>
          <w:rStyle w:val="FootnoteReference"/>
        </w:rPr>
        <w:footnoteRef/>
      </w:r>
      <w:r w:rsidRPr="004C41C3">
        <w:rPr>
          <w:lang w:val="en-GB"/>
        </w:rPr>
        <w:t xml:space="preserve"> OSPAR Recommendation 2010/18 on the prevention of significant acute oil pollution from offshore drilling activities</w:t>
      </w:r>
      <w:r>
        <w:rPr>
          <w:lang w:val="en-GB"/>
        </w:rPr>
        <w:t xml:space="preserve"> – vindbaar op </w:t>
      </w:r>
      <w:hyperlink r:id="rId2" w:history="1">
        <w:r w:rsidRPr="0021148A">
          <w:rPr>
            <w:rStyle w:val="Hyperlink"/>
            <w:lang w:val="en-GB"/>
          </w:rPr>
          <w:t>www.ospar.org</w:t>
        </w:r>
      </w:hyperlink>
      <w:r>
        <w:rPr>
          <w:lang w:val="en-GB"/>
        </w:rPr>
        <w:t xml:space="preserve"> in de gegevensbank van de Programmes and Measures.</w:t>
      </w:r>
    </w:p>
  </w:footnote>
  <w:footnote w:id="5">
    <w:p w:rsidR="008928E6" w:rsidRDefault="008928E6" w:rsidP="004C7932">
      <w:pPr>
        <w:pStyle w:val="FootnoteText"/>
      </w:pPr>
      <w:r>
        <w:rPr>
          <w:rStyle w:val="FootnoteReference"/>
        </w:rPr>
        <w:footnoteRef/>
      </w:r>
      <w:hyperlink r:id="rId3" w:history="1">
        <w:r w:rsidRPr="0021148A">
          <w:rPr>
            <w:rStyle w:val="Hyperlink"/>
            <w:lang w:val="en-GB"/>
          </w:rPr>
          <w:t>http://www.oilspillcommission.gov/final-report</w:t>
        </w:r>
      </w:hyperlink>
    </w:p>
  </w:footnote>
  <w:footnote w:id="6">
    <w:p w:rsidR="008928E6" w:rsidRDefault="008928E6" w:rsidP="004C7932">
      <w:pPr>
        <w:pStyle w:val="StandaardSV"/>
      </w:pPr>
      <w:r>
        <w:rPr>
          <w:rStyle w:val="FootnoteReference"/>
        </w:rPr>
        <w:footnoteRef/>
      </w:r>
      <w:r>
        <w:t xml:space="preserve"> zie § </w:t>
      </w:r>
      <w:r w:rsidRPr="004C41C3">
        <w:rPr>
          <w:sz w:val="20"/>
          <w:lang w:val="nl-BE"/>
        </w:rPr>
        <w:t>23</w:t>
      </w:r>
      <w:r>
        <w:rPr>
          <w:sz w:val="20"/>
          <w:lang w:val="nl-BE"/>
        </w:rPr>
        <w:t xml:space="preserve"> van hogervernoemde raadsconclusies van 3 december 2010: [</w:t>
      </w:r>
      <w:r w:rsidRPr="005E3FF8">
        <w:rPr>
          <w:i/>
          <w:sz w:val="20"/>
          <w:lang w:val="nl-BE"/>
        </w:rPr>
        <w:t>Derhalve verzoekt de Raad:</w:t>
      </w:r>
      <w:r>
        <w:rPr>
          <w:sz w:val="20"/>
          <w:lang w:val="nl-BE"/>
        </w:rPr>
        <w:t>] “</w:t>
      </w:r>
      <w:r w:rsidRPr="005E3FF8">
        <w:rPr>
          <w:i/>
          <w:sz w:val="20"/>
          <w:lang w:val="nl-BE"/>
        </w:rPr>
        <w:t>de Commissie om zo spoedig mogelijk in 2011 concrete initiatieven - in voorkomend geval met inbegrip van voorstellen tot wijziging van EU-wetgeving, in te dienen die van belang zijn voor het reguleren van de offshore-exploratie en -productie van koolwaterstoffen, met name om te zorgen voor de hoogst mogelijke veiligheid en milieubescherming en aansprakelijkheidsbepalingen, met behoud van het vermogen tot aanpassing aan wijzigingen in de technologie voor offshore- exploratie en -productie;</w:t>
      </w:r>
      <w:r>
        <w:rPr>
          <w:sz w:val="20"/>
          <w:lang w:val="nl-BE"/>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3F6353E"/>
    <w:multiLevelType w:val="hybridMultilevel"/>
    <w:tmpl w:val="6E9CB124"/>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52A5860"/>
    <w:multiLevelType w:val="hybridMultilevel"/>
    <w:tmpl w:val="E1BA3F24"/>
    <w:lvl w:ilvl="0" w:tplc="A0904062">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05B93FCA"/>
    <w:multiLevelType w:val="hybridMultilevel"/>
    <w:tmpl w:val="EFFA091A"/>
    <w:lvl w:ilvl="0" w:tplc="B20E4EFC">
      <w:start w:val="1"/>
      <w:numFmt w:val="lowerLetter"/>
      <w:lvlText w:val="%1."/>
      <w:lvlJc w:val="left"/>
      <w:pPr>
        <w:tabs>
          <w:tab w:val="num" w:pos="928"/>
        </w:tabs>
        <w:ind w:left="928" w:hanging="360"/>
      </w:pPr>
      <w:rPr>
        <w:rFonts w:ascii="Arial" w:hAnsi="Arial" w:cs="Times New Roman" w:hint="default"/>
        <w:sz w:val="22"/>
      </w:rPr>
    </w:lvl>
    <w:lvl w:ilvl="1" w:tplc="04130003">
      <w:start w:val="1"/>
      <w:numFmt w:val="bullet"/>
      <w:lvlText w:val="o"/>
      <w:lvlJc w:val="left"/>
      <w:pPr>
        <w:tabs>
          <w:tab w:val="num" w:pos="1648"/>
        </w:tabs>
        <w:ind w:left="1648" w:hanging="360"/>
      </w:pPr>
      <w:rPr>
        <w:rFonts w:ascii="Courier New" w:hAnsi="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4">
    <w:nsid w:val="078937E8"/>
    <w:multiLevelType w:val="hybridMultilevel"/>
    <w:tmpl w:val="2E26E926"/>
    <w:lvl w:ilvl="0" w:tplc="0413000F">
      <w:start w:val="1"/>
      <w:numFmt w:val="decimal"/>
      <w:lvlText w:val="%1."/>
      <w:lvlJc w:val="left"/>
      <w:pPr>
        <w:tabs>
          <w:tab w:val="num" w:pos="720"/>
        </w:tabs>
        <w:ind w:left="720" w:hanging="360"/>
      </w:pPr>
      <w:rPr>
        <w:rFonts w:cs="Times New Roman"/>
      </w:r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098D1647"/>
    <w:multiLevelType w:val="hybridMultilevel"/>
    <w:tmpl w:val="2708C892"/>
    <w:lvl w:ilvl="0" w:tplc="7A0209B8">
      <w:start w:val="4"/>
      <w:numFmt w:val="upperRoman"/>
      <w:lvlText w:val="%1."/>
      <w:lvlJc w:val="left"/>
      <w:pPr>
        <w:tabs>
          <w:tab w:val="num" w:pos="720"/>
        </w:tabs>
        <w:ind w:left="720" w:hanging="72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0D5776B0"/>
    <w:multiLevelType w:val="hybridMultilevel"/>
    <w:tmpl w:val="4F40A932"/>
    <w:lvl w:ilvl="0" w:tplc="32F405F8">
      <w:start w:val="1"/>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00C4609"/>
    <w:multiLevelType w:val="hybridMultilevel"/>
    <w:tmpl w:val="91AC019E"/>
    <w:lvl w:ilvl="0" w:tplc="542CA9E8">
      <w:start w:val="1"/>
      <w:numFmt w:val="lowerLetter"/>
      <w:lvlText w:val="%1)"/>
      <w:lvlJc w:val="left"/>
      <w:pPr>
        <w:ind w:left="780" w:hanging="4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1BEE3EA9"/>
    <w:multiLevelType w:val="hybridMultilevel"/>
    <w:tmpl w:val="4C584C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1F45525D"/>
    <w:multiLevelType w:val="hybridMultilevel"/>
    <w:tmpl w:val="D9C874DC"/>
    <w:lvl w:ilvl="0" w:tplc="9ABCA202">
      <w:numFmt w:val="bullet"/>
      <w:lvlText w:val="-"/>
      <w:lvlJc w:val="left"/>
      <w:pPr>
        <w:tabs>
          <w:tab w:val="num" w:pos="928"/>
        </w:tabs>
        <w:ind w:left="928" w:hanging="360"/>
      </w:pPr>
      <w:rPr>
        <w:rFonts w:ascii="Verdana" w:eastAsia="Times New Roman" w:hAnsi="Verdana" w:hint="default"/>
      </w:rPr>
    </w:lvl>
    <w:lvl w:ilvl="1" w:tplc="04130003">
      <w:start w:val="1"/>
      <w:numFmt w:val="bullet"/>
      <w:lvlText w:val="o"/>
      <w:lvlJc w:val="left"/>
      <w:pPr>
        <w:tabs>
          <w:tab w:val="num" w:pos="1648"/>
        </w:tabs>
        <w:ind w:left="1648" w:hanging="360"/>
      </w:pPr>
      <w:rPr>
        <w:rFonts w:ascii="Courier New" w:hAnsi="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10">
    <w:nsid w:val="20A20C84"/>
    <w:multiLevelType w:val="hybridMultilevel"/>
    <w:tmpl w:val="C436D858"/>
    <w:lvl w:ilvl="0" w:tplc="F29C0F7A">
      <w:start w:val="1"/>
      <w:numFmt w:val="decimal"/>
      <w:pStyle w:val="Rt6"/>
      <w:lvlText w:val="%1."/>
      <w:lvlJc w:val="left"/>
      <w:pPr>
        <w:tabs>
          <w:tab w:val="num" w:pos="36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23005F50"/>
    <w:multiLevelType w:val="hybridMultilevel"/>
    <w:tmpl w:val="766A4C62"/>
    <w:lvl w:ilvl="0" w:tplc="89DC4B6E">
      <w:start w:val="1"/>
      <w:numFmt w:val="bullet"/>
      <w:pStyle w:val="opsommingniveau2"/>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2">
    <w:nsid w:val="230123B8"/>
    <w:multiLevelType w:val="hybridMultilevel"/>
    <w:tmpl w:val="DE6A0866"/>
    <w:lvl w:ilvl="0" w:tplc="8EC21A06">
      <w:start w:val="4"/>
      <w:numFmt w:val="upperRoman"/>
      <w:lvlText w:val="(%1)"/>
      <w:lvlJc w:val="left"/>
      <w:pPr>
        <w:tabs>
          <w:tab w:val="num" w:pos="1080"/>
        </w:tabs>
        <w:ind w:left="1080" w:hanging="720"/>
      </w:pPr>
      <w:rPr>
        <w:rFonts w:cs="Times New Roman" w:hint="default"/>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49C225E"/>
    <w:multiLevelType w:val="hybridMultilevel"/>
    <w:tmpl w:val="E83A7AF6"/>
    <w:lvl w:ilvl="0" w:tplc="E7D2FDBE">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7936064"/>
    <w:multiLevelType w:val="hybridMultilevel"/>
    <w:tmpl w:val="0DFE0562"/>
    <w:lvl w:ilvl="0" w:tplc="0413000F">
      <w:start w:val="1"/>
      <w:numFmt w:val="decimal"/>
      <w:lvlText w:val="%1."/>
      <w:lvlJc w:val="left"/>
      <w:pPr>
        <w:tabs>
          <w:tab w:val="num" w:pos="720"/>
        </w:tabs>
        <w:ind w:left="720" w:hanging="360"/>
      </w:pPr>
      <w:rPr>
        <w:rFonts w:cs="Times New Roman" w:hint="default"/>
        <w:sz w:val="2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2F8A0892"/>
    <w:multiLevelType w:val="hybridMultilevel"/>
    <w:tmpl w:val="0F1E3DA8"/>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6">
    <w:nsid w:val="30672E58"/>
    <w:multiLevelType w:val="hybridMultilevel"/>
    <w:tmpl w:val="37D2EB7C"/>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7">
    <w:nsid w:val="349B5BEC"/>
    <w:multiLevelType w:val="hybridMultilevel"/>
    <w:tmpl w:val="3038288C"/>
    <w:lvl w:ilvl="0" w:tplc="0413000F">
      <w:start w:val="1"/>
      <w:numFmt w:val="decimal"/>
      <w:lvlText w:val="%1."/>
      <w:lvlJc w:val="left"/>
      <w:pPr>
        <w:ind w:left="720" w:hanging="360"/>
      </w:pPr>
      <w:rPr>
        <w:rFonts w:cs="Times New Roman"/>
        <w:b w:val="0"/>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8">
    <w:nsid w:val="40460FEC"/>
    <w:multiLevelType w:val="hybridMultilevel"/>
    <w:tmpl w:val="7B42FD10"/>
    <w:lvl w:ilvl="0" w:tplc="C6DA1FA2">
      <w:start w:val="1000"/>
      <w:numFmt w:val="bullet"/>
      <w:lvlText w:val="-"/>
      <w:lvlJc w:val="left"/>
      <w:pPr>
        <w:ind w:left="1069" w:hanging="360"/>
      </w:pPr>
      <w:rPr>
        <w:rFonts w:ascii="Times New Roman" w:eastAsia="Times New Roman" w:hAnsi="Times New Roman" w:hint="default"/>
      </w:rPr>
    </w:lvl>
    <w:lvl w:ilvl="1" w:tplc="08130003" w:tentative="1">
      <w:start w:val="1"/>
      <w:numFmt w:val="bullet"/>
      <w:lvlText w:val="o"/>
      <w:lvlJc w:val="left"/>
      <w:pPr>
        <w:ind w:left="1789" w:hanging="360"/>
      </w:pPr>
      <w:rPr>
        <w:rFonts w:ascii="Courier New" w:hAnsi="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9">
    <w:nsid w:val="41620AB6"/>
    <w:multiLevelType w:val="hybridMultilevel"/>
    <w:tmpl w:val="260E376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0">
    <w:nsid w:val="47C62EDD"/>
    <w:multiLevelType w:val="hybridMultilevel"/>
    <w:tmpl w:val="AB8484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BEB4656"/>
    <w:multiLevelType w:val="hybridMultilevel"/>
    <w:tmpl w:val="163C59AC"/>
    <w:lvl w:ilvl="0" w:tplc="0813000F">
      <w:start w:val="1"/>
      <w:numFmt w:val="decimal"/>
      <w:lvlText w:val="%1."/>
      <w:lvlJc w:val="left"/>
      <w:pPr>
        <w:ind w:left="1004" w:hanging="360"/>
      </w:pPr>
      <w:rPr>
        <w:rFonts w:cs="Times New Roman"/>
      </w:rPr>
    </w:lvl>
    <w:lvl w:ilvl="1" w:tplc="08130019" w:tentative="1">
      <w:start w:val="1"/>
      <w:numFmt w:val="lowerLetter"/>
      <w:lvlText w:val="%2."/>
      <w:lvlJc w:val="left"/>
      <w:pPr>
        <w:ind w:left="1724" w:hanging="360"/>
      </w:pPr>
      <w:rPr>
        <w:rFonts w:cs="Times New Roman"/>
      </w:rPr>
    </w:lvl>
    <w:lvl w:ilvl="2" w:tplc="0813001B" w:tentative="1">
      <w:start w:val="1"/>
      <w:numFmt w:val="lowerRoman"/>
      <w:lvlText w:val="%3."/>
      <w:lvlJc w:val="right"/>
      <w:pPr>
        <w:ind w:left="2444" w:hanging="180"/>
      </w:pPr>
      <w:rPr>
        <w:rFonts w:cs="Times New Roman"/>
      </w:rPr>
    </w:lvl>
    <w:lvl w:ilvl="3" w:tplc="0813000F" w:tentative="1">
      <w:start w:val="1"/>
      <w:numFmt w:val="decimal"/>
      <w:lvlText w:val="%4."/>
      <w:lvlJc w:val="left"/>
      <w:pPr>
        <w:ind w:left="3164" w:hanging="360"/>
      </w:pPr>
      <w:rPr>
        <w:rFonts w:cs="Times New Roman"/>
      </w:rPr>
    </w:lvl>
    <w:lvl w:ilvl="4" w:tplc="08130019" w:tentative="1">
      <w:start w:val="1"/>
      <w:numFmt w:val="lowerLetter"/>
      <w:lvlText w:val="%5."/>
      <w:lvlJc w:val="left"/>
      <w:pPr>
        <w:ind w:left="3884" w:hanging="360"/>
      </w:pPr>
      <w:rPr>
        <w:rFonts w:cs="Times New Roman"/>
      </w:rPr>
    </w:lvl>
    <w:lvl w:ilvl="5" w:tplc="0813001B" w:tentative="1">
      <w:start w:val="1"/>
      <w:numFmt w:val="lowerRoman"/>
      <w:lvlText w:val="%6."/>
      <w:lvlJc w:val="right"/>
      <w:pPr>
        <w:ind w:left="4604" w:hanging="180"/>
      </w:pPr>
      <w:rPr>
        <w:rFonts w:cs="Times New Roman"/>
      </w:rPr>
    </w:lvl>
    <w:lvl w:ilvl="6" w:tplc="0813000F" w:tentative="1">
      <w:start w:val="1"/>
      <w:numFmt w:val="decimal"/>
      <w:lvlText w:val="%7."/>
      <w:lvlJc w:val="left"/>
      <w:pPr>
        <w:ind w:left="5324" w:hanging="360"/>
      </w:pPr>
      <w:rPr>
        <w:rFonts w:cs="Times New Roman"/>
      </w:rPr>
    </w:lvl>
    <w:lvl w:ilvl="7" w:tplc="08130019" w:tentative="1">
      <w:start w:val="1"/>
      <w:numFmt w:val="lowerLetter"/>
      <w:lvlText w:val="%8."/>
      <w:lvlJc w:val="left"/>
      <w:pPr>
        <w:ind w:left="6044" w:hanging="360"/>
      </w:pPr>
      <w:rPr>
        <w:rFonts w:cs="Times New Roman"/>
      </w:rPr>
    </w:lvl>
    <w:lvl w:ilvl="8" w:tplc="0813001B" w:tentative="1">
      <w:start w:val="1"/>
      <w:numFmt w:val="lowerRoman"/>
      <w:lvlText w:val="%9."/>
      <w:lvlJc w:val="right"/>
      <w:pPr>
        <w:ind w:left="6764" w:hanging="180"/>
      </w:pPr>
      <w:rPr>
        <w:rFonts w:cs="Times New Roman"/>
      </w:rPr>
    </w:lvl>
  </w:abstractNum>
  <w:abstractNum w:abstractNumId="22">
    <w:nsid w:val="4ED226B0"/>
    <w:multiLevelType w:val="multilevel"/>
    <w:tmpl w:val="CCCEB9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7B50DC7"/>
    <w:multiLevelType w:val="hybridMultilevel"/>
    <w:tmpl w:val="49B4E4FA"/>
    <w:lvl w:ilvl="0" w:tplc="0413000F">
      <w:start w:val="1"/>
      <w:numFmt w:val="decimal"/>
      <w:lvlText w:val="%1."/>
      <w:lvlJc w:val="left"/>
      <w:pPr>
        <w:tabs>
          <w:tab w:val="num" w:pos="360"/>
        </w:tabs>
        <w:ind w:left="360" w:hanging="360"/>
      </w:pPr>
      <w:rPr>
        <w:rFonts w:cs="Times New Roman"/>
      </w:rPr>
    </w:lvl>
    <w:lvl w:ilvl="1" w:tplc="0413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4">
    <w:nsid w:val="59281335"/>
    <w:multiLevelType w:val="hybridMultilevel"/>
    <w:tmpl w:val="01D223D6"/>
    <w:lvl w:ilvl="0" w:tplc="9ABCA202">
      <w:numFmt w:val="bullet"/>
      <w:lvlText w:val="-"/>
      <w:lvlJc w:val="left"/>
      <w:pPr>
        <w:tabs>
          <w:tab w:val="num" w:pos="927"/>
        </w:tabs>
        <w:ind w:left="927" w:hanging="360"/>
      </w:pPr>
      <w:rPr>
        <w:rFonts w:ascii="Verdana" w:eastAsia="Times New Roman" w:hAnsi="Verdana"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nsid w:val="5BC902B3"/>
    <w:multiLevelType w:val="hybridMultilevel"/>
    <w:tmpl w:val="8552220E"/>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6">
    <w:nsid w:val="5FAA5293"/>
    <w:multiLevelType w:val="hybridMultilevel"/>
    <w:tmpl w:val="3BD4C41C"/>
    <w:lvl w:ilvl="0" w:tplc="485EA6A2">
      <w:start w:val="1"/>
      <w:numFmt w:val="upperRoman"/>
      <w:lvlText w:val="%1."/>
      <w:lvlJc w:val="left"/>
      <w:pPr>
        <w:tabs>
          <w:tab w:val="num" w:pos="454"/>
        </w:tabs>
        <w:ind w:left="454" w:hanging="454"/>
      </w:pPr>
      <w:rPr>
        <w:rFonts w:ascii="Arial" w:hAnsi="Arial" w:cs="Times New Roman" w:hint="default"/>
        <w:b/>
        <w:i w:val="0"/>
        <w:sz w:val="26"/>
      </w:rPr>
    </w:lvl>
    <w:lvl w:ilvl="1" w:tplc="F02ECB00">
      <w:start w:val="1"/>
      <w:numFmt w:val="decimal"/>
      <w:lvlText w:val="%2."/>
      <w:lvlJc w:val="left"/>
      <w:pPr>
        <w:tabs>
          <w:tab w:val="num" w:pos="454"/>
        </w:tabs>
        <w:ind w:left="454" w:hanging="454"/>
      </w:pPr>
      <w:rPr>
        <w:rFonts w:ascii="Arial" w:hAnsi="Arial" w:cs="Times New Roman" w:hint="default"/>
        <w:b w:val="0"/>
        <w:i w:val="0"/>
        <w:sz w:val="22"/>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60D10044"/>
    <w:multiLevelType w:val="hybridMultilevel"/>
    <w:tmpl w:val="94A278EE"/>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8">
    <w:nsid w:val="65DE4474"/>
    <w:multiLevelType w:val="hybridMultilevel"/>
    <w:tmpl w:val="E38AB3DE"/>
    <w:lvl w:ilvl="0" w:tplc="0413000F">
      <w:start w:val="6"/>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6EC0116C"/>
    <w:multiLevelType w:val="hybridMultilevel"/>
    <w:tmpl w:val="1918265C"/>
    <w:lvl w:ilvl="0" w:tplc="0813000F">
      <w:start w:val="1"/>
      <w:numFmt w:val="decimal"/>
      <w:lvlText w:val="%1."/>
      <w:lvlJc w:val="left"/>
      <w:pPr>
        <w:ind w:left="360" w:hanging="360"/>
      </w:pPr>
      <w:rPr>
        <w:rFonts w:cs="Times New Roman"/>
      </w:rPr>
    </w:lvl>
    <w:lvl w:ilvl="1" w:tplc="516646B2">
      <w:numFmt w:val="bullet"/>
      <w:lvlText w:val="-"/>
      <w:lvlJc w:val="left"/>
      <w:pPr>
        <w:tabs>
          <w:tab w:val="num" w:pos="1080"/>
        </w:tabs>
        <w:ind w:left="1080" w:hanging="360"/>
      </w:pPr>
      <w:rPr>
        <w:rFonts w:ascii="Arial" w:eastAsia="Times New Roman" w:hAnsi="Arial" w:hint="default"/>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10"/>
  </w:num>
  <w:num w:numId="2">
    <w:abstractNumId w:val="11"/>
  </w:num>
  <w:num w:numId="3">
    <w:abstractNumId w:val="29"/>
  </w:num>
  <w:num w:numId="4">
    <w:abstractNumId w:val="2"/>
  </w:num>
  <w:num w:numId="5">
    <w:abstractNumId w:val="5"/>
  </w:num>
  <w:num w:numId="6">
    <w:abstractNumId w:val="26"/>
  </w:num>
  <w:num w:numId="7">
    <w:abstractNumId w:val="24"/>
  </w:num>
  <w:num w:numId="8">
    <w:abstractNumId w:val="12"/>
  </w:num>
  <w:num w:numId="9">
    <w:abstractNumId w:val="1"/>
  </w:num>
  <w:num w:numId="10">
    <w:abstractNumId w:val="3"/>
  </w:num>
  <w:num w:numId="11">
    <w:abstractNumId w:val="9"/>
  </w:num>
  <w:num w:numId="12">
    <w:abstractNumId w:val="4"/>
  </w:num>
  <w:num w:numId="13">
    <w:abstractNumId w:val="13"/>
  </w:num>
  <w:num w:numId="14">
    <w:abstractNumId w:val="14"/>
  </w:num>
  <w:num w:numId="15">
    <w:abstractNumId w:val="22"/>
  </w:num>
  <w:num w:numId="16">
    <w:abstractNumId w:val="28"/>
  </w:num>
  <w:num w:numId="17">
    <w:abstractNumId w:val="8"/>
  </w:num>
  <w:num w:numId="18">
    <w:abstractNumId w:val="19"/>
  </w:num>
  <w:num w:numId="19">
    <w:abstractNumId w:val="23"/>
  </w:num>
  <w:num w:numId="20">
    <w:abstractNumId w:val="15"/>
  </w:num>
  <w:num w:numId="21">
    <w:abstractNumId w:val="7"/>
  </w:num>
  <w:num w:numId="22">
    <w:abstractNumId w:val="6"/>
  </w:num>
  <w:num w:numId="23">
    <w:abstractNumId w:val="18"/>
  </w:num>
  <w:num w:numId="24">
    <w:abstractNumId w:val="25"/>
  </w:num>
  <w:num w:numId="25">
    <w:abstractNumId w:val="17"/>
  </w:num>
  <w:num w:numId="26">
    <w:abstractNumId w:val="27"/>
  </w:num>
  <w:num w:numId="27">
    <w:abstractNumId w:val="21"/>
  </w:num>
  <w:num w:numId="28">
    <w:abstractNumId w:val="1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4A0"/>
    <w:rsid w:val="000014D9"/>
    <w:rsid w:val="00001C82"/>
    <w:rsid w:val="00010EBC"/>
    <w:rsid w:val="000152D5"/>
    <w:rsid w:val="00024075"/>
    <w:rsid w:val="000266C5"/>
    <w:rsid w:val="00026BE6"/>
    <w:rsid w:val="00036F4F"/>
    <w:rsid w:val="00040B14"/>
    <w:rsid w:val="00044874"/>
    <w:rsid w:val="00047A45"/>
    <w:rsid w:val="0005236C"/>
    <w:rsid w:val="00056988"/>
    <w:rsid w:val="00062FFB"/>
    <w:rsid w:val="00064F8A"/>
    <w:rsid w:val="00065529"/>
    <w:rsid w:val="00072457"/>
    <w:rsid w:val="00075EB4"/>
    <w:rsid w:val="00077665"/>
    <w:rsid w:val="00077E4A"/>
    <w:rsid w:val="00077EDB"/>
    <w:rsid w:val="000800E7"/>
    <w:rsid w:val="00080BE7"/>
    <w:rsid w:val="00085337"/>
    <w:rsid w:val="0009630A"/>
    <w:rsid w:val="000A2CF5"/>
    <w:rsid w:val="000A3F88"/>
    <w:rsid w:val="000A7E10"/>
    <w:rsid w:val="000B2322"/>
    <w:rsid w:val="000B771A"/>
    <w:rsid w:val="000C1060"/>
    <w:rsid w:val="000D4AE2"/>
    <w:rsid w:val="000D5486"/>
    <w:rsid w:val="000E0431"/>
    <w:rsid w:val="000E1257"/>
    <w:rsid w:val="000F1488"/>
    <w:rsid w:val="000F2BC1"/>
    <w:rsid w:val="001070AF"/>
    <w:rsid w:val="0010725F"/>
    <w:rsid w:val="001076C6"/>
    <w:rsid w:val="00110E43"/>
    <w:rsid w:val="001120CA"/>
    <w:rsid w:val="001138DB"/>
    <w:rsid w:val="00114B84"/>
    <w:rsid w:val="001202AA"/>
    <w:rsid w:val="00124AFE"/>
    <w:rsid w:val="00126B21"/>
    <w:rsid w:val="00135503"/>
    <w:rsid w:val="001512EB"/>
    <w:rsid w:val="001514DE"/>
    <w:rsid w:val="0015384E"/>
    <w:rsid w:val="001555C5"/>
    <w:rsid w:val="001563B4"/>
    <w:rsid w:val="001618C4"/>
    <w:rsid w:val="001662D5"/>
    <w:rsid w:val="00170F59"/>
    <w:rsid w:val="00174839"/>
    <w:rsid w:val="00177ADD"/>
    <w:rsid w:val="001815D8"/>
    <w:rsid w:val="00183076"/>
    <w:rsid w:val="001914EE"/>
    <w:rsid w:val="00192147"/>
    <w:rsid w:val="0019251F"/>
    <w:rsid w:val="0019747B"/>
    <w:rsid w:val="001A1987"/>
    <w:rsid w:val="001A5337"/>
    <w:rsid w:val="001A7BA2"/>
    <w:rsid w:val="001A7C18"/>
    <w:rsid w:val="001C5A7E"/>
    <w:rsid w:val="001D392E"/>
    <w:rsid w:val="001D3E83"/>
    <w:rsid w:val="001D4594"/>
    <w:rsid w:val="001D4B35"/>
    <w:rsid w:val="001D57FD"/>
    <w:rsid w:val="001D7BD3"/>
    <w:rsid w:val="001E2A12"/>
    <w:rsid w:val="001E744B"/>
    <w:rsid w:val="001F473A"/>
    <w:rsid w:val="001F792C"/>
    <w:rsid w:val="0021148A"/>
    <w:rsid w:val="00213292"/>
    <w:rsid w:val="002134D6"/>
    <w:rsid w:val="00214228"/>
    <w:rsid w:val="0021436C"/>
    <w:rsid w:val="002148CD"/>
    <w:rsid w:val="00214E6D"/>
    <w:rsid w:val="00215874"/>
    <w:rsid w:val="002200B6"/>
    <w:rsid w:val="00220A79"/>
    <w:rsid w:val="00220DAC"/>
    <w:rsid w:val="00226A2F"/>
    <w:rsid w:val="00226ABA"/>
    <w:rsid w:val="002271F0"/>
    <w:rsid w:val="00234ACB"/>
    <w:rsid w:val="00245485"/>
    <w:rsid w:val="00254503"/>
    <w:rsid w:val="00255A69"/>
    <w:rsid w:val="002576B5"/>
    <w:rsid w:val="00260410"/>
    <w:rsid w:val="00264673"/>
    <w:rsid w:val="0026611C"/>
    <w:rsid w:val="002665BC"/>
    <w:rsid w:val="0027114E"/>
    <w:rsid w:val="00271CDD"/>
    <w:rsid w:val="0028200E"/>
    <w:rsid w:val="0028563A"/>
    <w:rsid w:val="002873E6"/>
    <w:rsid w:val="002911B9"/>
    <w:rsid w:val="00294E57"/>
    <w:rsid w:val="00296BFC"/>
    <w:rsid w:val="002A119A"/>
    <w:rsid w:val="002A6316"/>
    <w:rsid w:val="002B4C64"/>
    <w:rsid w:val="002B4F36"/>
    <w:rsid w:val="002C00B4"/>
    <w:rsid w:val="002C0E95"/>
    <w:rsid w:val="002C2A56"/>
    <w:rsid w:val="002C49DB"/>
    <w:rsid w:val="002C6EFE"/>
    <w:rsid w:val="002D242A"/>
    <w:rsid w:val="002D3438"/>
    <w:rsid w:val="002D47B7"/>
    <w:rsid w:val="002D7C08"/>
    <w:rsid w:val="002D7DF9"/>
    <w:rsid w:val="002E02C1"/>
    <w:rsid w:val="002E067E"/>
    <w:rsid w:val="002E114D"/>
    <w:rsid w:val="002E6E2C"/>
    <w:rsid w:val="002F10AE"/>
    <w:rsid w:val="002F3FA8"/>
    <w:rsid w:val="00301A1D"/>
    <w:rsid w:val="00302094"/>
    <w:rsid w:val="00303381"/>
    <w:rsid w:val="00330660"/>
    <w:rsid w:val="00335BC1"/>
    <w:rsid w:val="00343734"/>
    <w:rsid w:val="003556D4"/>
    <w:rsid w:val="00355F87"/>
    <w:rsid w:val="00357BF2"/>
    <w:rsid w:val="00361FD5"/>
    <w:rsid w:val="00372934"/>
    <w:rsid w:val="00372ACC"/>
    <w:rsid w:val="0037307B"/>
    <w:rsid w:val="00376784"/>
    <w:rsid w:val="00377043"/>
    <w:rsid w:val="00381A47"/>
    <w:rsid w:val="00382CFA"/>
    <w:rsid w:val="003862A7"/>
    <w:rsid w:val="003940B6"/>
    <w:rsid w:val="00394767"/>
    <w:rsid w:val="003A0A79"/>
    <w:rsid w:val="003A6AAB"/>
    <w:rsid w:val="003B3B1A"/>
    <w:rsid w:val="003B5710"/>
    <w:rsid w:val="003C19BE"/>
    <w:rsid w:val="003C4D5A"/>
    <w:rsid w:val="003D5B86"/>
    <w:rsid w:val="003D753C"/>
    <w:rsid w:val="003D7AC8"/>
    <w:rsid w:val="003E32E8"/>
    <w:rsid w:val="003E6D77"/>
    <w:rsid w:val="003E7449"/>
    <w:rsid w:val="003F0F92"/>
    <w:rsid w:val="003F1613"/>
    <w:rsid w:val="003F1625"/>
    <w:rsid w:val="003F4A68"/>
    <w:rsid w:val="00401570"/>
    <w:rsid w:val="00403B43"/>
    <w:rsid w:val="00403D93"/>
    <w:rsid w:val="004118D5"/>
    <w:rsid w:val="004140D5"/>
    <w:rsid w:val="0041428D"/>
    <w:rsid w:val="0042015F"/>
    <w:rsid w:val="00426C0A"/>
    <w:rsid w:val="00426DB0"/>
    <w:rsid w:val="0043252C"/>
    <w:rsid w:val="0043427D"/>
    <w:rsid w:val="00441B05"/>
    <w:rsid w:val="004426C8"/>
    <w:rsid w:val="004445CD"/>
    <w:rsid w:val="00445DF2"/>
    <w:rsid w:val="0044646C"/>
    <w:rsid w:val="004471FA"/>
    <w:rsid w:val="004526B6"/>
    <w:rsid w:val="00456315"/>
    <w:rsid w:val="0046481F"/>
    <w:rsid w:val="004747A1"/>
    <w:rsid w:val="00480234"/>
    <w:rsid w:val="00481B69"/>
    <w:rsid w:val="00484FAF"/>
    <w:rsid w:val="00491186"/>
    <w:rsid w:val="00492BE7"/>
    <w:rsid w:val="00496797"/>
    <w:rsid w:val="0049683C"/>
    <w:rsid w:val="00497269"/>
    <w:rsid w:val="004A0732"/>
    <w:rsid w:val="004A1C18"/>
    <w:rsid w:val="004B0A46"/>
    <w:rsid w:val="004B4A59"/>
    <w:rsid w:val="004C0D12"/>
    <w:rsid w:val="004C0E87"/>
    <w:rsid w:val="004C41C3"/>
    <w:rsid w:val="004C5503"/>
    <w:rsid w:val="004C7932"/>
    <w:rsid w:val="004D5F55"/>
    <w:rsid w:val="004E7733"/>
    <w:rsid w:val="00505E0C"/>
    <w:rsid w:val="005135BC"/>
    <w:rsid w:val="00516E70"/>
    <w:rsid w:val="00524040"/>
    <w:rsid w:val="00531DC3"/>
    <w:rsid w:val="00541229"/>
    <w:rsid w:val="005444F5"/>
    <w:rsid w:val="00547D50"/>
    <w:rsid w:val="005550AD"/>
    <w:rsid w:val="00560F06"/>
    <w:rsid w:val="00573CBE"/>
    <w:rsid w:val="005768E2"/>
    <w:rsid w:val="00587C9E"/>
    <w:rsid w:val="0059438C"/>
    <w:rsid w:val="00596203"/>
    <w:rsid w:val="00596E46"/>
    <w:rsid w:val="005A25A6"/>
    <w:rsid w:val="005A647E"/>
    <w:rsid w:val="005A73C3"/>
    <w:rsid w:val="005B5FD6"/>
    <w:rsid w:val="005C05D9"/>
    <w:rsid w:val="005C3176"/>
    <w:rsid w:val="005C7628"/>
    <w:rsid w:val="005D134D"/>
    <w:rsid w:val="005D5592"/>
    <w:rsid w:val="005E078E"/>
    <w:rsid w:val="005E2ECC"/>
    <w:rsid w:val="005E3FF8"/>
    <w:rsid w:val="005E6890"/>
    <w:rsid w:val="005F257B"/>
    <w:rsid w:val="005F6335"/>
    <w:rsid w:val="005F63DB"/>
    <w:rsid w:val="005F741A"/>
    <w:rsid w:val="0060717B"/>
    <w:rsid w:val="0060792C"/>
    <w:rsid w:val="00611AD6"/>
    <w:rsid w:val="00613B99"/>
    <w:rsid w:val="00616CE3"/>
    <w:rsid w:val="0061730D"/>
    <w:rsid w:val="006333A4"/>
    <w:rsid w:val="00633E69"/>
    <w:rsid w:val="00636B79"/>
    <w:rsid w:val="00647498"/>
    <w:rsid w:val="00651DF5"/>
    <w:rsid w:val="00657311"/>
    <w:rsid w:val="006621A1"/>
    <w:rsid w:val="00665062"/>
    <w:rsid w:val="00665CA8"/>
    <w:rsid w:val="00671AE2"/>
    <w:rsid w:val="0067266C"/>
    <w:rsid w:val="0068388E"/>
    <w:rsid w:val="00686EA2"/>
    <w:rsid w:val="00687BEC"/>
    <w:rsid w:val="00697B71"/>
    <w:rsid w:val="00697FD3"/>
    <w:rsid w:val="006A1B6B"/>
    <w:rsid w:val="006A7D68"/>
    <w:rsid w:val="006B4880"/>
    <w:rsid w:val="006B508E"/>
    <w:rsid w:val="006B6625"/>
    <w:rsid w:val="006B71D5"/>
    <w:rsid w:val="006B73BB"/>
    <w:rsid w:val="006C118B"/>
    <w:rsid w:val="006C227F"/>
    <w:rsid w:val="006C3626"/>
    <w:rsid w:val="006C4CBB"/>
    <w:rsid w:val="006D095A"/>
    <w:rsid w:val="006D2015"/>
    <w:rsid w:val="006D3F55"/>
    <w:rsid w:val="006D4CF1"/>
    <w:rsid w:val="006E1D11"/>
    <w:rsid w:val="006E4238"/>
    <w:rsid w:val="006E4976"/>
    <w:rsid w:val="006E6C7C"/>
    <w:rsid w:val="006F3B19"/>
    <w:rsid w:val="006F4AF2"/>
    <w:rsid w:val="006F7DA6"/>
    <w:rsid w:val="00702AA0"/>
    <w:rsid w:val="00706907"/>
    <w:rsid w:val="00710B0E"/>
    <w:rsid w:val="00712AAF"/>
    <w:rsid w:val="00714A08"/>
    <w:rsid w:val="007237D0"/>
    <w:rsid w:val="00730951"/>
    <w:rsid w:val="00731455"/>
    <w:rsid w:val="00732336"/>
    <w:rsid w:val="00733990"/>
    <w:rsid w:val="00734F3D"/>
    <w:rsid w:val="00735454"/>
    <w:rsid w:val="0073606B"/>
    <w:rsid w:val="00744E1F"/>
    <w:rsid w:val="00754076"/>
    <w:rsid w:val="0075551C"/>
    <w:rsid w:val="007578EC"/>
    <w:rsid w:val="00761C82"/>
    <w:rsid w:val="007630CC"/>
    <w:rsid w:val="00770906"/>
    <w:rsid w:val="00773BD9"/>
    <w:rsid w:val="00773C43"/>
    <w:rsid w:val="00773F27"/>
    <w:rsid w:val="007759EF"/>
    <w:rsid w:val="00795C6B"/>
    <w:rsid w:val="007A0AE4"/>
    <w:rsid w:val="007A2943"/>
    <w:rsid w:val="007A2B4B"/>
    <w:rsid w:val="007A66F2"/>
    <w:rsid w:val="007B11AA"/>
    <w:rsid w:val="007B2C24"/>
    <w:rsid w:val="007B67B7"/>
    <w:rsid w:val="007B6B02"/>
    <w:rsid w:val="007C241D"/>
    <w:rsid w:val="007C4110"/>
    <w:rsid w:val="007D0388"/>
    <w:rsid w:val="007D0A1F"/>
    <w:rsid w:val="007D158F"/>
    <w:rsid w:val="007D582F"/>
    <w:rsid w:val="007D593E"/>
    <w:rsid w:val="007D66A9"/>
    <w:rsid w:val="007D6F3C"/>
    <w:rsid w:val="007D788E"/>
    <w:rsid w:val="007E470F"/>
    <w:rsid w:val="007F1569"/>
    <w:rsid w:val="007F2C05"/>
    <w:rsid w:val="007F4A40"/>
    <w:rsid w:val="007F5D17"/>
    <w:rsid w:val="008027AA"/>
    <w:rsid w:val="0080406D"/>
    <w:rsid w:val="00806B7D"/>
    <w:rsid w:val="00826029"/>
    <w:rsid w:val="008278A8"/>
    <w:rsid w:val="00827E85"/>
    <w:rsid w:val="00830C79"/>
    <w:rsid w:val="008320B4"/>
    <w:rsid w:val="00835415"/>
    <w:rsid w:val="00836A52"/>
    <w:rsid w:val="00843631"/>
    <w:rsid w:val="00844CE0"/>
    <w:rsid w:val="0084545E"/>
    <w:rsid w:val="008500E2"/>
    <w:rsid w:val="008529AC"/>
    <w:rsid w:val="00852B11"/>
    <w:rsid w:val="008534CA"/>
    <w:rsid w:val="008549B6"/>
    <w:rsid w:val="0085517C"/>
    <w:rsid w:val="00857B68"/>
    <w:rsid w:val="00865E1E"/>
    <w:rsid w:val="00866E4A"/>
    <w:rsid w:val="00870766"/>
    <w:rsid w:val="00871261"/>
    <w:rsid w:val="0087478B"/>
    <w:rsid w:val="0087539B"/>
    <w:rsid w:val="00876ABB"/>
    <w:rsid w:val="00877003"/>
    <w:rsid w:val="00880032"/>
    <w:rsid w:val="008806EE"/>
    <w:rsid w:val="00881552"/>
    <w:rsid w:val="0088461A"/>
    <w:rsid w:val="008928E6"/>
    <w:rsid w:val="00895A90"/>
    <w:rsid w:val="008A1162"/>
    <w:rsid w:val="008B22EA"/>
    <w:rsid w:val="008C1991"/>
    <w:rsid w:val="008C635D"/>
    <w:rsid w:val="008D0F58"/>
    <w:rsid w:val="008D5308"/>
    <w:rsid w:val="008D72EF"/>
    <w:rsid w:val="008E1557"/>
    <w:rsid w:val="008E2040"/>
    <w:rsid w:val="008E5BD1"/>
    <w:rsid w:val="008E6D98"/>
    <w:rsid w:val="008F29C4"/>
    <w:rsid w:val="008F4021"/>
    <w:rsid w:val="008F4769"/>
    <w:rsid w:val="008F7141"/>
    <w:rsid w:val="00904B9A"/>
    <w:rsid w:val="009060FD"/>
    <w:rsid w:val="00906881"/>
    <w:rsid w:val="00912D30"/>
    <w:rsid w:val="00915C9E"/>
    <w:rsid w:val="009207D1"/>
    <w:rsid w:val="00921ECF"/>
    <w:rsid w:val="00922C66"/>
    <w:rsid w:val="00924CEF"/>
    <w:rsid w:val="0092558B"/>
    <w:rsid w:val="00927876"/>
    <w:rsid w:val="009319D9"/>
    <w:rsid w:val="00932F53"/>
    <w:rsid w:val="009347FC"/>
    <w:rsid w:val="0093520F"/>
    <w:rsid w:val="00943A64"/>
    <w:rsid w:val="00945C6C"/>
    <w:rsid w:val="00950CA5"/>
    <w:rsid w:val="0095319B"/>
    <w:rsid w:val="009556DB"/>
    <w:rsid w:val="00956ADB"/>
    <w:rsid w:val="00960C1D"/>
    <w:rsid w:val="0096439F"/>
    <w:rsid w:val="009665B7"/>
    <w:rsid w:val="00972FBD"/>
    <w:rsid w:val="00982AD0"/>
    <w:rsid w:val="00984353"/>
    <w:rsid w:val="009917D7"/>
    <w:rsid w:val="00991A69"/>
    <w:rsid w:val="0099667E"/>
    <w:rsid w:val="009A0FD8"/>
    <w:rsid w:val="009A38AD"/>
    <w:rsid w:val="009A4BE9"/>
    <w:rsid w:val="009A58D1"/>
    <w:rsid w:val="009A778C"/>
    <w:rsid w:val="009B0288"/>
    <w:rsid w:val="009B1247"/>
    <w:rsid w:val="009B6BBB"/>
    <w:rsid w:val="009B76EA"/>
    <w:rsid w:val="009C00FE"/>
    <w:rsid w:val="009C1C5D"/>
    <w:rsid w:val="009D417F"/>
    <w:rsid w:val="009D478B"/>
    <w:rsid w:val="009D6635"/>
    <w:rsid w:val="009D6F62"/>
    <w:rsid w:val="009E0B24"/>
    <w:rsid w:val="009E1017"/>
    <w:rsid w:val="009E26E9"/>
    <w:rsid w:val="009E3BAF"/>
    <w:rsid w:val="009E3D1D"/>
    <w:rsid w:val="009E42C6"/>
    <w:rsid w:val="009F0118"/>
    <w:rsid w:val="009F0FB2"/>
    <w:rsid w:val="009F3821"/>
    <w:rsid w:val="009F52D4"/>
    <w:rsid w:val="00A02BDA"/>
    <w:rsid w:val="00A11D87"/>
    <w:rsid w:val="00A14B01"/>
    <w:rsid w:val="00A17C51"/>
    <w:rsid w:val="00A2287B"/>
    <w:rsid w:val="00A23404"/>
    <w:rsid w:val="00A259DB"/>
    <w:rsid w:val="00A25BA0"/>
    <w:rsid w:val="00A26E6B"/>
    <w:rsid w:val="00A27AB4"/>
    <w:rsid w:val="00A329E3"/>
    <w:rsid w:val="00A35B31"/>
    <w:rsid w:val="00A4085C"/>
    <w:rsid w:val="00A40D56"/>
    <w:rsid w:val="00A4135F"/>
    <w:rsid w:val="00A42887"/>
    <w:rsid w:val="00A42E9D"/>
    <w:rsid w:val="00A45E40"/>
    <w:rsid w:val="00A5560A"/>
    <w:rsid w:val="00A5630B"/>
    <w:rsid w:val="00A565AA"/>
    <w:rsid w:val="00A63D22"/>
    <w:rsid w:val="00A6432E"/>
    <w:rsid w:val="00A6568E"/>
    <w:rsid w:val="00A656EC"/>
    <w:rsid w:val="00A67A8C"/>
    <w:rsid w:val="00A83EFE"/>
    <w:rsid w:val="00A943CC"/>
    <w:rsid w:val="00A946BA"/>
    <w:rsid w:val="00AA6A13"/>
    <w:rsid w:val="00AC31E4"/>
    <w:rsid w:val="00AE073F"/>
    <w:rsid w:val="00AE3328"/>
    <w:rsid w:val="00AE5077"/>
    <w:rsid w:val="00AE53F6"/>
    <w:rsid w:val="00AF1652"/>
    <w:rsid w:val="00AF368B"/>
    <w:rsid w:val="00AF3910"/>
    <w:rsid w:val="00AF71F6"/>
    <w:rsid w:val="00AF7DA3"/>
    <w:rsid w:val="00B0067D"/>
    <w:rsid w:val="00B0120F"/>
    <w:rsid w:val="00B013B4"/>
    <w:rsid w:val="00B066AB"/>
    <w:rsid w:val="00B0787A"/>
    <w:rsid w:val="00B07BFB"/>
    <w:rsid w:val="00B13ADD"/>
    <w:rsid w:val="00B16CFB"/>
    <w:rsid w:val="00B20703"/>
    <w:rsid w:val="00B233BC"/>
    <w:rsid w:val="00B334CA"/>
    <w:rsid w:val="00B356C3"/>
    <w:rsid w:val="00B40D1C"/>
    <w:rsid w:val="00B46BC4"/>
    <w:rsid w:val="00B506BE"/>
    <w:rsid w:val="00B506D9"/>
    <w:rsid w:val="00B511AF"/>
    <w:rsid w:val="00B511F8"/>
    <w:rsid w:val="00B52BFC"/>
    <w:rsid w:val="00B52DE1"/>
    <w:rsid w:val="00B53E69"/>
    <w:rsid w:val="00B544A0"/>
    <w:rsid w:val="00B55957"/>
    <w:rsid w:val="00B57AED"/>
    <w:rsid w:val="00B60704"/>
    <w:rsid w:val="00B635B4"/>
    <w:rsid w:val="00B65455"/>
    <w:rsid w:val="00B660A6"/>
    <w:rsid w:val="00B67800"/>
    <w:rsid w:val="00B77361"/>
    <w:rsid w:val="00B8723B"/>
    <w:rsid w:val="00B93773"/>
    <w:rsid w:val="00B971B5"/>
    <w:rsid w:val="00BB2BCB"/>
    <w:rsid w:val="00BC12E8"/>
    <w:rsid w:val="00BC39F2"/>
    <w:rsid w:val="00BC48D9"/>
    <w:rsid w:val="00BD124F"/>
    <w:rsid w:val="00BD5732"/>
    <w:rsid w:val="00BE0CFC"/>
    <w:rsid w:val="00BE157D"/>
    <w:rsid w:val="00BE52F1"/>
    <w:rsid w:val="00BF2330"/>
    <w:rsid w:val="00BF2B91"/>
    <w:rsid w:val="00BF3100"/>
    <w:rsid w:val="00C00ED3"/>
    <w:rsid w:val="00C044F4"/>
    <w:rsid w:val="00C10A52"/>
    <w:rsid w:val="00C1123B"/>
    <w:rsid w:val="00C2024E"/>
    <w:rsid w:val="00C2199B"/>
    <w:rsid w:val="00C261C5"/>
    <w:rsid w:val="00C278E1"/>
    <w:rsid w:val="00C33A43"/>
    <w:rsid w:val="00C3464E"/>
    <w:rsid w:val="00C3579B"/>
    <w:rsid w:val="00C371CD"/>
    <w:rsid w:val="00C37D5F"/>
    <w:rsid w:val="00C42D2F"/>
    <w:rsid w:val="00C44F3A"/>
    <w:rsid w:val="00C4714F"/>
    <w:rsid w:val="00C522E0"/>
    <w:rsid w:val="00C530DC"/>
    <w:rsid w:val="00C6000F"/>
    <w:rsid w:val="00C61D52"/>
    <w:rsid w:val="00C64E1C"/>
    <w:rsid w:val="00C6575D"/>
    <w:rsid w:val="00C7672B"/>
    <w:rsid w:val="00C76AAC"/>
    <w:rsid w:val="00C80C90"/>
    <w:rsid w:val="00C858B9"/>
    <w:rsid w:val="00C90971"/>
    <w:rsid w:val="00C92931"/>
    <w:rsid w:val="00CA4BC6"/>
    <w:rsid w:val="00CA4DEF"/>
    <w:rsid w:val="00CB277B"/>
    <w:rsid w:val="00CB6592"/>
    <w:rsid w:val="00CD18CF"/>
    <w:rsid w:val="00CE39DD"/>
    <w:rsid w:val="00CE477A"/>
    <w:rsid w:val="00CE582E"/>
    <w:rsid w:val="00CE7A62"/>
    <w:rsid w:val="00CF281A"/>
    <w:rsid w:val="00CF3715"/>
    <w:rsid w:val="00D05BC1"/>
    <w:rsid w:val="00D0710D"/>
    <w:rsid w:val="00D12B24"/>
    <w:rsid w:val="00D15A4C"/>
    <w:rsid w:val="00D20072"/>
    <w:rsid w:val="00D245B7"/>
    <w:rsid w:val="00D25555"/>
    <w:rsid w:val="00D271EE"/>
    <w:rsid w:val="00D27AD1"/>
    <w:rsid w:val="00D32019"/>
    <w:rsid w:val="00D343AC"/>
    <w:rsid w:val="00D40F2D"/>
    <w:rsid w:val="00D42BAB"/>
    <w:rsid w:val="00D4429F"/>
    <w:rsid w:val="00D44E45"/>
    <w:rsid w:val="00D46424"/>
    <w:rsid w:val="00D53E69"/>
    <w:rsid w:val="00D54DB2"/>
    <w:rsid w:val="00D62346"/>
    <w:rsid w:val="00D63CA2"/>
    <w:rsid w:val="00D6696F"/>
    <w:rsid w:val="00D675EC"/>
    <w:rsid w:val="00D70C5E"/>
    <w:rsid w:val="00D870BC"/>
    <w:rsid w:val="00D96C15"/>
    <w:rsid w:val="00DA2A4F"/>
    <w:rsid w:val="00DC02B9"/>
    <w:rsid w:val="00DC4A3D"/>
    <w:rsid w:val="00DD0A08"/>
    <w:rsid w:val="00DD3870"/>
    <w:rsid w:val="00DD4A61"/>
    <w:rsid w:val="00DD5F65"/>
    <w:rsid w:val="00DE03ED"/>
    <w:rsid w:val="00DE0933"/>
    <w:rsid w:val="00DE1058"/>
    <w:rsid w:val="00DE173D"/>
    <w:rsid w:val="00DE2FF8"/>
    <w:rsid w:val="00DF69B1"/>
    <w:rsid w:val="00E01EE6"/>
    <w:rsid w:val="00E026EC"/>
    <w:rsid w:val="00E06018"/>
    <w:rsid w:val="00E13C1D"/>
    <w:rsid w:val="00E20B24"/>
    <w:rsid w:val="00E261C5"/>
    <w:rsid w:val="00E337E2"/>
    <w:rsid w:val="00E409C1"/>
    <w:rsid w:val="00E44792"/>
    <w:rsid w:val="00E4728E"/>
    <w:rsid w:val="00E50B34"/>
    <w:rsid w:val="00E519A4"/>
    <w:rsid w:val="00E52E4E"/>
    <w:rsid w:val="00E53F58"/>
    <w:rsid w:val="00E549FD"/>
    <w:rsid w:val="00E55EDF"/>
    <w:rsid w:val="00E56F41"/>
    <w:rsid w:val="00E57B50"/>
    <w:rsid w:val="00E602BE"/>
    <w:rsid w:val="00E71D6C"/>
    <w:rsid w:val="00E7552B"/>
    <w:rsid w:val="00E80ACE"/>
    <w:rsid w:val="00E81A24"/>
    <w:rsid w:val="00E87E71"/>
    <w:rsid w:val="00EA0949"/>
    <w:rsid w:val="00EA2582"/>
    <w:rsid w:val="00EA4373"/>
    <w:rsid w:val="00EA6E3D"/>
    <w:rsid w:val="00EA7014"/>
    <w:rsid w:val="00EB08A2"/>
    <w:rsid w:val="00EB2764"/>
    <w:rsid w:val="00EB2FBE"/>
    <w:rsid w:val="00EB46F8"/>
    <w:rsid w:val="00ED0473"/>
    <w:rsid w:val="00ED2CE5"/>
    <w:rsid w:val="00ED60EA"/>
    <w:rsid w:val="00EE382F"/>
    <w:rsid w:val="00EE7CC2"/>
    <w:rsid w:val="00EF0CE4"/>
    <w:rsid w:val="00EF137D"/>
    <w:rsid w:val="00EF3799"/>
    <w:rsid w:val="00EF51C3"/>
    <w:rsid w:val="00EF7FEB"/>
    <w:rsid w:val="00F009C7"/>
    <w:rsid w:val="00F06314"/>
    <w:rsid w:val="00F0730B"/>
    <w:rsid w:val="00F101C5"/>
    <w:rsid w:val="00F11699"/>
    <w:rsid w:val="00F1462F"/>
    <w:rsid w:val="00F17B83"/>
    <w:rsid w:val="00F3282B"/>
    <w:rsid w:val="00F33679"/>
    <w:rsid w:val="00F373BB"/>
    <w:rsid w:val="00F46232"/>
    <w:rsid w:val="00F50240"/>
    <w:rsid w:val="00F532D7"/>
    <w:rsid w:val="00F63808"/>
    <w:rsid w:val="00F63E10"/>
    <w:rsid w:val="00F7138C"/>
    <w:rsid w:val="00F72837"/>
    <w:rsid w:val="00F72BFC"/>
    <w:rsid w:val="00F72F22"/>
    <w:rsid w:val="00F72F71"/>
    <w:rsid w:val="00F734E3"/>
    <w:rsid w:val="00F75DEB"/>
    <w:rsid w:val="00F83A3B"/>
    <w:rsid w:val="00F85EE8"/>
    <w:rsid w:val="00F8631C"/>
    <w:rsid w:val="00F9210B"/>
    <w:rsid w:val="00F92BC5"/>
    <w:rsid w:val="00FA0CD3"/>
    <w:rsid w:val="00FA390F"/>
    <w:rsid w:val="00FA7C02"/>
    <w:rsid w:val="00FB477F"/>
    <w:rsid w:val="00FB4D92"/>
    <w:rsid w:val="00FB5EF6"/>
    <w:rsid w:val="00FB77E8"/>
    <w:rsid w:val="00FD479F"/>
    <w:rsid w:val="00FD6A47"/>
    <w:rsid w:val="00FE0394"/>
    <w:rsid w:val="00FF30D6"/>
    <w:rsid w:val="00FF3AF7"/>
    <w:rsid w:val="00FF5E6F"/>
    <w:rsid w:val="00FF75F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86"/>
    <w:rPr>
      <w:sz w:val="20"/>
      <w:szCs w:val="20"/>
      <w:lang w:val="nl-NL" w:eastAsia="nl-NL"/>
    </w:rPr>
  </w:style>
  <w:style w:type="paragraph" w:styleId="Heading1">
    <w:name w:val="heading 1"/>
    <w:basedOn w:val="Normal"/>
    <w:next w:val="Normal"/>
    <w:link w:val="Heading1Char"/>
    <w:uiPriority w:val="99"/>
    <w:qFormat/>
    <w:rsid w:val="00CE582E"/>
    <w:pPr>
      <w:keepNext/>
      <w:outlineLvl w:val="0"/>
    </w:pPr>
    <w:rPr>
      <w:b/>
      <w:bCs/>
      <w:sz w:val="24"/>
      <w:szCs w:val="24"/>
      <w:lang w:val="nl-BE"/>
    </w:rPr>
  </w:style>
  <w:style w:type="paragraph" w:styleId="Heading3">
    <w:name w:val="heading 3"/>
    <w:basedOn w:val="Normal"/>
    <w:next w:val="Normal"/>
    <w:link w:val="Heading3Char"/>
    <w:uiPriority w:val="99"/>
    <w:qFormat/>
    <w:rsid w:val="0013550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296"/>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sid w:val="00701296"/>
    <w:rPr>
      <w:rFonts w:asciiTheme="majorHAnsi" w:eastAsiaTheme="majorEastAsia" w:hAnsiTheme="majorHAnsi" w:cstheme="majorBidi"/>
      <w:b/>
      <w:bCs/>
      <w:sz w:val="26"/>
      <w:szCs w:val="26"/>
      <w:lang w:val="nl-NL" w:eastAsia="nl-NL"/>
    </w:rPr>
  </w:style>
  <w:style w:type="paragraph" w:customStyle="1" w:styleId="A-TitelMinister">
    <w:name w:val="A-TitelMinister"/>
    <w:basedOn w:val="Normal"/>
    <w:uiPriority w:val="99"/>
    <w:rsid w:val="009060FD"/>
    <w:rPr>
      <w:smallCaps/>
      <w:sz w:val="24"/>
      <w:lang w:val="nl-BE"/>
    </w:rPr>
  </w:style>
  <w:style w:type="paragraph" w:customStyle="1" w:styleId="A-NaamMinister">
    <w:name w:val="A-NaamMinister"/>
    <w:basedOn w:val="Normal"/>
    <w:uiPriority w:val="99"/>
    <w:rsid w:val="009060FD"/>
    <w:rPr>
      <w:b/>
      <w:smallCaps/>
      <w:sz w:val="22"/>
      <w:lang w:val="nl-BE"/>
    </w:rPr>
  </w:style>
  <w:style w:type="paragraph" w:customStyle="1" w:styleId="A-Lijn">
    <w:name w:val="A-Lijn"/>
    <w:basedOn w:val="Normal"/>
    <w:uiPriority w:val="99"/>
    <w:rsid w:val="009060FD"/>
    <w:pPr>
      <w:pBdr>
        <w:top w:val="single" w:sz="4" w:space="1" w:color="auto"/>
      </w:pBdr>
    </w:pPr>
    <w:rPr>
      <w:smallCaps/>
      <w:sz w:val="22"/>
      <w:lang w:val="nl-BE"/>
    </w:rPr>
  </w:style>
  <w:style w:type="paragraph" w:customStyle="1" w:styleId="A-Type">
    <w:name w:val="A-Type"/>
    <w:link w:val="A-TypeChar"/>
    <w:uiPriority w:val="99"/>
    <w:rsid w:val="009060FD"/>
    <w:rPr>
      <w:b/>
      <w:smallCaps/>
      <w:szCs w:val="20"/>
      <w:lang w:eastAsia="nl-NL"/>
    </w:rPr>
  </w:style>
  <w:style w:type="character" w:customStyle="1" w:styleId="AntwoordNaamMinisterChar">
    <w:name w:val="AntwoordNaamMinister Char"/>
    <w:basedOn w:val="DefaultParagraphFont"/>
    <w:uiPriority w:val="99"/>
    <w:rsid w:val="009060FD"/>
    <w:rPr>
      <w:rFonts w:cs="Times New Roman"/>
      <w:b/>
      <w:smallCaps/>
      <w:sz w:val="24"/>
      <w:szCs w:val="24"/>
      <w:lang w:val="nl-BE" w:eastAsia="nl-NL" w:bidi="ar-SA"/>
    </w:rPr>
  </w:style>
  <w:style w:type="paragraph" w:styleId="BodyText">
    <w:name w:val="Body Text"/>
    <w:basedOn w:val="Normal"/>
    <w:link w:val="BodyTextChar"/>
    <w:uiPriority w:val="99"/>
    <w:rsid w:val="009060FD"/>
    <w:rPr>
      <w:rFonts w:ascii="Courier New" w:hAnsi="Courier New"/>
      <w:sz w:val="24"/>
    </w:rPr>
  </w:style>
  <w:style w:type="character" w:customStyle="1" w:styleId="BodyTextChar">
    <w:name w:val="Body Text Char"/>
    <w:basedOn w:val="DefaultParagraphFont"/>
    <w:link w:val="BodyText"/>
    <w:uiPriority w:val="99"/>
    <w:semiHidden/>
    <w:rsid w:val="00701296"/>
    <w:rPr>
      <w:sz w:val="20"/>
      <w:szCs w:val="20"/>
      <w:lang w:val="nl-NL" w:eastAsia="nl-NL"/>
    </w:rPr>
  </w:style>
  <w:style w:type="paragraph" w:styleId="BodyTextIndent">
    <w:name w:val="Body Text Indent"/>
    <w:basedOn w:val="Normal"/>
    <w:link w:val="BodyTextIndentChar"/>
    <w:uiPriority w:val="99"/>
    <w:rsid w:val="009060FD"/>
    <w:pPr>
      <w:ind w:left="709"/>
    </w:pPr>
    <w:rPr>
      <w:sz w:val="24"/>
    </w:rPr>
  </w:style>
  <w:style w:type="character" w:customStyle="1" w:styleId="BodyTextIndentChar">
    <w:name w:val="Body Text Indent Char"/>
    <w:basedOn w:val="DefaultParagraphFont"/>
    <w:link w:val="BodyTextIndent"/>
    <w:uiPriority w:val="99"/>
    <w:semiHidden/>
    <w:rsid w:val="00701296"/>
    <w:rPr>
      <w:sz w:val="20"/>
      <w:szCs w:val="20"/>
      <w:lang w:val="nl-NL" w:eastAsia="nl-NL"/>
    </w:rPr>
  </w:style>
  <w:style w:type="paragraph" w:customStyle="1" w:styleId="Rt6">
    <w:name w:val="Rt6"/>
    <w:basedOn w:val="Normal"/>
    <w:uiPriority w:val="99"/>
    <w:rsid w:val="008F4769"/>
    <w:pPr>
      <w:numPr>
        <w:numId w:val="1"/>
      </w:numPr>
      <w:spacing w:line="360" w:lineRule="auto"/>
      <w:jc w:val="both"/>
    </w:pPr>
    <w:rPr>
      <w:rFonts w:ascii="Optima" w:hAnsi="Optima"/>
      <w:szCs w:val="16"/>
      <w:lang w:val="en-GB"/>
    </w:rPr>
  </w:style>
  <w:style w:type="paragraph" w:styleId="FootnoteText">
    <w:name w:val="footnote text"/>
    <w:basedOn w:val="Normal"/>
    <w:link w:val="FootnoteTextChar"/>
    <w:autoRedefine/>
    <w:uiPriority w:val="99"/>
    <w:semiHidden/>
    <w:rsid w:val="009556DB"/>
    <w:pPr>
      <w:jc w:val="both"/>
    </w:pPr>
    <w:rPr>
      <w:rFonts w:ascii="Optima" w:hAnsi="Optima"/>
      <w:sz w:val="18"/>
      <w:lang w:val="nl-BE"/>
    </w:rPr>
  </w:style>
  <w:style w:type="character" w:customStyle="1" w:styleId="FootnoteTextChar">
    <w:name w:val="Footnote Text Char"/>
    <w:basedOn w:val="DefaultParagraphFont"/>
    <w:link w:val="FootnoteText"/>
    <w:uiPriority w:val="99"/>
    <w:semiHidden/>
    <w:locked/>
    <w:rsid w:val="004C7932"/>
    <w:rPr>
      <w:rFonts w:ascii="Optima" w:hAnsi="Optima" w:cs="Times New Roman"/>
      <w:sz w:val="18"/>
      <w:lang w:eastAsia="nl-NL"/>
    </w:rPr>
  </w:style>
  <w:style w:type="character" w:styleId="FootnoteReference">
    <w:name w:val="footnote reference"/>
    <w:basedOn w:val="DefaultParagraphFont"/>
    <w:uiPriority w:val="99"/>
    <w:semiHidden/>
    <w:rsid w:val="009556DB"/>
    <w:rPr>
      <w:rFonts w:cs="Times New Roman"/>
      <w:vertAlign w:val="superscript"/>
    </w:rPr>
  </w:style>
  <w:style w:type="paragraph" w:styleId="BalloonText">
    <w:name w:val="Balloon Text"/>
    <w:basedOn w:val="Normal"/>
    <w:link w:val="BalloonTextChar"/>
    <w:uiPriority w:val="99"/>
    <w:semiHidden/>
    <w:rsid w:val="00E53F58"/>
    <w:rPr>
      <w:rFonts w:ascii="Tahoma" w:hAnsi="Tahoma" w:cs="Tahoma"/>
      <w:sz w:val="16"/>
      <w:szCs w:val="16"/>
    </w:rPr>
  </w:style>
  <w:style w:type="character" w:customStyle="1" w:styleId="BalloonTextChar">
    <w:name w:val="Balloon Text Char"/>
    <w:basedOn w:val="DefaultParagraphFont"/>
    <w:link w:val="BalloonText"/>
    <w:uiPriority w:val="99"/>
    <w:semiHidden/>
    <w:rsid w:val="00701296"/>
    <w:rPr>
      <w:sz w:val="0"/>
      <w:szCs w:val="0"/>
      <w:lang w:val="nl-NL" w:eastAsia="nl-NL"/>
    </w:rPr>
  </w:style>
  <w:style w:type="character" w:styleId="Hyperlink">
    <w:name w:val="Hyperlink"/>
    <w:basedOn w:val="DefaultParagraphFont"/>
    <w:uiPriority w:val="99"/>
    <w:rsid w:val="00735454"/>
    <w:rPr>
      <w:rFonts w:cs="Times New Roman"/>
      <w:color w:val="0000FF"/>
      <w:u w:val="single"/>
    </w:rPr>
  </w:style>
  <w:style w:type="paragraph" w:customStyle="1" w:styleId="msolistparagraph0">
    <w:name w:val="msolistparagraph"/>
    <w:basedOn w:val="Normal"/>
    <w:uiPriority w:val="99"/>
    <w:rsid w:val="00735454"/>
    <w:pPr>
      <w:ind w:left="720"/>
    </w:pPr>
    <w:rPr>
      <w:rFonts w:ascii="Calibri" w:hAnsi="Calibri"/>
      <w:sz w:val="22"/>
      <w:szCs w:val="22"/>
    </w:rPr>
  </w:style>
  <w:style w:type="paragraph" w:customStyle="1" w:styleId="CharCharCharCharCharCharCharCharCharChar">
    <w:name w:val="Char Char Char Char Char Char Char Char Char Char"/>
    <w:basedOn w:val="Normal"/>
    <w:uiPriority w:val="99"/>
    <w:rsid w:val="00294E57"/>
    <w:pPr>
      <w:keepLines/>
      <w:pBdr>
        <w:top w:val="single" w:sz="4" w:space="1" w:color="auto"/>
      </w:pBdr>
      <w:spacing w:before="480"/>
      <w:jc w:val="both"/>
    </w:pPr>
    <w:rPr>
      <w:i/>
      <w:iCs/>
      <w:sz w:val="24"/>
      <w:szCs w:val="24"/>
      <w:lang w:val="fr-FR" w:eastAsia="en-GB"/>
    </w:rPr>
  </w:style>
  <w:style w:type="table" w:styleId="TableGrid">
    <w:name w:val="Table Grid"/>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uiPriority w:val="99"/>
    <w:rsid w:val="008D5308"/>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Theme">
    <w:name w:val="Table Theme"/>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A7D68"/>
    <w:rPr>
      <w:rFonts w:cs="Times New Roman"/>
      <w:b/>
      <w:bCs/>
    </w:rPr>
  </w:style>
  <w:style w:type="paragraph" w:customStyle="1" w:styleId="CharCharCharChar">
    <w:name w:val="Char Char Char Char"/>
    <w:basedOn w:val="Normal"/>
    <w:uiPriority w:val="99"/>
    <w:rsid w:val="003C4D5A"/>
    <w:pPr>
      <w:keepLines/>
      <w:pBdr>
        <w:top w:val="single" w:sz="4" w:space="1" w:color="auto"/>
      </w:pBdr>
      <w:spacing w:before="480"/>
      <w:jc w:val="both"/>
    </w:pPr>
    <w:rPr>
      <w:rFonts w:ascii="Arial" w:hAnsi="Arial"/>
      <w:i/>
      <w:iCs/>
      <w:sz w:val="24"/>
      <w:szCs w:val="24"/>
      <w:lang w:val="fr-FR" w:eastAsia="en-GB"/>
    </w:rPr>
  </w:style>
  <w:style w:type="paragraph" w:customStyle="1" w:styleId="StandaardSV">
    <w:name w:val="Standaard SV"/>
    <w:basedOn w:val="Normal"/>
    <w:uiPriority w:val="99"/>
    <w:rsid w:val="00B0787A"/>
    <w:pPr>
      <w:jc w:val="both"/>
    </w:pPr>
    <w:rPr>
      <w:sz w:val="22"/>
    </w:rPr>
  </w:style>
  <w:style w:type="paragraph" w:customStyle="1" w:styleId="CharCharCharCharCharCharCharChar">
    <w:name w:val="Char Char Char Char Char Char Char Char"/>
    <w:aliases w:val="Char Char Char Char Char1 Char"/>
    <w:basedOn w:val="Normal"/>
    <w:uiPriority w:val="99"/>
    <w:rsid w:val="005D5592"/>
    <w:pPr>
      <w:keepLines/>
      <w:pBdr>
        <w:top w:val="single" w:sz="4" w:space="1" w:color="auto"/>
      </w:pBdr>
      <w:spacing w:before="480"/>
      <w:jc w:val="both"/>
    </w:pPr>
    <w:rPr>
      <w:i/>
      <w:iCs/>
      <w:sz w:val="24"/>
      <w:szCs w:val="24"/>
      <w:lang w:val="fr-FR" w:eastAsia="en-GB"/>
    </w:rPr>
  </w:style>
  <w:style w:type="character" w:styleId="FollowedHyperlink">
    <w:name w:val="FollowedHyperlink"/>
    <w:basedOn w:val="DefaultParagraphFont"/>
    <w:uiPriority w:val="99"/>
    <w:rsid w:val="00343734"/>
    <w:rPr>
      <w:rFonts w:cs="Times New Roman"/>
      <w:color w:val="800080"/>
      <w:u w:val="single"/>
    </w:rPr>
  </w:style>
  <w:style w:type="paragraph" w:styleId="DocumentMap">
    <w:name w:val="Document Map"/>
    <w:basedOn w:val="Normal"/>
    <w:link w:val="DocumentMapChar"/>
    <w:uiPriority w:val="99"/>
    <w:semiHidden/>
    <w:rsid w:val="00B9377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01296"/>
    <w:rPr>
      <w:sz w:val="0"/>
      <w:szCs w:val="0"/>
      <w:lang w:val="nl-NL" w:eastAsia="nl-NL"/>
    </w:rPr>
  </w:style>
  <w:style w:type="paragraph" w:styleId="Footer">
    <w:name w:val="footer"/>
    <w:basedOn w:val="Normal"/>
    <w:link w:val="FooterChar"/>
    <w:uiPriority w:val="99"/>
    <w:rsid w:val="00CE582E"/>
    <w:pPr>
      <w:tabs>
        <w:tab w:val="center" w:pos="4536"/>
        <w:tab w:val="right" w:pos="9072"/>
      </w:tabs>
    </w:pPr>
    <w:rPr>
      <w:sz w:val="24"/>
      <w:szCs w:val="24"/>
    </w:rPr>
  </w:style>
  <w:style w:type="character" w:customStyle="1" w:styleId="FooterChar">
    <w:name w:val="Footer Char"/>
    <w:basedOn w:val="DefaultParagraphFont"/>
    <w:link w:val="Footer"/>
    <w:uiPriority w:val="99"/>
    <w:semiHidden/>
    <w:rsid w:val="00701296"/>
    <w:rPr>
      <w:sz w:val="20"/>
      <w:szCs w:val="20"/>
      <w:lang w:val="nl-NL" w:eastAsia="nl-NL"/>
    </w:rPr>
  </w:style>
  <w:style w:type="paragraph" w:customStyle="1" w:styleId="IVHtekst">
    <w:name w:val="IVH tekst"/>
    <w:basedOn w:val="Normal"/>
    <w:link w:val="IVHtekstChar"/>
    <w:uiPriority w:val="99"/>
    <w:rsid w:val="000A3F88"/>
    <w:pPr>
      <w:spacing w:before="120" w:after="120"/>
      <w:jc w:val="both"/>
    </w:pPr>
    <w:rPr>
      <w:rFonts w:ascii="Garamond" w:hAnsi="Garamond"/>
      <w:color w:val="FF0000"/>
      <w:sz w:val="24"/>
    </w:rPr>
  </w:style>
  <w:style w:type="character" w:customStyle="1" w:styleId="IVHtekstChar">
    <w:name w:val="IVH tekst Char"/>
    <w:basedOn w:val="DefaultParagraphFont"/>
    <w:link w:val="IVHtekst"/>
    <w:uiPriority w:val="99"/>
    <w:locked/>
    <w:rsid w:val="000A3F88"/>
    <w:rPr>
      <w:rFonts w:ascii="Garamond" w:hAnsi="Garamond" w:cs="Times New Roman"/>
      <w:color w:val="FF0000"/>
      <w:sz w:val="24"/>
      <w:lang w:val="nl-NL" w:eastAsia="nl-NL" w:bidi="ar-SA"/>
    </w:rPr>
  </w:style>
  <w:style w:type="paragraph" w:customStyle="1" w:styleId="SVTitel">
    <w:name w:val="SV Titel"/>
    <w:basedOn w:val="Normal"/>
    <w:uiPriority w:val="99"/>
    <w:rsid w:val="005B5FD6"/>
    <w:pPr>
      <w:jc w:val="both"/>
    </w:pPr>
    <w:rPr>
      <w:i/>
      <w:sz w:val="22"/>
    </w:rPr>
  </w:style>
  <w:style w:type="paragraph" w:customStyle="1" w:styleId="mnone">
    <w:name w:val="mnone"/>
    <w:basedOn w:val="Normal"/>
    <w:uiPriority w:val="99"/>
    <w:rsid w:val="00080BE7"/>
    <w:rPr>
      <w:sz w:val="24"/>
      <w:szCs w:val="24"/>
    </w:rPr>
  </w:style>
  <w:style w:type="paragraph" w:customStyle="1" w:styleId="opsommingniveau2">
    <w:name w:val="opsomming niveau 2"/>
    <w:basedOn w:val="Normal"/>
    <w:uiPriority w:val="99"/>
    <w:rsid w:val="001120CA"/>
    <w:pPr>
      <w:numPr>
        <w:numId w:val="2"/>
      </w:numPr>
      <w:spacing w:line="320" w:lineRule="exact"/>
    </w:pPr>
    <w:rPr>
      <w:rFonts w:ascii="Trebuchet MS" w:hAnsi="Trebuchet MS"/>
      <w:szCs w:val="22"/>
    </w:rPr>
  </w:style>
  <w:style w:type="paragraph" w:styleId="NormalWeb">
    <w:name w:val="Normal (Web)"/>
    <w:basedOn w:val="Normal"/>
    <w:uiPriority w:val="99"/>
    <w:rsid w:val="00B233BC"/>
    <w:pPr>
      <w:spacing w:before="100" w:beforeAutospacing="1" w:after="100" w:afterAutospacing="1"/>
    </w:pPr>
    <w:rPr>
      <w:sz w:val="24"/>
      <w:szCs w:val="24"/>
    </w:rPr>
  </w:style>
  <w:style w:type="character" w:styleId="Emphasis">
    <w:name w:val="Emphasis"/>
    <w:basedOn w:val="DefaultParagraphFont"/>
    <w:uiPriority w:val="99"/>
    <w:qFormat/>
    <w:rsid w:val="00F50240"/>
    <w:rPr>
      <w:rFonts w:cs="Times New Roman"/>
      <w:i/>
      <w:iCs/>
    </w:rPr>
  </w:style>
  <w:style w:type="paragraph" w:styleId="ListParagraph">
    <w:name w:val="List Paragraph"/>
    <w:basedOn w:val="Normal"/>
    <w:uiPriority w:val="99"/>
    <w:qFormat/>
    <w:rsid w:val="00ED2CE5"/>
    <w:pPr>
      <w:ind w:left="720"/>
      <w:contextualSpacing/>
    </w:pPr>
  </w:style>
  <w:style w:type="character" w:customStyle="1" w:styleId="A-TypeChar">
    <w:name w:val="A-Type Char"/>
    <w:basedOn w:val="DefaultParagraphFont"/>
    <w:link w:val="A-Type"/>
    <w:uiPriority w:val="99"/>
    <w:locked/>
    <w:rsid w:val="008529AC"/>
    <w:rPr>
      <w:rFonts w:cs="Times New Roman"/>
      <w:b/>
      <w:smallCaps/>
      <w:sz w:val="22"/>
      <w:lang w:val="nl-BE" w:eastAsia="nl-NL" w:bidi="ar-SA"/>
    </w:rPr>
  </w:style>
  <w:style w:type="paragraph" w:customStyle="1" w:styleId="A-Gewonetekst">
    <w:name w:val="A-Gewone tekst"/>
    <w:link w:val="A-GewonetekstChar"/>
    <w:uiPriority w:val="99"/>
    <w:rsid w:val="008529AC"/>
    <w:rPr>
      <w:szCs w:val="24"/>
      <w:lang w:eastAsia="nl-NL"/>
    </w:rPr>
  </w:style>
  <w:style w:type="character" w:customStyle="1" w:styleId="A-GewonetekstChar">
    <w:name w:val="A-Gewone tekst Char"/>
    <w:basedOn w:val="DefaultParagraphFont"/>
    <w:link w:val="A-Gewonetekst"/>
    <w:uiPriority w:val="99"/>
    <w:locked/>
    <w:rsid w:val="008529AC"/>
    <w:rPr>
      <w:rFonts w:cs="Times New Roman"/>
      <w:sz w:val="24"/>
      <w:szCs w:val="24"/>
      <w:lang w:val="nl-BE" w:eastAsia="nl-NL" w:bidi="ar-SA"/>
    </w:rPr>
  </w:style>
</w:styles>
</file>

<file path=word/webSettings.xml><?xml version="1.0" encoding="utf-8"?>
<w:webSettings xmlns:r="http://schemas.openxmlformats.org/officeDocument/2006/relationships" xmlns:w="http://schemas.openxmlformats.org/wordprocessingml/2006/main">
  <w:divs>
    <w:div w:id="1111432977">
      <w:marLeft w:val="225"/>
      <w:marRight w:val="0"/>
      <w:marTop w:val="0"/>
      <w:marBottom w:val="450"/>
      <w:divBdr>
        <w:top w:val="none" w:sz="0" w:space="0" w:color="auto"/>
        <w:left w:val="none" w:sz="0" w:space="0" w:color="auto"/>
        <w:bottom w:val="none" w:sz="0" w:space="0" w:color="auto"/>
        <w:right w:val="none" w:sz="0" w:space="0" w:color="auto"/>
      </w:divBdr>
      <w:divsChild>
        <w:div w:id="1111432994">
          <w:marLeft w:val="720"/>
          <w:marRight w:val="0"/>
          <w:marTop w:val="100"/>
          <w:marBottom w:val="100"/>
          <w:divBdr>
            <w:top w:val="none" w:sz="0" w:space="0" w:color="auto"/>
            <w:left w:val="none" w:sz="0" w:space="0" w:color="auto"/>
            <w:bottom w:val="none" w:sz="0" w:space="0" w:color="auto"/>
            <w:right w:val="none" w:sz="0" w:space="0" w:color="auto"/>
          </w:divBdr>
        </w:div>
      </w:divsChild>
    </w:div>
    <w:div w:id="1111432978">
      <w:marLeft w:val="0"/>
      <w:marRight w:val="0"/>
      <w:marTop w:val="0"/>
      <w:marBottom w:val="0"/>
      <w:divBdr>
        <w:top w:val="none" w:sz="0" w:space="0" w:color="auto"/>
        <w:left w:val="none" w:sz="0" w:space="0" w:color="auto"/>
        <w:bottom w:val="none" w:sz="0" w:space="0" w:color="auto"/>
        <w:right w:val="none" w:sz="0" w:space="0" w:color="auto"/>
      </w:divBdr>
    </w:div>
    <w:div w:id="1111432979">
      <w:marLeft w:val="0"/>
      <w:marRight w:val="0"/>
      <w:marTop w:val="0"/>
      <w:marBottom w:val="0"/>
      <w:divBdr>
        <w:top w:val="none" w:sz="0" w:space="0" w:color="auto"/>
        <w:left w:val="none" w:sz="0" w:space="0" w:color="auto"/>
        <w:bottom w:val="none" w:sz="0" w:space="0" w:color="auto"/>
        <w:right w:val="none" w:sz="0" w:space="0" w:color="auto"/>
      </w:divBdr>
      <w:divsChild>
        <w:div w:id="1111432986">
          <w:marLeft w:val="0"/>
          <w:marRight w:val="0"/>
          <w:marTop w:val="0"/>
          <w:marBottom w:val="0"/>
          <w:divBdr>
            <w:top w:val="none" w:sz="0" w:space="0" w:color="auto"/>
            <w:left w:val="none" w:sz="0" w:space="0" w:color="auto"/>
            <w:bottom w:val="none" w:sz="0" w:space="0" w:color="auto"/>
            <w:right w:val="none" w:sz="0" w:space="0" w:color="auto"/>
          </w:divBdr>
          <w:divsChild>
            <w:div w:id="1111433003">
              <w:marLeft w:val="0"/>
              <w:marRight w:val="0"/>
              <w:marTop w:val="0"/>
              <w:marBottom w:val="0"/>
              <w:divBdr>
                <w:top w:val="none" w:sz="0" w:space="0" w:color="auto"/>
                <w:left w:val="none" w:sz="0" w:space="0" w:color="auto"/>
                <w:bottom w:val="none" w:sz="0" w:space="0" w:color="auto"/>
                <w:right w:val="none" w:sz="0" w:space="0" w:color="auto"/>
              </w:divBdr>
              <w:divsChild>
                <w:div w:id="1111433001">
                  <w:marLeft w:val="0"/>
                  <w:marRight w:val="0"/>
                  <w:marTop w:val="0"/>
                  <w:marBottom w:val="0"/>
                  <w:divBdr>
                    <w:top w:val="none" w:sz="0" w:space="0" w:color="auto"/>
                    <w:left w:val="none" w:sz="0" w:space="0" w:color="auto"/>
                    <w:bottom w:val="none" w:sz="0" w:space="0" w:color="auto"/>
                    <w:right w:val="none" w:sz="0" w:space="0" w:color="auto"/>
                  </w:divBdr>
                  <w:divsChild>
                    <w:div w:id="1111433013">
                      <w:marLeft w:val="0"/>
                      <w:marRight w:val="0"/>
                      <w:marTop w:val="0"/>
                      <w:marBottom w:val="0"/>
                      <w:divBdr>
                        <w:top w:val="none" w:sz="0" w:space="0" w:color="auto"/>
                        <w:left w:val="none" w:sz="0" w:space="0" w:color="auto"/>
                        <w:bottom w:val="none" w:sz="0" w:space="0" w:color="auto"/>
                        <w:right w:val="none" w:sz="0" w:space="0" w:color="auto"/>
                      </w:divBdr>
                      <w:divsChild>
                        <w:div w:id="1111433006">
                          <w:marLeft w:val="0"/>
                          <w:marRight w:val="0"/>
                          <w:marTop w:val="0"/>
                          <w:marBottom w:val="0"/>
                          <w:divBdr>
                            <w:top w:val="none" w:sz="0" w:space="0" w:color="auto"/>
                            <w:left w:val="none" w:sz="0" w:space="0" w:color="auto"/>
                            <w:bottom w:val="none" w:sz="0" w:space="0" w:color="auto"/>
                            <w:right w:val="none" w:sz="0" w:space="0" w:color="auto"/>
                          </w:divBdr>
                          <w:divsChild>
                            <w:div w:id="1111432998">
                              <w:marLeft w:val="0"/>
                              <w:marRight w:val="0"/>
                              <w:marTop w:val="0"/>
                              <w:marBottom w:val="0"/>
                              <w:divBdr>
                                <w:top w:val="none" w:sz="0" w:space="0" w:color="auto"/>
                                <w:left w:val="none" w:sz="0" w:space="0" w:color="auto"/>
                                <w:bottom w:val="none" w:sz="0" w:space="0" w:color="auto"/>
                                <w:right w:val="none" w:sz="0" w:space="0" w:color="auto"/>
                              </w:divBdr>
                              <w:divsChild>
                                <w:div w:id="1111432999">
                                  <w:marLeft w:val="0"/>
                                  <w:marRight w:val="0"/>
                                  <w:marTop w:val="0"/>
                                  <w:marBottom w:val="0"/>
                                  <w:divBdr>
                                    <w:top w:val="none" w:sz="0" w:space="0" w:color="auto"/>
                                    <w:left w:val="none" w:sz="0" w:space="0" w:color="auto"/>
                                    <w:bottom w:val="none" w:sz="0" w:space="0" w:color="auto"/>
                                    <w:right w:val="none" w:sz="0" w:space="0" w:color="auto"/>
                                  </w:divBdr>
                                  <w:divsChild>
                                    <w:div w:id="11114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432981">
      <w:marLeft w:val="0"/>
      <w:marRight w:val="0"/>
      <w:marTop w:val="0"/>
      <w:marBottom w:val="0"/>
      <w:divBdr>
        <w:top w:val="none" w:sz="0" w:space="0" w:color="auto"/>
        <w:left w:val="none" w:sz="0" w:space="0" w:color="auto"/>
        <w:bottom w:val="none" w:sz="0" w:space="0" w:color="auto"/>
        <w:right w:val="none" w:sz="0" w:space="0" w:color="auto"/>
      </w:divBdr>
      <w:divsChild>
        <w:div w:id="1111432980">
          <w:marLeft w:val="0"/>
          <w:marRight w:val="0"/>
          <w:marTop w:val="0"/>
          <w:marBottom w:val="0"/>
          <w:divBdr>
            <w:top w:val="none" w:sz="0" w:space="0" w:color="auto"/>
            <w:left w:val="none" w:sz="0" w:space="0" w:color="auto"/>
            <w:bottom w:val="none" w:sz="0" w:space="0" w:color="auto"/>
            <w:right w:val="none" w:sz="0" w:space="0" w:color="auto"/>
          </w:divBdr>
        </w:div>
      </w:divsChild>
    </w:div>
    <w:div w:id="1111432982">
      <w:marLeft w:val="0"/>
      <w:marRight w:val="0"/>
      <w:marTop w:val="0"/>
      <w:marBottom w:val="0"/>
      <w:divBdr>
        <w:top w:val="none" w:sz="0" w:space="0" w:color="auto"/>
        <w:left w:val="none" w:sz="0" w:space="0" w:color="auto"/>
        <w:bottom w:val="none" w:sz="0" w:space="0" w:color="auto"/>
        <w:right w:val="none" w:sz="0" w:space="0" w:color="auto"/>
      </w:divBdr>
      <w:divsChild>
        <w:div w:id="1111433009">
          <w:marLeft w:val="0"/>
          <w:marRight w:val="0"/>
          <w:marTop w:val="0"/>
          <w:marBottom w:val="0"/>
          <w:divBdr>
            <w:top w:val="none" w:sz="0" w:space="0" w:color="auto"/>
            <w:left w:val="none" w:sz="0" w:space="0" w:color="auto"/>
            <w:bottom w:val="none" w:sz="0" w:space="0" w:color="auto"/>
            <w:right w:val="none" w:sz="0" w:space="0" w:color="auto"/>
          </w:divBdr>
        </w:div>
      </w:divsChild>
    </w:div>
    <w:div w:id="1111432983">
      <w:marLeft w:val="0"/>
      <w:marRight w:val="0"/>
      <w:marTop w:val="0"/>
      <w:marBottom w:val="0"/>
      <w:divBdr>
        <w:top w:val="none" w:sz="0" w:space="0" w:color="auto"/>
        <w:left w:val="none" w:sz="0" w:space="0" w:color="auto"/>
        <w:bottom w:val="none" w:sz="0" w:space="0" w:color="auto"/>
        <w:right w:val="none" w:sz="0" w:space="0" w:color="auto"/>
      </w:divBdr>
    </w:div>
    <w:div w:id="1111432985">
      <w:marLeft w:val="0"/>
      <w:marRight w:val="0"/>
      <w:marTop w:val="0"/>
      <w:marBottom w:val="0"/>
      <w:divBdr>
        <w:top w:val="none" w:sz="0" w:space="0" w:color="auto"/>
        <w:left w:val="none" w:sz="0" w:space="0" w:color="auto"/>
        <w:bottom w:val="none" w:sz="0" w:space="0" w:color="auto"/>
        <w:right w:val="none" w:sz="0" w:space="0" w:color="auto"/>
      </w:divBdr>
    </w:div>
    <w:div w:id="1111432987">
      <w:marLeft w:val="0"/>
      <w:marRight w:val="0"/>
      <w:marTop w:val="0"/>
      <w:marBottom w:val="0"/>
      <w:divBdr>
        <w:top w:val="none" w:sz="0" w:space="0" w:color="auto"/>
        <w:left w:val="none" w:sz="0" w:space="0" w:color="auto"/>
        <w:bottom w:val="none" w:sz="0" w:space="0" w:color="auto"/>
        <w:right w:val="none" w:sz="0" w:space="0" w:color="auto"/>
      </w:divBdr>
    </w:div>
    <w:div w:id="1111432989">
      <w:marLeft w:val="0"/>
      <w:marRight w:val="0"/>
      <w:marTop w:val="0"/>
      <w:marBottom w:val="0"/>
      <w:divBdr>
        <w:top w:val="none" w:sz="0" w:space="0" w:color="auto"/>
        <w:left w:val="none" w:sz="0" w:space="0" w:color="auto"/>
        <w:bottom w:val="none" w:sz="0" w:space="0" w:color="auto"/>
        <w:right w:val="none" w:sz="0" w:space="0" w:color="auto"/>
      </w:divBdr>
      <w:divsChild>
        <w:div w:id="1111432984">
          <w:marLeft w:val="0"/>
          <w:marRight w:val="0"/>
          <w:marTop w:val="0"/>
          <w:marBottom w:val="0"/>
          <w:divBdr>
            <w:top w:val="none" w:sz="0" w:space="0" w:color="auto"/>
            <w:left w:val="none" w:sz="0" w:space="0" w:color="auto"/>
            <w:bottom w:val="none" w:sz="0" w:space="0" w:color="auto"/>
            <w:right w:val="none" w:sz="0" w:space="0" w:color="auto"/>
          </w:divBdr>
        </w:div>
      </w:divsChild>
    </w:div>
    <w:div w:id="1111432990">
      <w:marLeft w:val="0"/>
      <w:marRight w:val="0"/>
      <w:marTop w:val="0"/>
      <w:marBottom w:val="0"/>
      <w:divBdr>
        <w:top w:val="none" w:sz="0" w:space="0" w:color="auto"/>
        <w:left w:val="none" w:sz="0" w:space="0" w:color="auto"/>
        <w:bottom w:val="none" w:sz="0" w:space="0" w:color="auto"/>
        <w:right w:val="none" w:sz="0" w:space="0" w:color="auto"/>
      </w:divBdr>
    </w:div>
    <w:div w:id="1111432991">
      <w:marLeft w:val="0"/>
      <w:marRight w:val="0"/>
      <w:marTop w:val="0"/>
      <w:marBottom w:val="0"/>
      <w:divBdr>
        <w:top w:val="none" w:sz="0" w:space="0" w:color="auto"/>
        <w:left w:val="none" w:sz="0" w:space="0" w:color="auto"/>
        <w:bottom w:val="none" w:sz="0" w:space="0" w:color="auto"/>
        <w:right w:val="none" w:sz="0" w:space="0" w:color="auto"/>
      </w:divBdr>
    </w:div>
    <w:div w:id="1111432992">
      <w:marLeft w:val="0"/>
      <w:marRight w:val="0"/>
      <w:marTop w:val="0"/>
      <w:marBottom w:val="0"/>
      <w:divBdr>
        <w:top w:val="none" w:sz="0" w:space="0" w:color="auto"/>
        <w:left w:val="none" w:sz="0" w:space="0" w:color="auto"/>
        <w:bottom w:val="none" w:sz="0" w:space="0" w:color="auto"/>
        <w:right w:val="none" w:sz="0" w:space="0" w:color="auto"/>
      </w:divBdr>
    </w:div>
    <w:div w:id="1111432993">
      <w:marLeft w:val="75"/>
      <w:marRight w:val="0"/>
      <w:marTop w:val="0"/>
      <w:marBottom w:val="0"/>
      <w:divBdr>
        <w:top w:val="none" w:sz="0" w:space="0" w:color="auto"/>
        <w:left w:val="none" w:sz="0" w:space="0" w:color="auto"/>
        <w:bottom w:val="none" w:sz="0" w:space="0" w:color="auto"/>
        <w:right w:val="none" w:sz="0" w:space="0" w:color="auto"/>
      </w:divBdr>
      <w:divsChild>
        <w:div w:id="1111432988">
          <w:marLeft w:val="0"/>
          <w:marRight w:val="0"/>
          <w:marTop w:val="0"/>
          <w:marBottom w:val="0"/>
          <w:divBdr>
            <w:top w:val="none" w:sz="0" w:space="0" w:color="auto"/>
            <w:left w:val="none" w:sz="0" w:space="0" w:color="auto"/>
            <w:bottom w:val="none" w:sz="0" w:space="0" w:color="auto"/>
            <w:right w:val="none" w:sz="0" w:space="0" w:color="auto"/>
          </w:divBdr>
          <w:divsChild>
            <w:div w:id="1111432976">
              <w:marLeft w:val="0"/>
              <w:marRight w:val="0"/>
              <w:marTop w:val="0"/>
              <w:marBottom w:val="300"/>
              <w:divBdr>
                <w:top w:val="none" w:sz="0" w:space="0" w:color="auto"/>
                <w:left w:val="single" w:sz="6" w:space="0" w:color="DEDEC2"/>
                <w:bottom w:val="single" w:sz="6" w:space="0" w:color="DEDEC2"/>
                <w:right w:val="single" w:sz="6" w:space="0" w:color="DEDEC2"/>
              </w:divBdr>
            </w:div>
          </w:divsChild>
        </w:div>
      </w:divsChild>
    </w:div>
    <w:div w:id="1111432996">
      <w:marLeft w:val="0"/>
      <w:marRight w:val="0"/>
      <w:marTop w:val="0"/>
      <w:marBottom w:val="0"/>
      <w:divBdr>
        <w:top w:val="none" w:sz="0" w:space="0" w:color="auto"/>
        <w:left w:val="none" w:sz="0" w:space="0" w:color="auto"/>
        <w:bottom w:val="none" w:sz="0" w:space="0" w:color="auto"/>
        <w:right w:val="none" w:sz="0" w:space="0" w:color="auto"/>
      </w:divBdr>
    </w:div>
    <w:div w:id="1111432997">
      <w:marLeft w:val="0"/>
      <w:marRight w:val="0"/>
      <w:marTop w:val="0"/>
      <w:marBottom w:val="0"/>
      <w:divBdr>
        <w:top w:val="none" w:sz="0" w:space="0" w:color="auto"/>
        <w:left w:val="none" w:sz="0" w:space="0" w:color="auto"/>
        <w:bottom w:val="none" w:sz="0" w:space="0" w:color="auto"/>
        <w:right w:val="none" w:sz="0" w:space="0" w:color="auto"/>
      </w:divBdr>
    </w:div>
    <w:div w:id="1111433000">
      <w:marLeft w:val="0"/>
      <w:marRight w:val="0"/>
      <w:marTop w:val="0"/>
      <w:marBottom w:val="0"/>
      <w:divBdr>
        <w:top w:val="none" w:sz="0" w:space="0" w:color="auto"/>
        <w:left w:val="none" w:sz="0" w:space="0" w:color="auto"/>
        <w:bottom w:val="none" w:sz="0" w:space="0" w:color="auto"/>
        <w:right w:val="none" w:sz="0" w:space="0" w:color="auto"/>
      </w:divBdr>
    </w:div>
    <w:div w:id="1111433002">
      <w:marLeft w:val="0"/>
      <w:marRight w:val="0"/>
      <w:marTop w:val="0"/>
      <w:marBottom w:val="0"/>
      <w:divBdr>
        <w:top w:val="none" w:sz="0" w:space="0" w:color="auto"/>
        <w:left w:val="none" w:sz="0" w:space="0" w:color="auto"/>
        <w:bottom w:val="none" w:sz="0" w:space="0" w:color="auto"/>
        <w:right w:val="none" w:sz="0" w:space="0" w:color="auto"/>
      </w:divBdr>
    </w:div>
    <w:div w:id="1111433004">
      <w:marLeft w:val="0"/>
      <w:marRight w:val="0"/>
      <w:marTop w:val="0"/>
      <w:marBottom w:val="0"/>
      <w:divBdr>
        <w:top w:val="none" w:sz="0" w:space="0" w:color="auto"/>
        <w:left w:val="none" w:sz="0" w:space="0" w:color="auto"/>
        <w:bottom w:val="none" w:sz="0" w:space="0" w:color="auto"/>
        <w:right w:val="none" w:sz="0" w:space="0" w:color="auto"/>
      </w:divBdr>
    </w:div>
    <w:div w:id="1111433005">
      <w:marLeft w:val="0"/>
      <w:marRight w:val="0"/>
      <w:marTop w:val="0"/>
      <w:marBottom w:val="0"/>
      <w:divBdr>
        <w:top w:val="none" w:sz="0" w:space="0" w:color="auto"/>
        <w:left w:val="none" w:sz="0" w:space="0" w:color="auto"/>
        <w:bottom w:val="none" w:sz="0" w:space="0" w:color="auto"/>
        <w:right w:val="none" w:sz="0" w:space="0" w:color="auto"/>
      </w:divBdr>
    </w:div>
    <w:div w:id="1111433007">
      <w:marLeft w:val="0"/>
      <w:marRight w:val="0"/>
      <w:marTop w:val="0"/>
      <w:marBottom w:val="0"/>
      <w:divBdr>
        <w:top w:val="none" w:sz="0" w:space="0" w:color="auto"/>
        <w:left w:val="none" w:sz="0" w:space="0" w:color="auto"/>
        <w:bottom w:val="none" w:sz="0" w:space="0" w:color="auto"/>
        <w:right w:val="none" w:sz="0" w:space="0" w:color="auto"/>
      </w:divBdr>
    </w:div>
    <w:div w:id="1111433008">
      <w:marLeft w:val="0"/>
      <w:marRight w:val="0"/>
      <w:marTop w:val="0"/>
      <w:marBottom w:val="0"/>
      <w:divBdr>
        <w:top w:val="none" w:sz="0" w:space="0" w:color="auto"/>
        <w:left w:val="none" w:sz="0" w:space="0" w:color="auto"/>
        <w:bottom w:val="none" w:sz="0" w:space="0" w:color="auto"/>
        <w:right w:val="none" w:sz="0" w:space="0" w:color="auto"/>
      </w:divBdr>
    </w:div>
    <w:div w:id="1111433010">
      <w:marLeft w:val="0"/>
      <w:marRight w:val="0"/>
      <w:marTop w:val="0"/>
      <w:marBottom w:val="0"/>
      <w:divBdr>
        <w:top w:val="none" w:sz="0" w:space="0" w:color="auto"/>
        <w:left w:val="none" w:sz="0" w:space="0" w:color="auto"/>
        <w:bottom w:val="none" w:sz="0" w:space="0" w:color="auto"/>
        <w:right w:val="none" w:sz="0" w:space="0" w:color="auto"/>
      </w:divBdr>
    </w:div>
    <w:div w:id="1111433011">
      <w:marLeft w:val="0"/>
      <w:marRight w:val="0"/>
      <w:marTop w:val="0"/>
      <w:marBottom w:val="0"/>
      <w:divBdr>
        <w:top w:val="none" w:sz="0" w:space="0" w:color="auto"/>
        <w:left w:val="none" w:sz="0" w:space="0" w:color="auto"/>
        <w:bottom w:val="none" w:sz="0" w:space="0" w:color="auto"/>
        <w:right w:val="none" w:sz="0" w:space="0" w:color="auto"/>
      </w:divBdr>
    </w:div>
    <w:div w:id="1111433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oilspillcommission.gov/final-report" TargetMode="External"/><Relationship Id="rId2" Type="http://schemas.openxmlformats.org/officeDocument/2006/relationships/hyperlink" Target="http://www.ospar.org" TargetMode="External"/><Relationship Id="rId1" Type="http://schemas.openxmlformats.org/officeDocument/2006/relationships/hyperlink" Target="http://register.consilium.europa.eu/pdf/en/10/st16/st16943.en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vhalenwi\pc\Luchthavens\20080926%20PV%20Strategienota%20Frankrijk\antwoord%20Parlementaire%20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Parlementaire Vraag</Template>
  <TotalTime>6</TotalTime>
  <Pages>2</Pages>
  <Words>567</Words>
  <Characters>3123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PEETERS</dc:title>
  <dc:subject/>
  <dc:creator>vhalenwi</dc:creator>
  <cp:keywords/>
  <dc:description/>
  <cp:lastModifiedBy>Nathalie De Keyzer</cp:lastModifiedBy>
  <cp:revision>4</cp:revision>
  <cp:lastPrinted>2011-02-03T13:52:00Z</cp:lastPrinted>
  <dcterms:created xsi:type="dcterms:W3CDTF">2011-03-31T12:34:00Z</dcterms:created>
  <dcterms:modified xsi:type="dcterms:W3CDTF">2011-04-12T14:03:00Z</dcterms:modified>
</cp:coreProperties>
</file>