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7A" w:rsidRPr="00B8633E" w:rsidRDefault="003D3A7A" w:rsidP="00BC7B1F">
      <w:pPr>
        <w:jc w:val="both"/>
        <w:rPr>
          <w:rFonts w:ascii="Times New Roman Vet" w:hAnsi="Times New Roman Vet"/>
          <w:smallCaps/>
          <w:sz w:val="22"/>
          <w:szCs w:val="22"/>
          <w:lang w:val="nl-BE"/>
        </w:rPr>
      </w:pPr>
      <w:r w:rsidRPr="00B8633E">
        <w:rPr>
          <w:rFonts w:ascii="Times New Roman Vet" w:hAnsi="Times New Roman Vet"/>
          <w:b/>
          <w:smallCaps/>
          <w:sz w:val="22"/>
          <w:szCs w:val="22"/>
          <w:lang w:val="nl-BE"/>
        </w:rPr>
        <w:t>freya van den bossche</w:t>
      </w:r>
      <w:r w:rsidRPr="00B8633E">
        <w:rPr>
          <w:rFonts w:ascii="Times New Roman Vet" w:hAnsi="Times New Roman Vet"/>
          <w:smallCaps/>
          <w:sz w:val="22"/>
          <w:szCs w:val="22"/>
          <w:lang w:val="nl-BE"/>
        </w:rPr>
        <w:t xml:space="preserve"> </w:t>
      </w:r>
    </w:p>
    <w:p w:rsidR="003D3A7A" w:rsidRPr="00B8633E" w:rsidRDefault="003D3A7A" w:rsidP="00BC7B1F">
      <w:pPr>
        <w:pStyle w:val="StandaardSV"/>
        <w:pBdr>
          <w:bottom w:val="single" w:sz="4" w:space="1" w:color="auto"/>
        </w:pBdr>
        <w:rPr>
          <w:smallCaps/>
          <w:szCs w:val="22"/>
          <w:lang w:val="nl-BE"/>
        </w:rPr>
      </w:pPr>
      <w:r w:rsidRPr="00B8633E">
        <w:rPr>
          <w:smallCaps/>
          <w:szCs w:val="22"/>
          <w:lang w:val="nl-BE"/>
        </w:rPr>
        <w:t>vlaams minister van energie, wonen, steden en sociale economie</w:t>
      </w:r>
    </w:p>
    <w:p w:rsidR="003D3A7A" w:rsidRDefault="003D3A7A" w:rsidP="00BC7B1F">
      <w:pPr>
        <w:pStyle w:val="StandaardSV"/>
        <w:pBdr>
          <w:bottom w:val="single" w:sz="4" w:space="1" w:color="auto"/>
        </w:pBdr>
      </w:pPr>
    </w:p>
    <w:p w:rsidR="003D3A7A" w:rsidRDefault="003D3A7A" w:rsidP="00BC7B1F">
      <w:pPr>
        <w:jc w:val="both"/>
        <w:rPr>
          <w:sz w:val="22"/>
        </w:rPr>
      </w:pPr>
    </w:p>
    <w:p w:rsidR="003D3A7A" w:rsidRDefault="003D3A7A" w:rsidP="00BC7B1F">
      <w:pPr>
        <w:jc w:val="both"/>
        <w:rPr>
          <w:sz w:val="22"/>
        </w:rPr>
      </w:pPr>
      <w:r>
        <w:rPr>
          <w:rFonts w:ascii="Times New Roman Vet" w:hAnsi="Times New Roman Vet"/>
          <w:b/>
          <w:smallCaps/>
          <w:sz w:val="22"/>
        </w:rPr>
        <w:t>antwoord</w:t>
      </w:r>
      <w:r>
        <w:rPr>
          <w:sz w:val="22"/>
        </w:rPr>
        <w:t xml:space="preserve"> </w:t>
      </w:r>
    </w:p>
    <w:p w:rsidR="003D3A7A" w:rsidRDefault="003D3A7A" w:rsidP="00BC7B1F">
      <w:pPr>
        <w:jc w:val="both"/>
        <w:rPr>
          <w:sz w:val="22"/>
        </w:rPr>
      </w:pPr>
      <w:r>
        <w:rPr>
          <w:sz w:val="22"/>
        </w:rPr>
        <w:t>op vraag nr. 312 van 10 maart 2011</w:t>
      </w:r>
    </w:p>
    <w:p w:rsidR="003D3A7A" w:rsidRDefault="003D3A7A" w:rsidP="00BC7B1F">
      <w:pPr>
        <w:jc w:val="both"/>
        <w:rPr>
          <w:b/>
          <w:sz w:val="22"/>
        </w:rPr>
      </w:pPr>
      <w:r>
        <w:rPr>
          <w:sz w:val="22"/>
        </w:rPr>
        <w:t xml:space="preserve">van </w:t>
      </w:r>
      <w:r>
        <w:rPr>
          <w:b/>
          <w:smallCaps/>
          <w:sz w:val="22"/>
        </w:rPr>
        <w:t>filip watteeuw</w:t>
      </w:r>
    </w:p>
    <w:p w:rsidR="003D3A7A" w:rsidRDefault="003D3A7A" w:rsidP="00BC7B1F">
      <w:pPr>
        <w:pBdr>
          <w:bottom w:val="single" w:sz="4" w:space="1" w:color="auto"/>
        </w:pBdr>
        <w:jc w:val="both"/>
        <w:rPr>
          <w:sz w:val="22"/>
        </w:rPr>
      </w:pPr>
    </w:p>
    <w:p w:rsidR="003D3A7A" w:rsidRDefault="003D3A7A" w:rsidP="00BC7B1F">
      <w:pPr>
        <w:pStyle w:val="StandaardSV"/>
      </w:pPr>
    </w:p>
    <w:p w:rsidR="003D3A7A" w:rsidRDefault="003D3A7A" w:rsidP="00BC7B1F">
      <w:pPr>
        <w:pStyle w:val="SVTitel"/>
      </w:pPr>
    </w:p>
    <w:p w:rsidR="003D3A7A" w:rsidRPr="00B21DD7" w:rsidRDefault="003D3A7A" w:rsidP="00E3023D">
      <w:pPr>
        <w:pStyle w:val="StandaardSV"/>
        <w:numPr>
          <w:ilvl w:val="0"/>
          <w:numId w:val="2"/>
        </w:numPr>
        <w:rPr>
          <w:szCs w:val="22"/>
        </w:rPr>
      </w:pPr>
      <w:r w:rsidRPr="00B21DD7">
        <w:rPr>
          <w:szCs w:val="22"/>
        </w:rPr>
        <w:t xml:space="preserve">Hieronder vindt u een overzichtstabel met het aantal </w:t>
      </w:r>
      <w:r>
        <w:rPr>
          <w:szCs w:val="22"/>
        </w:rPr>
        <w:t xml:space="preserve">toegekende </w:t>
      </w:r>
      <w:r w:rsidRPr="00B21DD7">
        <w:rPr>
          <w:szCs w:val="22"/>
        </w:rPr>
        <w:t>adviespremies en het bedrag dat deze premies vertegenwoordigen.</w:t>
      </w:r>
      <w:r>
        <w:rPr>
          <w:szCs w:val="22"/>
        </w:rPr>
        <w:t xml:space="preserve"> Deze werden uitgesplitst per uitvoerend adviesbureau.</w:t>
      </w:r>
    </w:p>
    <w:p w:rsidR="003D3A7A" w:rsidRDefault="003D3A7A" w:rsidP="000054D9">
      <w:pPr>
        <w:pStyle w:val="StandaardSV"/>
        <w:jc w:val="left"/>
        <w:rPr>
          <w:szCs w:val="22"/>
        </w:rPr>
      </w:pPr>
    </w:p>
    <w:tbl>
      <w:tblPr>
        <w:tblW w:w="0" w:type="auto"/>
        <w:tblInd w:w="58" w:type="dxa"/>
        <w:tblLayout w:type="fixed"/>
        <w:tblCellMar>
          <w:left w:w="70" w:type="dxa"/>
          <w:right w:w="70" w:type="dxa"/>
        </w:tblCellMar>
        <w:tblLook w:val="00A0"/>
      </w:tblPr>
      <w:tblGrid>
        <w:gridCol w:w="1077"/>
        <w:gridCol w:w="1077"/>
        <w:gridCol w:w="1077"/>
        <w:gridCol w:w="1077"/>
        <w:gridCol w:w="1077"/>
        <w:gridCol w:w="1077"/>
        <w:gridCol w:w="1077"/>
        <w:gridCol w:w="1077"/>
      </w:tblGrid>
      <w:tr w:rsidR="003D3A7A" w:rsidRPr="00D476F9" w:rsidTr="004D73CD">
        <w:trPr>
          <w:trHeight w:val="288"/>
        </w:trPr>
        <w:tc>
          <w:tcPr>
            <w:tcW w:w="1077" w:type="dxa"/>
            <w:tcBorders>
              <w:top w:val="single" w:sz="4" w:space="0" w:color="auto"/>
              <w:left w:val="single" w:sz="4" w:space="0" w:color="auto"/>
              <w:bottom w:val="single" w:sz="4" w:space="0" w:color="auto"/>
              <w:right w:val="single" w:sz="4" w:space="0" w:color="auto"/>
            </w:tcBorders>
            <w:noWrap/>
            <w:vAlign w:val="bottom"/>
          </w:tcPr>
          <w:p w:rsidR="003D3A7A" w:rsidRPr="00D476F9" w:rsidRDefault="003D3A7A" w:rsidP="00D22395">
            <w:pPr>
              <w:rPr>
                <w:color w:val="000000"/>
                <w:sz w:val="20"/>
                <w:lang w:val="nl-BE" w:eastAsia="nl-BE"/>
              </w:rPr>
            </w:pPr>
            <w:r w:rsidRPr="00D476F9">
              <w:rPr>
                <w:color w:val="000000"/>
                <w:sz w:val="20"/>
                <w:lang w:val="nl-BE" w:eastAsia="nl-BE"/>
              </w:rPr>
              <w:t> </w:t>
            </w:r>
          </w:p>
        </w:tc>
        <w:tc>
          <w:tcPr>
            <w:tcW w:w="1077" w:type="dxa"/>
            <w:tcBorders>
              <w:top w:val="single" w:sz="4" w:space="0" w:color="auto"/>
              <w:left w:val="nil"/>
              <w:bottom w:val="single" w:sz="4" w:space="0" w:color="auto"/>
              <w:right w:val="single" w:sz="4" w:space="0" w:color="auto"/>
            </w:tcBorders>
            <w:noWrap/>
            <w:vAlign w:val="bottom"/>
          </w:tcPr>
          <w:p w:rsidR="003D3A7A" w:rsidRPr="00D476F9" w:rsidRDefault="003D3A7A" w:rsidP="00D22395">
            <w:pPr>
              <w:rPr>
                <w:color w:val="000000"/>
                <w:sz w:val="20"/>
                <w:lang w:val="nl-BE" w:eastAsia="nl-BE"/>
              </w:rPr>
            </w:pPr>
            <w:r w:rsidRPr="00D476F9">
              <w:rPr>
                <w:color w:val="000000"/>
                <w:sz w:val="20"/>
                <w:lang w:val="nl-BE" w:eastAsia="nl-BE"/>
              </w:rPr>
              <w:t> Totaal/ per adviesbureau</w:t>
            </w:r>
          </w:p>
        </w:tc>
        <w:tc>
          <w:tcPr>
            <w:tcW w:w="1077" w:type="dxa"/>
            <w:tcBorders>
              <w:top w:val="single" w:sz="4" w:space="0" w:color="auto"/>
              <w:left w:val="nil"/>
              <w:bottom w:val="single" w:sz="4" w:space="0" w:color="auto"/>
              <w:right w:val="single" w:sz="4" w:space="0" w:color="auto"/>
            </w:tcBorders>
            <w:noWrap/>
            <w:vAlign w:val="bottom"/>
          </w:tcPr>
          <w:p w:rsidR="003D3A7A" w:rsidRPr="00D476F9" w:rsidRDefault="003D3A7A" w:rsidP="00D22395">
            <w:pPr>
              <w:rPr>
                <w:color w:val="000000"/>
                <w:sz w:val="20"/>
                <w:lang w:val="nl-BE" w:eastAsia="nl-BE"/>
              </w:rPr>
            </w:pPr>
            <w:r w:rsidRPr="00D476F9">
              <w:rPr>
                <w:color w:val="000000"/>
                <w:sz w:val="20"/>
                <w:lang w:val="nl-BE" w:eastAsia="nl-BE"/>
              </w:rPr>
              <w:t>Haalbaar</w:t>
            </w:r>
          </w:p>
          <w:p w:rsidR="003D3A7A" w:rsidRPr="00D476F9" w:rsidRDefault="003D3A7A" w:rsidP="00D22395">
            <w:pPr>
              <w:rPr>
                <w:color w:val="000000"/>
                <w:sz w:val="20"/>
                <w:lang w:val="nl-BE" w:eastAsia="nl-BE"/>
              </w:rPr>
            </w:pPr>
            <w:r w:rsidRPr="00D476F9">
              <w:rPr>
                <w:color w:val="000000"/>
                <w:sz w:val="20"/>
                <w:lang w:val="nl-BE" w:eastAsia="nl-BE"/>
              </w:rPr>
              <w:t>heidstudie</w:t>
            </w:r>
          </w:p>
        </w:tc>
        <w:tc>
          <w:tcPr>
            <w:tcW w:w="1077" w:type="dxa"/>
            <w:tcBorders>
              <w:top w:val="single" w:sz="4" w:space="0" w:color="auto"/>
              <w:left w:val="nil"/>
              <w:bottom w:val="single" w:sz="4" w:space="0" w:color="auto"/>
              <w:right w:val="single" w:sz="4" w:space="0" w:color="auto"/>
            </w:tcBorders>
            <w:noWrap/>
            <w:vAlign w:val="bottom"/>
          </w:tcPr>
          <w:p w:rsidR="003D3A7A" w:rsidRPr="00D476F9" w:rsidRDefault="003D3A7A" w:rsidP="00D22395">
            <w:pPr>
              <w:rPr>
                <w:color w:val="000000"/>
                <w:sz w:val="20"/>
                <w:lang w:val="nl-BE" w:eastAsia="nl-BE"/>
              </w:rPr>
            </w:pPr>
            <w:r w:rsidRPr="00D476F9">
              <w:rPr>
                <w:color w:val="000000"/>
                <w:sz w:val="20"/>
                <w:lang w:val="nl-BE" w:eastAsia="nl-BE"/>
              </w:rPr>
              <w:t>Ad hoc</w:t>
            </w:r>
          </w:p>
        </w:tc>
        <w:tc>
          <w:tcPr>
            <w:tcW w:w="1077" w:type="dxa"/>
            <w:tcBorders>
              <w:top w:val="single" w:sz="4" w:space="0" w:color="auto"/>
              <w:left w:val="nil"/>
              <w:bottom w:val="single" w:sz="4" w:space="0" w:color="auto"/>
              <w:right w:val="single" w:sz="4" w:space="0" w:color="auto"/>
            </w:tcBorders>
            <w:noWrap/>
            <w:vAlign w:val="bottom"/>
          </w:tcPr>
          <w:p w:rsidR="003D3A7A" w:rsidRPr="00D476F9" w:rsidRDefault="003D3A7A" w:rsidP="00D22395">
            <w:pPr>
              <w:rPr>
                <w:color w:val="000000"/>
                <w:sz w:val="20"/>
                <w:lang w:val="nl-BE" w:eastAsia="nl-BE"/>
              </w:rPr>
            </w:pPr>
            <w:r w:rsidRPr="00D476F9">
              <w:rPr>
                <w:color w:val="000000"/>
                <w:sz w:val="20"/>
                <w:lang w:val="nl-BE" w:eastAsia="nl-BE"/>
              </w:rPr>
              <w:t>Basis</w:t>
            </w:r>
          </w:p>
          <w:p w:rsidR="003D3A7A" w:rsidRPr="00D476F9" w:rsidRDefault="003D3A7A" w:rsidP="00D22395">
            <w:pPr>
              <w:rPr>
                <w:color w:val="000000"/>
                <w:sz w:val="20"/>
                <w:lang w:val="nl-BE" w:eastAsia="nl-BE"/>
              </w:rPr>
            </w:pPr>
            <w:r w:rsidRPr="00D476F9">
              <w:rPr>
                <w:color w:val="000000"/>
                <w:sz w:val="20"/>
                <w:lang w:val="nl-BE" w:eastAsia="nl-BE"/>
              </w:rPr>
              <w:t>opvolging</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4D73CD">
            <w:pPr>
              <w:rPr>
                <w:color w:val="000000"/>
                <w:sz w:val="20"/>
                <w:lang w:val="nl-BE" w:eastAsia="nl-BE"/>
              </w:rPr>
            </w:pPr>
            <w:r w:rsidRPr="00D476F9">
              <w:rPr>
                <w:color w:val="000000"/>
                <w:sz w:val="20"/>
                <w:lang w:val="nl-BE" w:eastAsia="nl-BE"/>
              </w:rPr>
              <w:t>Verplichte managementondersteuning</w:t>
            </w:r>
          </w:p>
        </w:tc>
        <w:tc>
          <w:tcPr>
            <w:tcW w:w="1077" w:type="dxa"/>
            <w:tcBorders>
              <w:top w:val="single" w:sz="4" w:space="0" w:color="auto"/>
              <w:left w:val="single" w:sz="4" w:space="0" w:color="auto"/>
              <w:bottom w:val="single" w:sz="4" w:space="0" w:color="auto"/>
              <w:right w:val="single" w:sz="4" w:space="0" w:color="auto"/>
            </w:tcBorders>
            <w:noWrap/>
            <w:vAlign w:val="bottom"/>
          </w:tcPr>
          <w:p w:rsidR="003D3A7A" w:rsidRPr="00D476F9" w:rsidRDefault="003D3A7A" w:rsidP="00D22395">
            <w:pPr>
              <w:rPr>
                <w:color w:val="000000"/>
                <w:sz w:val="20"/>
                <w:lang w:val="nl-BE" w:eastAsia="nl-BE"/>
              </w:rPr>
            </w:pPr>
            <w:r w:rsidRPr="00D476F9">
              <w:rPr>
                <w:color w:val="000000"/>
                <w:sz w:val="20"/>
                <w:lang w:val="nl-BE" w:eastAsia="nl-BE"/>
              </w:rPr>
              <w:t>Totaal aantal adviespremies</w:t>
            </w:r>
          </w:p>
        </w:tc>
        <w:tc>
          <w:tcPr>
            <w:tcW w:w="1077" w:type="dxa"/>
            <w:tcBorders>
              <w:top w:val="single" w:sz="4" w:space="0" w:color="auto"/>
              <w:left w:val="nil"/>
              <w:bottom w:val="single" w:sz="4" w:space="0" w:color="auto"/>
              <w:right w:val="single" w:sz="4" w:space="0" w:color="auto"/>
            </w:tcBorders>
            <w:noWrap/>
            <w:vAlign w:val="bottom"/>
          </w:tcPr>
          <w:p w:rsidR="003D3A7A" w:rsidRPr="00D476F9" w:rsidRDefault="003D3A7A" w:rsidP="00D22395">
            <w:pPr>
              <w:rPr>
                <w:color w:val="000000"/>
                <w:sz w:val="20"/>
                <w:lang w:val="nl-BE" w:eastAsia="nl-BE"/>
              </w:rPr>
            </w:pPr>
            <w:r w:rsidRPr="00D476F9">
              <w:rPr>
                <w:color w:val="000000"/>
                <w:sz w:val="20"/>
                <w:lang w:val="nl-BE" w:eastAsia="nl-BE"/>
              </w:rPr>
              <w:t>Bedragen in EUR</w:t>
            </w:r>
          </w:p>
        </w:tc>
      </w:tr>
      <w:tr w:rsidR="003D3A7A" w:rsidRPr="00D476F9" w:rsidTr="00040AF1">
        <w:trPr>
          <w:trHeight w:val="288"/>
        </w:trPr>
        <w:tc>
          <w:tcPr>
            <w:tcW w:w="1077" w:type="dxa"/>
            <w:tcBorders>
              <w:top w:val="nil"/>
              <w:left w:val="single" w:sz="4" w:space="0" w:color="auto"/>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2010</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rPr>
                <w:bCs/>
                <w:color w:val="000000"/>
                <w:sz w:val="18"/>
                <w:szCs w:val="18"/>
                <w:lang w:val="nl-BE" w:eastAsia="nl-BE"/>
              </w:rPr>
            </w:pPr>
            <w:r w:rsidRPr="00D476F9">
              <w:rPr>
                <w:bCs/>
                <w:color w:val="000000"/>
                <w:sz w:val="18"/>
                <w:szCs w:val="18"/>
                <w:lang w:val="nl-BE" w:eastAsia="nl-BE"/>
              </w:rPr>
              <w:t> </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2</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24</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18</w:t>
            </w:r>
          </w:p>
        </w:tc>
        <w:tc>
          <w:tcPr>
            <w:tcW w:w="1077" w:type="dxa"/>
            <w:tcBorders>
              <w:top w:val="single" w:sz="4" w:space="0" w:color="auto"/>
              <w:left w:val="nil"/>
              <w:bottom w:val="single" w:sz="4" w:space="0" w:color="auto"/>
              <w:right w:val="single" w:sz="4" w:space="0" w:color="auto"/>
            </w:tcBorders>
            <w:shd w:val="clear" w:color="auto" w:fill="F2F2F2"/>
            <w:vAlign w:val="bottom"/>
          </w:tcPr>
          <w:p w:rsidR="003D3A7A" w:rsidRPr="00D476F9" w:rsidRDefault="003D3A7A" w:rsidP="009A30AD">
            <w:pPr>
              <w:jc w:val="right"/>
              <w:rPr>
                <w:bCs/>
                <w:color w:val="000000"/>
                <w:sz w:val="18"/>
                <w:szCs w:val="18"/>
                <w:lang w:val="nl-BE" w:eastAsia="nl-BE"/>
              </w:rPr>
            </w:pPr>
            <w:r w:rsidRPr="00D476F9">
              <w:rPr>
                <w:bCs/>
                <w:color w:val="000000"/>
                <w:sz w:val="18"/>
                <w:szCs w:val="18"/>
                <w:lang w:val="nl-BE" w:eastAsia="nl-BE"/>
              </w:rPr>
              <w:t>11</w:t>
            </w:r>
          </w:p>
        </w:tc>
        <w:tc>
          <w:tcPr>
            <w:tcW w:w="1077" w:type="dxa"/>
            <w:tcBorders>
              <w:top w:val="nil"/>
              <w:left w:val="single" w:sz="4" w:space="0" w:color="auto"/>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55</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275.036</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Hefboom</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19</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6</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8</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33</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206.588</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Febecoop</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3</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5</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3</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12</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58.638</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Vitamine W/SEC</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Mentor</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2</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7</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9.810</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Web</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p>
        </w:tc>
      </w:tr>
      <w:tr w:rsidR="003D3A7A" w:rsidRPr="00D476F9" w:rsidTr="00040AF1">
        <w:trPr>
          <w:trHeight w:val="288"/>
        </w:trPr>
        <w:tc>
          <w:tcPr>
            <w:tcW w:w="1077" w:type="dxa"/>
            <w:tcBorders>
              <w:top w:val="nil"/>
              <w:left w:val="single" w:sz="4" w:space="0" w:color="auto"/>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2009</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rPr>
                <w:bCs/>
                <w:color w:val="000000"/>
                <w:sz w:val="18"/>
                <w:szCs w:val="18"/>
                <w:lang w:val="nl-BE" w:eastAsia="nl-BE"/>
              </w:rPr>
            </w:pPr>
            <w:r w:rsidRPr="00D476F9">
              <w:rPr>
                <w:bCs/>
                <w:color w:val="000000"/>
                <w:sz w:val="18"/>
                <w:szCs w:val="18"/>
                <w:lang w:val="nl-BE" w:eastAsia="nl-BE"/>
              </w:rPr>
              <w:t> </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2</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22</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35</w:t>
            </w:r>
          </w:p>
        </w:tc>
        <w:tc>
          <w:tcPr>
            <w:tcW w:w="1077" w:type="dxa"/>
            <w:tcBorders>
              <w:top w:val="single" w:sz="4" w:space="0" w:color="auto"/>
              <w:left w:val="nil"/>
              <w:bottom w:val="single" w:sz="4" w:space="0" w:color="auto"/>
              <w:right w:val="single" w:sz="4" w:space="0" w:color="auto"/>
            </w:tcBorders>
            <w:shd w:val="clear" w:color="auto" w:fill="F2F2F2"/>
            <w:vAlign w:val="bottom"/>
          </w:tcPr>
          <w:p w:rsidR="003D3A7A" w:rsidRPr="00D476F9" w:rsidRDefault="003D3A7A" w:rsidP="009A30AD">
            <w:pPr>
              <w:jc w:val="right"/>
              <w:rPr>
                <w:bCs/>
                <w:color w:val="000000"/>
                <w:sz w:val="18"/>
                <w:szCs w:val="18"/>
                <w:lang w:val="nl-BE" w:eastAsia="nl-BE"/>
              </w:rPr>
            </w:pPr>
            <w:r w:rsidRPr="00D476F9">
              <w:rPr>
                <w:bCs/>
                <w:color w:val="000000"/>
                <w:sz w:val="18"/>
                <w:szCs w:val="18"/>
                <w:lang w:val="nl-BE" w:eastAsia="nl-BE"/>
              </w:rPr>
              <w:t>4</w:t>
            </w:r>
          </w:p>
        </w:tc>
        <w:tc>
          <w:tcPr>
            <w:tcW w:w="1077" w:type="dxa"/>
            <w:tcBorders>
              <w:top w:val="nil"/>
              <w:left w:val="single" w:sz="4" w:space="0" w:color="auto"/>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63</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197.946</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Hefboom</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12</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26</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3</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42</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141.077</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Febecoop</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3</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5</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14.484</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Vitamine W</w:t>
            </w:r>
            <w:r>
              <w:rPr>
                <w:color w:val="000000"/>
                <w:sz w:val="18"/>
                <w:szCs w:val="18"/>
                <w:lang w:val="nl-BE" w:eastAsia="nl-BE"/>
              </w:rPr>
              <w:t>/SEC</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3.184</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Mentor</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8</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5</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13</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34.989</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Web</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2</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2</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4.212</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p>
        </w:tc>
      </w:tr>
      <w:tr w:rsidR="003D3A7A" w:rsidRPr="00D476F9" w:rsidTr="00040AF1">
        <w:trPr>
          <w:trHeight w:val="288"/>
        </w:trPr>
        <w:tc>
          <w:tcPr>
            <w:tcW w:w="1077" w:type="dxa"/>
            <w:tcBorders>
              <w:top w:val="nil"/>
              <w:left w:val="single" w:sz="4" w:space="0" w:color="auto"/>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2008</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rPr>
                <w:bCs/>
                <w:color w:val="000000"/>
                <w:sz w:val="18"/>
                <w:szCs w:val="18"/>
                <w:lang w:val="nl-BE" w:eastAsia="nl-BE"/>
              </w:rPr>
            </w:pPr>
            <w:r w:rsidRPr="00D476F9">
              <w:rPr>
                <w:bCs/>
                <w:color w:val="000000"/>
                <w:sz w:val="18"/>
                <w:szCs w:val="18"/>
                <w:lang w:val="nl-BE" w:eastAsia="nl-BE"/>
              </w:rPr>
              <w:t> </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3</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15</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35</w:t>
            </w:r>
          </w:p>
        </w:tc>
        <w:tc>
          <w:tcPr>
            <w:tcW w:w="1077" w:type="dxa"/>
            <w:tcBorders>
              <w:top w:val="single" w:sz="4" w:space="0" w:color="auto"/>
              <w:left w:val="nil"/>
              <w:bottom w:val="single" w:sz="4" w:space="0" w:color="auto"/>
              <w:right w:val="single" w:sz="4" w:space="0" w:color="auto"/>
            </w:tcBorders>
            <w:shd w:val="clear" w:color="auto" w:fill="F2F2F2"/>
            <w:vAlign w:val="bottom"/>
          </w:tcPr>
          <w:p w:rsidR="003D3A7A" w:rsidRPr="00D476F9" w:rsidRDefault="003D3A7A" w:rsidP="009A30AD">
            <w:pPr>
              <w:jc w:val="right"/>
              <w:rPr>
                <w:bCs/>
                <w:color w:val="000000"/>
                <w:sz w:val="18"/>
                <w:szCs w:val="18"/>
                <w:lang w:val="nl-BE" w:eastAsia="nl-BE"/>
              </w:rPr>
            </w:pPr>
            <w:r w:rsidRPr="00D476F9">
              <w:rPr>
                <w:bCs/>
                <w:color w:val="000000"/>
                <w:sz w:val="18"/>
                <w:szCs w:val="18"/>
                <w:lang w:val="nl-BE" w:eastAsia="nl-BE"/>
              </w:rPr>
              <w:t>7</w:t>
            </w:r>
          </w:p>
        </w:tc>
        <w:tc>
          <w:tcPr>
            <w:tcW w:w="1077" w:type="dxa"/>
            <w:tcBorders>
              <w:top w:val="nil"/>
              <w:left w:val="single" w:sz="4" w:space="0" w:color="auto"/>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60</w:t>
            </w:r>
          </w:p>
        </w:tc>
        <w:tc>
          <w:tcPr>
            <w:tcW w:w="1077" w:type="dxa"/>
            <w:tcBorders>
              <w:top w:val="nil"/>
              <w:left w:val="nil"/>
              <w:bottom w:val="single" w:sz="4" w:space="0" w:color="auto"/>
              <w:right w:val="single" w:sz="4" w:space="0" w:color="auto"/>
            </w:tcBorders>
            <w:shd w:val="clear" w:color="auto" w:fill="F2F2F2"/>
            <w:noWrap/>
            <w:vAlign w:val="bottom"/>
          </w:tcPr>
          <w:p w:rsidR="003D3A7A" w:rsidRPr="00D476F9" w:rsidRDefault="003D3A7A" w:rsidP="00D22395">
            <w:pPr>
              <w:jc w:val="right"/>
              <w:rPr>
                <w:bCs/>
                <w:color w:val="000000"/>
                <w:sz w:val="18"/>
                <w:szCs w:val="18"/>
                <w:lang w:val="nl-BE" w:eastAsia="nl-BE"/>
              </w:rPr>
            </w:pPr>
            <w:r w:rsidRPr="00D476F9">
              <w:rPr>
                <w:bCs/>
                <w:color w:val="000000"/>
                <w:sz w:val="18"/>
                <w:szCs w:val="18"/>
                <w:lang w:val="nl-BE" w:eastAsia="nl-BE"/>
              </w:rPr>
              <w:t>82.715</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Hefboom</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8</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27</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6</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42</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52.473</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Febecoop</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6</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4</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12</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22.282</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Vitamine W</w:t>
            </w:r>
            <w:r>
              <w:rPr>
                <w:color w:val="000000"/>
                <w:sz w:val="18"/>
                <w:szCs w:val="18"/>
                <w:lang w:val="nl-BE" w:eastAsia="nl-BE"/>
              </w:rPr>
              <w:t>/SEC</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Mentor</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1</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4</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6</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7.960</w:t>
            </w:r>
          </w:p>
        </w:tc>
      </w:tr>
      <w:tr w:rsidR="003D3A7A" w:rsidRPr="00D476F9" w:rsidTr="004D73CD">
        <w:trPr>
          <w:trHeight w:val="288"/>
        </w:trPr>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 </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rPr>
                <w:color w:val="000000"/>
                <w:sz w:val="18"/>
                <w:szCs w:val="18"/>
                <w:lang w:val="nl-BE" w:eastAsia="nl-BE"/>
              </w:rPr>
            </w:pPr>
            <w:r w:rsidRPr="00D476F9">
              <w:rPr>
                <w:color w:val="000000"/>
                <w:sz w:val="18"/>
                <w:szCs w:val="18"/>
                <w:lang w:val="nl-BE" w:eastAsia="nl-BE"/>
              </w:rPr>
              <w:t>Web</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single" w:sz="4" w:space="0" w:color="auto"/>
              <w:left w:val="nil"/>
              <w:bottom w:val="single" w:sz="4" w:space="0" w:color="auto"/>
              <w:right w:val="single" w:sz="4" w:space="0" w:color="auto"/>
            </w:tcBorders>
            <w:vAlign w:val="bottom"/>
          </w:tcPr>
          <w:p w:rsidR="003D3A7A" w:rsidRPr="00D476F9" w:rsidRDefault="003D3A7A" w:rsidP="009A30AD">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single" w:sz="4" w:space="0" w:color="auto"/>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c>
          <w:tcPr>
            <w:tcW w:w="1077" w:type="dxa"/>
            <w:tcBorders>
              <w:top w:val="nil"/>
              <w:left w:val="nil"/>
              <w:bottom w:val="single" w:sz="4" w:space="0" w:color="auto"/>
              <w:right w:val="single" w:sz="4" w:space="0" w:color="auto"/>
            </w:tcBorders>
            <w:noWrap/>
            <w:vAlign w:val="bottom"/>
          </w:tcPr>
          <w:p w:rsidR="003D3A7A" w:rsidRPr="00D476F9" w:rsidRDefault="003D3A7A" w:rsidP="00D22395">
            <w:pPr>
              <w:jc w:val="right"/>
              <w:rPr>
                <w:color w:val="000000"/>
                <w:sz w:val="18"/>
                <w:szCs w:val="18"/>
                <w:lang w:val="nl-BE" w:eastAsia="nl-BE"/>
              </w:rPr>
            </w:pPr>
            <w:r w:rsidRPr="00D476F9">
              <w:rPr>
                <w:color w:val="000000"/>
                <w:sz w:val="18"/>
                <w:szCs w:val="18"/>
                <w:lang w:val="nl-BE" w:eastAsia="nl-BE"/>
              </w:rPr>
              <w:t>0</w:t>
            </w:r>
          </w:p>
        </w:tc>
      </w:tr>
    </w:tbl>
    <w:p w:rsidR="003D3A7A" w:rsidRPr="00D476F9" w:rsidRDefault="003D3A7A" w:rsidP="00C40224">
      <w:pPr>
        <w:pStyle w:val="StandaardSV"/>
        <w:ind w:left="360"/>
      </w:pPr>
    </w:p>
    <w:p w:rsidR="003D3A7A" w:rsidRDefault="003D3A7A" w:rsidP="00040AF1">
      <w:pPr>
        <w:pStyle w:val="StandaardSV"/>
        <w:ind w:left="360"/>
        <w:jc w:val="left"/>
        <w:rPr>
          <w:szCs w:val="22"/>
        </w:rPr>
      </w:pPr>
      <w:r>
        <w:rPr>
          <w:szCs w:val="22"/>
        </w:rPr>
        <w:t xml:space="preserve">Wat betreft de haalbaarheidsstudies: </w:t>
      </w:r>
    </w:p>
    <w:p w:rsidR="003D3A7A" w:rsidRPr="00390F9D" w:rsidRDefault="003D3A7A" w:rsidP="00E3023D">
      <w:pPr>
        <w:pStyle w:val="StandaardSV"/>
        <w:numPr>
          <w:ilvl w:val="0"/>
          <w:numId w:val="3"/>
        </w:numPr>
      </w:pPr>
      <w:r w:rsidRPr="00390F9D">
        <w:rPr>
          <w:szCs w:val="22"/>
        </w:rPr>
        <w:t>2008: de 3 haalbaarheidsstudies hebben niet geleid tot oprichting van een nieuwe onderneming in de sociale economie.</w:t>
      </w:r>
    </w:p>
    <w:p w:rsidR="003D3A7A" w:rsidRPr="0082734B" w:rsidRDefault="003D3A7A" w:rsidP="00E3023D">
      <w:pPr>
        <w:pStyle w:val="StandaardSV"/>
        <w:numPr>
          <w:ilvl w:val="0"/>
          <w:numId w:val="3"/>
        </w:numPr>
      </w:pPr>
      <w:r>
        <w:rPr>
          <w:szCs w:val="22"/>
        </w:rPr>
        <w:t>2009:</w:t>
      </w:r>
      <w:r w:rsidRPr="00390F9D">
        <w:rPr>
          <w:szCs w:val="22"/>
        </w:rPr>
        <w:t xml:space="preserve"> van de 2 haalbaarheidsstudies 2009 heeft 1 geleid tot oprichting</w:t>
      </w:r>
      <w:r>
        <w:rPr>
          <w:szCs w:val="22"/>
        </w:rPr>
        <w:t xml:space="preserve"> van een nieuwe onderneming</w:t>
      </w:r>
    </w:p>
    <w:p w:rsidR="003D3A7A" w:rsidRDefault="003D3A7A" w:rsidP="00040AF1">
      <w:pPr>
        <w:pStyle w:val="StandaardSV"/>
        <w:numPr>
          <w:ilvl w:val="0"/>
          <w:numId w:val="3"/>
        </w:numPr>
        <w:jc w:val="left"/>
        <w:rPr>
          <w:szCs w:val="22"/>
        </w:rPr>
      </w:pPr>
      <w:r>
        <w:rPr>
          <w:szCs w:val="22"/>
        </w:rPr>
        <w:t>2010: de 2 haalbaarheidsstudies va</w:t>
      </w:r>
      <w:r w:rsidRPr="00B21DD7">
        <w:rPr>
          <w:szCs w:val="22"/>
        </w:rPr>
        <w:t>n 2010 zijn nog lopende</w:t>
      </w:r>
    </w:p>
    <w:p w:rsidR="003D3A7A" w:rsidRDefault="003D3A7A" w:rsidP="00C40224">
      <w:pPr>
        <w:pStyle w:val="StandaardSV"/>
        <w:ind w:left="360"/>
      </w:pPr>
    </w:p>
    <w:p w:rsidR="003D3A7A" w:rsidRDefault="003D3A7A" w:rsidP="00E3023D">
      <w:pPr>
        <w:pStyle w:val="ListParagraph"/>
        <w:numPr>
          <w:ilvl w:val="0"/>
          <w:numId w:val="2"/>
        </w:numPr>
        <w:jc w:val="both"/>
        <w:rPr>
          <w:sz w:val="22"/>
          <w:szCs w:val="22"/>
        </w:rPr>
      </w:pPr>
      <w:r w:rsidRPr="008E4519">
        <w:rPr>
          <w:sz w:val="22"/>
          <w:szCs w:val="22"/>
        </w:rPr>
        <w:t>Conform de bepalingen in titel IV hoofdstuk II van het Besluit van de Vlaamse Regering van 8/9/2000 houdende een impuls- en ondersteuningsprogramma van de meerwaardeneconomie, kan de minister binnen de perken van het begrotingskrediet adviesbureaus erkennen.</w:t>
      </w:r>
      <w:r>
        <w:rPr>
          <w:sz w:val="22"/>
          <w:szCs w:val="22"/>
        </w:rPr>
        <w:t xml:space="preserve"> </w:t>
      </w:r>
      <w:r w:rsidRPr="008E4519">
        <w:rPr>
          <w:sz w:val="22"/>
          <w:szCs w:val="22"/>
        </w:rPr>
        <w:t xml:space="preserve">In dezelfde titel wordt in hoofdstuk III de procedure </w:t>
      </w:r>
      <w:r>
        <w:rPr>
          <w:sz w:val="22"/>
          <w:szCs w:val="22"/>
        </w:rPr>
        <w:t>alsook de voorwaarden tot erkenning omschreven</w:t>
      </w:r>
      <w:r w:rsidRPr="008E4519">
        <w:rPr>
          <w:sz w:val="22"/>
          <w:szCs w:val="22"/>
        </w:rPr>
        <w:t>.</w:t>
      </w:r>
      <w:r>
        <w:rPr>
          <w:sz w:val="22"/>
          <w:szCs w:val="22"/>
        </w:rPr>
        <w:t xml:space="preserve"> </w:t>
      </w:r>
    </w:p>
    <w:p w:rsidR="003D3A7A" w:rsidRPr="008E4519" w:rsidRDefault="003D3A7A" w:rsidP="00E3023D">
      <w:pPr>
        <w:pStyle w:val="ListParagraph"/>
        <w:ind w:left="360"/>
        <w:jc w:val="both"/>
        <w:rPr>
          <w:sz w:val="22"/>
          <w:szCs w:val="22"/>
        </w:rPr>
      </w:pPr>
      <w:r>
        <w:rPr>
          <w:sz w:val="22"/>
          <w:szCs w:val="22"/>
        </w:rPr>
        <w:t>In afwachting van het nieuwe decreet betreffende de ondersteuning van de sociale economie worden geen nieuwe erkenningen verleend.</w:t>
      </w:r>
    </w:p>
    <w:p w:rsidR="003D3A7A" w:rsidRDefault="003D3A7A" w:rsidP="00C40224">
      <w:pPr>
        <w:pStyle w:val="StandaardSV"/>
        <w:ind w:left="360"/>
      </w:pPr>
    </w:p>
    <w:p w:rsidR="003D3A7A" w:rsidRPr="00D476F9" w:rsidRDefault="003D3A7A" w:rsidP="008E4519">
      <w:pPr>
        <w:pStyle w:val="StandaardSV"/>
        <w:numPr>
          <w:ilvl w:val="0"/>
          <w:numId w:val="2"/>
        </w:numPr>
      </w:pPr>
      <w:r w:rsidRPr="00D476F9">
        <w:t>Zoals vermeld in artikel 63 van bovenvermeld besluit kan de onderneming in de sociale economie zelf (een) adviesbureau(s) raadplegen uit een lijst met erkende adviesbureaus. De administratie stelt deze lijst ter beschikking.</w:t>
      </w:r>
    </w:p>
    <w:p w:rsidR="003D3A7A" w:rsidRDefault="003D3A7A" w:rsidP="00390F9D">
      <w:pPr>
        <w:pStyle w:val="StandaardSV"/>
        <w:ind w:left="360"/>
      </w:pPr>
      <w:r>
        <w:t>(</w:t>
      </w:r>
      <w:hyperlink r:id="rId5" w:history="1">
        <w:r w:rsidRPr="00D43B58">
          <w:rPr>
            <w:rStyle w:val="Hyperlink"/>
          </w:rPr>
          <w:t>http://www.werk.be/wg/socecontewerk/ondersteuningsinstrumenten/adviesbureaus.htm</w:t>
        </w:r>
      </w:hyperlink>
      <w:r>
        <w:t>)</w:t>
      </w:r>
    </w:p>
    <w:p w:rsidR="003D3A7A" w:rsidRPr="00D476F9" w:rsidRDefault="003D3A7A" w:rsidP="00C40224">
      <w:pPr>
        <w:pStyle w:val="StandaardSV"/>
        <w:ind w:left="360"/>
      </w:pPr>
    </w:p>
    <w:p w:rsidR="003D3A7A" w:rsidRPr="00D476F9" w:rsidRDefault="003D3A7A" w:rsidP="00D476F9">
      <w:pPr>
        <w:pStyle w:val="StandaardSV"/>
        <w:numPr>
          <w:ilvl w:val="0"/>
          <w:numId w:val="2"/>
        </w:numPr>
      </w:pPr>
      <w:r w:rsidRPr="00D476F9">
        <w:t xml:space="preserve">Vanuit de Vlaamse overheid bestaan er geen beperkingen of richtlijnen inzake prijszettingen. </w:t>
      </w:r>
      <w:r>
        <w:t xml:space="preserve">Wel is de maximale tussenkomst bepaald in bovenvermeld besluit. </w:t>
      </w:r>
      <w:r w:rsidRPr="00D476F9">
        <w:t xml:space="preserve">Het spreekt voor zich dat de gebruikte tarieven marktconform zijn. Klachten in deze werden tot op </w:t>
      </w:r>
      <w:r>
        <w:t xml:space="preserve">heden </w:t>
      </w:r>
      <w:r w:rsidRPr="00D476F9">
        <w:t xml:space="preserve">niet ontvangen.  </w:t>
      </w:r>
    </w:p>
    <w:p w:rsidR="003D3A7A" w:rsidRPr="00D476F9" w:rsidRDefault="003D3A7A" w:rsidP="00EF1B5A">
      <w:pPr>
        <w:pStyle w:val="StandaardSV"/>
      </w:pPr>
    </w:p>
    <w:sectPr w:rsidR="003D3A7A" w:rsidRPr="00D476F9" w:rsidSect="00A173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990"/>
    <w:multiLevelType w:val="hybridMultilevel"/>
    <w:tmpl w:val="E982BFBA"/>
    <w:lvl w:ilvl="0" w:tplc="C1B277CA">
      <w:start w:val="7"/>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89932B1"/>
    <w:multiLevelType w:val="hybridMultilevel"/>
    <w:tmpl w:val="E9DAD0C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66732480"/>
    <w:multiLevelType w:val="hybridMultilevel"/>
    <w:tmpl w:val="FEC6ADA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4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B1F"/>
    <w:rsid w:val="000054D9"/>
    <w:rsid w:val="00006703"/>
    <w:rsid w:val="00040AF1"/>
    <w:rsid w:val="000671D7"/>
    <w:rsid w:val="000E21D5"/>
    <w:rsid w:val="000E7C8B"/>
    <w:rsid w:val="000F24FF"/>
    <w:rsid w:val="001146B3"/>
    <w:rsid w:val="00134004"/>
    <w:rsid w:val="0018541D"/>
    <w:rsid w:val="00190CCE"/>
    <w:rsid w:val="001B7BC3"/>
    <w:rsid w:val="00201128"/>
    <w:rsid w:val="00216822"/>
    <w:rsid w:val="0022378A"/>
    <w:rsid w:val="0025356D"/>
    <w:rsid w:val="00254F17"/>
    <w:rsid w:val="002B10F0"/>
    <w:rsid w:val="002B17C0"/>
    <w:rsid w:val="00303E4B"/>
    <w:rsid w:val="00323A97"/>
    <w:rsid w:val="00363157"/>
    <w:rsid w:val="00390F9D"/>
    <w:rsid w:val="00395637"/>
    <w:rsid w:val="003B1795"/>
    <w:rsid w:val="003D3A7A"/>
    <w:rsid w:val="004608F8"/>
    <w:rsid w:val="00470AB3"/>
    <w:rsid w:val="004B40E2"/>
    <w:rsid w:val="004D0B42"/>
    <w:rsid w:val="004D73CD"/>
    <w:rsid w:val="004F16F3"/>
    <w:rsid w:val="004F7923"/>
    <w:rsid w:val="00526A00"/>
    <w:rsid w:val="0055649C"/>
    <w:rsid w:val="00605A50"/>
    <w:rsid w:val="0063022D"/>
    <w:rsid w:val="00644B7E"/>
    <w:rsid w:val="006A7248"/>
    <w:rsid w:val="006B66B1"/>
    <w:rsid w:val="006B75AA"/>
    <w:rsid w:val="006B7D7F"/>
    <w:rsid w:val="006E58C3"/>
    <w:rsid w:val="006F432E"/>
    <w:rsid w:val="00711C37"/>
    <w:rsid w:val="0073546E"/>
    <w:rsid w:val="00797EE1"/>
    <w:rsid w:val="007C149D"/>
    <w:rsid w:val="007D2C61"/>
    <w:rsid w:val="00820659"/>
    <w:rsid w:val="0082631C"/>
    <w:rsid w:val="0082734B"/>
    <w:rsid w:val="0083587A"/>
    <w:rsid w:val="00840733"/>
    <w:rsid w:val="00864B79"/>
    <w:rsid w:val="008743F8"/>
    <w:rsid w:val="008E4519"/>
    <w:rsid w:val="009704A6"/>
    <w:rsid w:val="009A30AD"/>
    <w:rsid w:val="009A7171"/>
    <w:rsid w:val="00A02169"/>
    <w:rsid w:val="00A173F9"/>
    <w:rsid w:val="00A41BFD"/>
    <w:rsid w:val="00A441D6"/>
    <w:rsid w:val="00A54FF2"/>
    <w:rsid w:val="00A749BC"/>
    <w:rsid w:val="00AA75DC"/>
    <w:rsid w:val="00AB7F43"/>
    <w:rsid w:val="00B01177"/>
    <w:rsid w:val="00B21DD7"/>
    <w:rsid w:val="00B30FB0"/>
    <w:rsid w:val="00B347BC"/>
    <w:rsid w:val="00B47369"/>
    <w:rsid w:val="00B82986"/>
    <w:rsid w:val="00B8633E"/>
    <w:rsid w:val="00BA1776"/>
    <w:rsid w:val="00BC7B1F"/>
    <w:rsid w:val="00BF48DA"/>
    <w:rsid w:val="00C029C0"/>
    <w:rsid w:val="00C0634C"/>
    <w:rsid w:val="00C30F5A"/>
    <w:rsid w:val="00C317F3"/>
    <w:rsid w:val="00C40224"/>
    <w:rsid w:val="00C71C99"/>
    <w:rsid w:val="00C833D2"/>
    <w:rsid w:val="00CC05DC"/>
    <w:rsid w:val="00CF4AE5"/>
    <w:rsid w:val="00D22395"/>
    <w:rsid w:val="00D24FA2"/>
    <w:rsid w:val="00D35358"/>
    <w:rsid w:val="00D43B58"/>
    <w:rsid w:val="00D463FB"/>
    <w:rsid w:val="00D476F9"/>
    <w:rsid w:val="00DB3B9A"/>
    <w:rsid w:val="00DB7D5A"/>
    <w:rsid w:val="00DE1894"/>
    <w:rsid w:val="00DE55F5"/>
    <w:rsid w:val="00E3023D"/>
    <w:rsid w:val="00E56896"/>
    <w:rsid w:val="00E700E9"/>
    <w:rsid w:val="00E8245C"/>
    <w:rsid w:val="00EC24C6"/>
    <w:rsid w:val="00EC41D7"/>
    <w:rsid w:val="00EE38BF"/>
    <w:rsid w:val="00EE3C6D"/>
    <w:rsid w:val="00EF1B5A"/>
    <w:rsid w:val="00F558E0"/>
    <w:rsid w:val="00F74BE7"/>
    <w:rsid w:val="00F824CD"/>
    <w:rsid w:val="00FD22D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1F"/>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BC7B1F"/>
    <w:pPr>
      <w:jc w:val="both"/>
    </w:pPr>
    <w:rPr>
      <w:b/>
      <w:smallCaps/>
      <w:sz w:val="22"/>
    </w:rPr>
  </w:style>
  <w:style w:type="paragraph" w:customStyle="1" w:styleId="SVTitel">
    <w:name w:val="SV Titel"/>
    <w:basedOn w:val="Normal"/>
    <w:uiPriority w:val="99"/>
    <w:rsid w:val="00BC7B1F"/>
    <w:pPr>
      <w:jc w:val="both"/>
    </w:pPr>
    <w:rPr>
      <w:i/>
      <w:sz w:val="22"/>
    </w:rPr>
  </w:style>
  <w:style w:type="paragraph" w:customStyle="1" w:styleId="StandaardSV">
    <w:name w:val="Standaard SV"/>
    <w:basedOn w:val="Normal"/>
    <w:uiPriority w:val="99"/>
    <w:rsid w:val="00BC7B1F"/>
    <w:pPr>
      <w:jc w:val="both"/>
    </w:pPr>
    <w:rPr>
      <w:sz w:val="22"/>
    </w:rPr>
  </w:style>
  <w:style w:type="paragraph" w:styleId="ListParagraph">
    <w:name w:val="List Paragraph"/>
    <w:basedOn w:val="Normal"/>
    <w:uiPriority w:val="99"/>
    <w:qFormat/>
    <w:rsid w:val="00FD22DD"/>
    <w:pPr>
      <w:ind w:left="720"/>
      <w:contextualSpacing/>
    </w:pPr>
  </w:style>
  <w:style w:type="character" w:styleId="Hyperlink">
    <w:name w:val="Hyperlink"/>
    <w:basedOn w:val="DefaultParagraphFont"/>
    <w:uiPriority w:val="99"/>
    <w:rsid w:val="00390F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4914940">
      <w:marLeft w:val="0"/>
      <w:marRight w:val="0"/>
      <w:marTop w:val="0"/>
      <w:marBottom w:val="0"/>
      <w:divBdr>
        <w:top w:val="none" w:sz="0" w:space="0" w:color="auto"/>
        <w:left w:val="none" w:sz="0" w:space="0" w:color="auto"/>
        <w:bottom w:val="none" w:sz="0" w:space="0" w:color="auto"/>
        <w:right w:val="none" w:sz="0" w:space="0" w:color="auto"/>
      </w:divBdr>
    </w:div>
    <w:div w:id="1044914941">
      <w:marLeft w:val="0"/>
      <w:marRight w:val="0"/>
      <w:marTop w:val="0"/>
      <w:marBottom w:val="0"/>
      <w:divBdr>
        <w:top w:val="none" w:sz="0" w:space="0" w:color="auto"/>
        <w:left w:val="none" w:sz="0" w:space="0" w:color="auto"/>
        <w:bottom w:val="none" w:sz="0" w:space="0" w:color="auto"/>
        <w:right w:val="none" w:sz="0" w:space="0" w:color="auto"/>
      </w:divBdr>
    </w:div>
    <w:div w:id="1044914942">
      <w:marLeft w:val="0"/>
      <w:marRight w:val="0"/>
      <w:marTop w:val="0"/>
      <w:marBottom w:val="0"/>
      <w:divBdr>
        <w:top w:val="none" w:sz="0" w:space="0" w:color="auto"/>
        <w:left w:val="none" w:sz="0" w:space="0" w:color="auto"/>
        <w:bottom w:val="none" w:sz="0" w:space="0" w:color="auto"/>
        <w:right w:val="none" w:sz="0" w:space="0" w:color="auto"/>
      </w:divBdr>
    </w:div>
    <w:div w:id="1044914943">
      <w:marLeft w:val="0"/>
      <w:marRight w:val="0"/>
      <w:marTop w:val="0"/>
      <w:marBottom w:val="0"/>
      <w:divBdr>
        <w:top w:val="none" w:sz="0" w:space="0" w:color="auto"/>
        <w:left w:val="none" w:sz="0" w:space="0" w:color="auto"/>
        <w:bottom w:val="none" w:sz="0" w:space="0" w:color="auto"/>
        <w:right w:val="none" w:sz="0" w:space="0" w:color="auto"/>
      </w:divBdr>
    </w:div>
    <w:div w:id="104491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rk.be/wg/socecontewerk/ondersteuningsinstrumenten/adviesbureau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385</Words>
  <Characters>2119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nobels gerda</dc:creator>
  <cp:keywords/>
  <dc:description/>
  <cp:lastModifiedBy>Nathalie De Keyzer</cp:lastModifiedBy>
  <cp:revision>3</cp:revision>
  <cp:lastPrinted>2011-03-24T12:53:00Z</cp:lastPrinted>
  <dcterms:created xsi:type="dcterms:W3CDTF">2011-03-30T14:03:00Z</dcterms:created>
  <dcterms:modified xsi:type="dcterms:W3CDTF">2011-04-08T12:02:00Z</dcterms:modified>
</cp:coreProperties>
</file>