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62" w:rsidRPr="009C1C5D" w:rsidRDefault="005D3262"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5D3262" w:rsidRPr="009C1C5D" w:rsidRDefault="005D3262"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 xml:space="preserve">laamse regering, </w:t>
      </w:r>
      <w:r>
        <w:rPr>
          <w:b w:val="0"/>
          <w:szCs w:val="22"/>
        </w:rPr>
        <w:t>v</w:t>
      </w:r>
      <w:r w:rsidRPr="009C1C5D">
        <w:rPr>
          <w:b w:val="0"/>
          <w:szCs w:val="22"/>
        </w:rPr>
        <w:t xml:space="preserve">laams minister van </w:t>
      </w:r>
      <w:bookmarkEnd w:id="0"/>
      <w:r w:rsidRPr="009C1C5D">
        <w:rPr>
          <w:b w:val="0"/>
          <w:szCs w:val="22"/>
        </w:rPr>
        <w:t>economie, buitenlands beleid, landbouw en plattelandsbeleid</w:t>
      </w:r>
    </w:p>
    <w:p w:rsidR="005D3262" w:rsidRPr="009C1C5D" w:rsidRDefault="005D3262">
      <w:pPr>
        <w:rPr>
          <w:sz w:val="22"/>
          <w:szCs w:val="22"/>
        </w:rPr>
      </w:pPr>
    </w:p>
    <w:p w:rsidR="005D3262" w:rsidRPr="009C1C5D" w:rsidRDefault="005D3262">
      <w:pPr>
        <w:pStyle w:val="A-Lijn"/>
        <w:rPr>
          <w:szCs w:val="22"/>
        </w:rPr>
      </w:pPr>
    </w:p>
    <w:p w:rsidR="005D3262" w:rsidRPr="009C1C5D" w:rsidRDefault="005D3262">
      <w:pPr>
        <w:pStyle w:val="A-Type"/>
        <w:rPr>
          <w:szCs w:val="22"/>
        </w:rPr>
        <w:sectPr w:rsidR="005D3262" w:rsidRPr="009C1C5D" w:rsidSect="008E4D6E">
          <w:pgSz w:w="11906" w:h="16838"/>
          <w:pgMar w:top="1418" w:right="1418" w:bottom="1134" w:left="1418" w:header="709" w:footer="709" w:gutter="0"/>
          <w:cols w:space="708"/>
          <w:rtlGutter/>
        </w:sectPr>
      </w:pPr>
    </w:p>
    <w:p w:rsidR="005D3262" w:rsidRPr="00CC43A1" w:rsidRDefault="005D3262" w:rsidP="005B5FD6">
      <w:pPr>
        <w:jc w:val="both"/>
        <w:rPr>
          <w:b/>
          <w:smallCaps/>
          <w:sz w:val="22"/>
          <w:szCs w:val="22"/>
          <w:lang w:val="nl-BE"/>
        </w:rPr>
      </w:pPr>
      <w:r w:rsidRPr="00CC43A1">
        <w:rPr>
          <w:b/>
          <w:smallCaps/>
          <w:sz w:val="22"/>
          <w:szCs w:val="22"/>
          <w:lang w:val="nl-BE"/>
        </w:rPr>
        <w:t>antwoord</w:t>
      </w:r>
    </w:p>
    <w:p w:rsidR="005D3262" w:rsidRPr="009C1C5D" w:rsidRDefault="005D3262" w:rsidP="005B5FD6">
      <w:pPr>
        <w:jc w:val="both"/>
        <w:rPr>
          <w:sz w:val="22"/>
          <w:szCs w:val="22"/>
        </w:rPr>
      </w:pPr>
      <w:r>
        <w:rPr>
          <w:sz w:val="22"/>
          <w:szCs w:val="22"/>
        </w:rPr>
        <w:t>op v</w:t>
      </w:r>
      <w:r w:rsidRPr="009C1C5D">
        <w:rPr>
          <w:sz w:val="22"/>
          <w:szCs w:val="22"/>
        </w:rPr>
        <w:t xml:space="preserve">raag nr. </w:t>
      </w:r>
      <w:r>
        <w:rPr>
          <w:sz w:val="22"/>
          <w:szCs w:val="22"/>
        </w:rPr>
        <w:t>213 van 28 februari 2011</w:t>
      </w:r>
    </w:p>
    <w:p w:rsidR="005D3262" w:rsidRPr="009C1C5D" w:rsidRDefault="005D3262" w:rsidP="005B5FD6">
      <w:pPr>
        <w:jc w:val="both"/>
        <w:rPr>
          <w:b/>
          <w:sz w:val="22"/>
          <w:szCs w:val="22"/>
        </w:rPr>
      </w:pPr>
      <w:r w:rsidRPr="009C1C5D">
        <w:rPr>
          <w:sz w:val="22"/>
          <w:szCs w:val="22"/>
        </w:rPr>
        <w:t>van</w:t>
      </w:r>
      <w:r>
        <w:rPr>
          <w:sz w:val="22"/>
          <w:szCs w:val="22"/>
        </w:rPr>
        <w:t xml:space="preserve"> </w:t>
      </w:r>
      <w:r w:rsidRPr="00CC43A1">
        <w:rPr>
          <w:b/>
          <w:smallCaps/>
          <w:sz w:val="22"/>
          <w:szCs w:val="22"/>
          <w:lang w:val="nl-BE"/>
        </w:rPr>
        <w:t>lode vereeck</w:t>
      </w:r>
    </w:p>
    <w:p w:rsidR="005D3262" w:rsidRPr="009C1C5D" w:rsidRDefault="005D3262" w:rsidP="005B5FD6">
      <w:pPr>
        <w:pBdr>
          <w:bottom w:val="single" w:sz="4" w:space="1" w:color="auto"/>
        </w:pBdr>
        <w:jc w:val="both"/>
        <w:rPr>
          <w:sz w:val="22"/>
          <w:szCs w:val="22"/>
        </w:rPr>
      </w:pPr>
    </w:p>
    <w:p w:rsidR="005D3262" w:rsidRDefault="005D3262" w:rsidP="005B5FD6">
      <w:pPr>
        <w:pStyle w:val="StandaardSV"/>
        <w:ind w:left="360"/>
        <w:rPr>
          <w:szCs w:val="22"/>
        </w:rPr>
      </w:pPr>
    </w:p>
    <w:p w:rsidR="005D3262" w:rsidRPr="009C1C5D" w:rsidRDefault="005D3262" w:rsidP="005B5FD6">
      <w:pPr>
        <w:pStyle w:val="StandaardSV"/>
        <w:ind w:left="360"/>
        <w:rPr>
          <w:szCs w:val="22"/>
        </w:rPr>
      </w:pPr>
    </w:p>
    <w:p w:rsidR="005D3262" w:rsidRDefault="005D3262" w:rsidP="0050079F">
      <w:pPr>
        <w:numPr>
          <w:ilvl w:val="0"/>
          <w:numId w:val="34"/>
        </w:numPr>
        <w:autoSpaceDE w:val="0"/>
        <w:autoSpaceDN w:val="0"/>
        <w:adjustRightInd w:val="0"/>
        <w:jc w:val="both"/>
        <w:rPr>
          <w:sz w:val="22"/>
          <w:szCs w:val="22"/>
        </w:rPr>
      </w:pPr>
      <w:r>
        <w:rPr>
          <w:sz w:val="22"/>
          <w:szCs w:val="22"/>
        </w:rPr>
        <w:t>Onderstaande tabel biedt u een overzicht van de Vlaamse exportcijfers, voor wat betreft de eerste elf maanden van 2008, 2009 en 2010, de meest recente cijfers beschikbaar op ogenblik van analyse. De cijfers in onderstaande tabel zijn uitgedrukt in 1.000 euro.</w:t>
      </w:r>
    </w:p>
    <w:p w:rsidR="005D3262" w:rsidRDefault="005D3262" w:rsidP="008F5058">
      <w:pPr>
        <w:autoSpaceDE w:val="0"/>
        <w:autoSpaceDN w:val="0"/>
        <w:adjustRightInd w:val="0"/>
        <w:ind w:left="284"/>
        <w:jc w:val="both"/>
        <w:rPr>
          <w:sz w:val="22"/>
          <w:szCs w:val="22"/>
        </w:rPr>
      </w:pPr>
    </w:p>
    <w:tbl>
      <w:tblPr>
        <w:tblW w:w="9087" w:type="dxa"/>
        <w:tblInd w:w="55" w:type="dxa"/>
        <w:tblCellMar>
          <w:left w:w="70" w:type="dxa"/>
          <w:right w:w="70" w:type="dxa"/>
        </w:tblCellMar>
        <w:tblLook w:val="00A0"/>
      </w:tblPr>
      <w:tblGrid>
        <w:gridCol w:w="2425"/>
        <w:gridCol w:w="1276"/>
        <w:gridCol w:w="960"/>
        <w:gridCol w:w="1166"/>
        <w:gridCol w:w="927"/>
        <w:gridCol w:w="1276"/>
        <w:gridCol w:w="1057"/>
      </w:tblGrid>
      <w:tr w:rsidR="005D3262" w:rsidRPr="001939FD" w:rsidTr="00696F16">
        <w:trPr>
          <w:trHeight w:val="270"/>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696F16">
            <w:pPr>
              <w:jc w:val="center"/>
              <w:rPr>
                <w:b/>
                <w:bCs/>
                <w:color w:val="000000"/>
                <w:lang w:val="nl-BE" w:eastAsia="nl-BE"/>
              </w:rPr>
            </w:pPr>
            <w:r w:rsidRPr="00696F16">
              <w:rPr>
                <w:b/>
                <w:bCs/>
                <w:color w:val="000000"/>
                <w:lang w:val="nl-BE" w:eastAsia="nl-BE"/>
              </w:rPr>
              <w:t>Continent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E61593">
            <w:pPr>
              <w:jc w:val="center"/>
              <w:rPr>
                <w:b/>
                <w:bCs/>
                <w:color w:val="000000"/>
                <w:lang w:val="nl-BE" w:eastAsia="nl-BE"/>
              </w:rPr>
            </w:pPr>
            <w:r w:rsidRPr="00696F16">
              <w:rPr>
                <w:b/>
                <w:bCs/>
                <w:color w:val="000000"/>
                <w:lang w:val="nl-BE" w:eastAsia="nl-BE"/>
              </w:rPr>
              <w:t>2008</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8F5058">
            <w:pPr>
              <w:jc w:val="center"/>
              <w:rPr>
                <w:b/>
                <w:bCs/>
                <w:iCs/>
                <w:color w:val="000000"/>
                <w:lang w:val="nl-BE" w:eastAsia="nl-BE"/>
              </w:rPr>
            </w:pPr>
            <w:r w:rsidRPr="00696F16">
              <w:rPr>
                <w:b/>
                <w:bCs/>
                <w:iCs/>
                <w:color w:val="000000"/>
                <w:lang w:val="nl-BE" w:eastAsia="nl-BE"/>
              </w:rPr>
              <w:t>Aandeel</w:t>
            </w:r>
          </w:p>
          <w:p w:rsidR="005D3262" w:rsidRPr="00696F16" w:rsidRDefault="005D3262" w:rsidP="008F5058">
            <w:pPr>
              <w:jc w:val="center"/>
              <w:rPr>
                <w:b/>
                <w:bCs/>
                <w:iCs/>
                <w:color w:val="000000"/>
                <w:lang w:val="nl-BE" w:eastAsia="nl-BE"/>
              </w:rPr>
            </w:pPr>
            <w:r w:rsidRPr="00696F16">
              <w:rPr>
                <w:b/>
                <w:bCs/>
                <w:iCs/>
                <w:color w:val="000000"/>
                <w:lang w:val="nl-BE" w:eastAsia="nl-BE"/>
              </w:rPr>
              <w:t>2008</w:t>
            </w:r>
          </w:p>
          <w:p w:rsidR="005D3262" w:rsidRPr="00696F16" w:rsidRDefault="005D3262" w:rsidP="008F5058">
            <w:pPr>
              <w:jc w:val="center"/>
              <w:rPr>
                <w:b/>
                <w:bCs/>
                <w:iCs/>
                <w:color w:val="000000"/>
                <w:lang w:val="nl-BE" w:eastAsia="nl-BE"/>
              </w:rPr>
            </w:pPr>
            <w:r w:rsidRPr="00696F16">
              <w:rPr>
                <w:b/>
                <w:bCs/>
                <w:iCs/>
                <w:color w:val="000000"/>
                <w:lang w:val="nl-BE" w:eastAsia="nl-BE"/>
              </w:rPr>
              <w:t>in %</w:t>
            </w:r>
          </w:p>
        </w:tc>
        <w:tc>
          <w:tcPr>
            <w:tcW w:w="11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E61593">
            <w:pPr>
              <w:jc w:val="center"/>
              <w:rPr>
                <w:b/>
                <w:bCs/>
                <w:color w:val="000000"/>
                <w:lang w:val="nl-BE" w:eastAsia="nl-BE"/>
              </w:rPr>
            </w:pPr>
            <w:r w:rsidRPr="00696F16">
              <w:rPr>
                <w:b/>
                <w:bCs/>
                <w:color w:val="000000"/>
                <w:lang w:val="nl-BE" w:eastAsia="nl-BE"/>
              </w:rPr>
              <w:t>2009</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8F5058">
            <w:pPr>
              <w:jc w:val="center"/>
              <w:rPr>
                <w:b/>
                <w:bCs/>
                <w:iCs/>
                <w:color w:val="000000"/>
                <w:lang w:val="nl-BE" w:eastAsia="nl-BE"/>
              </w:rPr>
            </w:pPr>
            <w:r w:rsidRPr="00696F16">
              <w:rPr>
                <w:b/>
                <w:bCs/>
                <w:iCs/>
                <w:color w:val="000000"/>
                <w:lang w:val="nl-BE" w:eastAsia="nl-BE"/>
              </w:rPr>
              <w:t>Aandeel</w:t>
            </w:r>
          </w:p>
          <w:p w:rsidR="005D3262" w:rsidRPr="00696F16" w:rsidRDefault="005D3262" w:rsidP="008F5058">
            <w:pPr>
              <w:jc w:val="center"/>
              <w:rPr>
                <w:b/>
                <w:bCs/>
                <w:iCs/>
                <w:color w:val="000000"/>
                <w:lang w:val="nl-BE" w:eastAsia="nl-BE"/>
              </w:rPr>
            </w:pPr>
            <w:r w:rsidRPr="00696F16">
              <w:rPr>
                <w:b/>
                <w:bCs/>
                <w:iCs/>
                <w:color w:val="000000"/>
                <w:lang w:val="nl-BE" w:eastAsia="nl-BE"/>
              </w:rPr>
              <w:t>2009</w:t>
            </w:r>
          </w:p>
          <w:p w:rsidR="005D3262" w:rsidRPr="00696F16" w:rsidRDefault="005D3262" w:rsidP="008F5058">
            <w:pPr>
              <w:jc w:val="center"/>
              <w:rPr>
                <w:b/>
                <w:bCs/>
                <w:iCs/>
                <w:color w:val="000000"/>
                <w:lang w:val="nl-BE" w:eastAsia="nl-BE"/>
              </w:rPr>
            </w:pPr>
            <w:r w:rsidRPr="00696F16">
              <w:rPr>
                <w:b/>
                <w:bCs/>
                <w:iCs/>
                <w:color w:val="000000"/>
                <w:lang w:val="nl-BE" w:eastAsia="nl-BE"/>
              </w:rPr>
              <w:t>in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E61593">
            <w:pPr>
              <w:jc w:val="center"/>
              <w:rPr>
                <w:b/>
                <w:bCs/>
                <w:color w:val="000000"/>
                <w:lang w:val="nl-BE" w:eastAsia="nl-BE"/>
              </w:rPr>
            </w:pPr>
            <w:r w:rsidRPr="00696F16">
              <w:rPr>
                <w:b/>
                <w:bCs/>
                <w:color w:val="000000"/>
                <w:lang w:val="nl-BE" w:eastAsia="nl-BE"/>
              </w:rPr>
              <w:t>2010</w:t>
            </w:r>
          </w:p>
        </w:tc>
        <w:tc>
          <w:tcPr>
            <w:tcW w:w="1057" w:type="dxa"/>
            <w:tcBorders>
              <w:top w:val="single" w:sz="4" w:space="0" w:color="auto"/>
              <w:left w:val="nil"/>
              <w:bottom w:val="nil"/>
              <w:right w:val="single" w:sz="4" w:space="0" w:color="auto"/>
            </w:tcBorders>
            <w:shd w:val="clear" w:color="000000" w:fill="FFFFFF"/>
            <w:noWrap/>
            <w:vAlign w:val="center"/>
          </w:tcPr>
          <w:p w:rsidR="005D3262" w:rsidRPr="00696F16" w:rsidRDefault="005D3262" w:rsidP="008F5058">
            <w:pPr>
              <w:jc w:val="center"/>
              <w:rPr>
                <w:b/>
                <w:bCs/>
                <w:iCs/>
                <w:color w:val="000000"/>
                <w:lang w:val="nl-BE" w:eastAsia="nl-BE"/>
              </w:rPr>
            </w:pPr>
            <w:r w:rsidRPr="00696F16">
              <w:rPr>
                <w:b/>
                <w:bCs/>
                <w:iCs/>
                <w:color w:val="000000"/>
                <w:lang w:val="nl-BE" w:eastAsia="nl-BE"/>
              </w:rPr>
              <w:t>Aandeel</w:t>
            </w:r>
          </w:p>
        </w:tc>
      </w:tr>
      <w:tr w:rsidR="005D3262" w:rsidRPr="001939FD" w:rsidTr="008F5058">
        <w:trPr>
          <w:trHeight w:val="255"/>
        </w:trPr>
        <w:tc>
          <w:tcPr>
            <w:tcW w:w="2425"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C67F69">
            <w:pPr>
              <w:rPr>
                <w:b/>
                <w:bCs/>
                <w:color w:val="000000"/>
                <w:lang w:val="nl-BE" w:eastAsia="nl-BE"/>
              </w:rPr>
            </w:pPr>
          </w:p>
        </w:tc>
        <w:tc>
          <w:tcPr>
            <w:tcW w:w="116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C67F69">
            <w:pPr>
              <w:rPr>
                <w:b/>
                <w:bCs/>
                <w:color w:val="000000"/>
                <w:lang w:val="nl-BE" w:eastAsia="nl-BE"/>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8F5058">
            <w:pPr>
              <w:jc w:val="center"/>
              <w:rPr>
                <w:b/>
                <w:bCs/>
                <w:iCs/>
                <w:color w:val="000000"/>
                <w:lang w:val="nl-BE" w:eastAsia="nl-BE"/>
              </w:rPr>
            </w:pPr>
            <w:r w:rsidRPr="00696F16">
              <w:rPr>
                <w:b/>
                <w:bCs/>
                <w:iCs/>
                <w:color w:val="000000"/>
                <w:lang w:val="nl-BE" w:eastAsia="nl-BE"/>
              </w:rPr>
              <w:t>2010</w:t>
            </w:r>
          </w:p>
          <w:p w:rsidR="005D3262" w:rsidRPr="00696F16" w:rsidRDefault="005D3262" w:rsidP="008F5058">
            <w:pPr>
              <w:jc w:val="center"/>
              <w:rPr>
                <w:b/>
                <w:bCs/>
                <w:iCs/>
                <w:color w:val="000000"/>
                <w:lang w:val="nl-BE" w:eastAsia="nl-BE"/>
              </w:rPr>
            </w:pPr>
            <w:r w:rsidRPr="00696F16">
              <w:rPr>
                <w:b/>
                <w:bCs/>
                <w:iCs/>
                <w:color w:val="000000"/>
                <w:lang w:val="nl-BE" w:eastAsia="nl-BE"/>
              </w:rPr>
              <w:t>in %</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tcPr>
          <w:p w:rsidR="005D3262" w:rsidRPr="00696F16" w:rsidRDefault="005D3262" w:rsidP="00C67F69">
            <w:pPr>
              <w:rPr>
                <w:b/>
                <w:iCs/>
                <w:color w:val="000000"/>
                <w:lang w:val="nl-BE" w:eastAsia="nl-BE"/>
              </w:rPr>
            </w:pPr>
            <w:r w:rsidRPr="00696F16">
              <w:rPr>
                <w:b/>
                <w:iCs/>
                <w:color w:val="000000"/>
                <w:lang w:val="nl-BE" w:eastAsia="nl-BE"/>
              </w:rPr>
              <w:t>Europa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200.429.357</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80,54%</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158.463.322</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79,10%</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180.099.336</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76,36%</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Europese Unie</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188.430.730</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75,72%</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149.704.511</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74,73%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168.292.859</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71,35%</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tcPr>
          <w:p w:rsidR="005D3262" w:rsidRPr="00696F16" w:rsidRDefault="005D3262" w:rsidP="00C67F69">
            <w:pPr>
              <w:rPr>
                <w:iCs/>
                <w:color w:val="000000"/>
                <w:lang w:val="nl-BE" w:eastAsia="nl-BE"/>
              </w:rPr>
            </w:pPr>
            <w:r w:rsidRPr="00696F16">
              <w:rPr>
                <w:b/>
                <w:iCs/>
                <w:color w:val="000000"/>
                <w:lang w:val="nl-BE" w:eastAsia="nl-BE"/>
              </w:rPr>
              <w:t>Azië</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20.239.279</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8,13%</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18.687.228</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9,33%</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25.226.207</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10,70%</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Azië overige</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14.605.611</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5,87%</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14.251.923</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7,11%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19.663.858</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8,34%</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Nabije en Midden-Oosten</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5.633.668</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2,26%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4.435.305</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2,21%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5.562.350</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2,36%</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tcPr>
          <w:p w:rsidR="005D3262" w:rsidRPr="00696F16" w:rsidRDefault="005D3262" w:rsidP="00C67F69">
            <w:pPr>
              <w:rPr>
                <w:iCs/>
                <w:color w:val="000000"/>
                <w:lang w:val="nl-BE" w:eastAsia="nl-BE"/>
              </w:rPr>
            </w:pPr>
            <w:r w:rsidRPr="00696F16">
              <w:rPr>
                <w:b/>
                <w:iCs/>
                <w:color w:val="000000"/>
                <w:lang w:val="nl-BE" w:eastAsia="nl-BE"/>
              </w:rPr>
              <w:t>Amerika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17.672.099</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7,10%</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15.190.882</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7,58%</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19.549.035</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8,29%</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Noord-Amerika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14.158.915</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5,69%</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12.442.751</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6,21%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15.540.421</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6,59%</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Centraal-Amerika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1.016.316</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0,41%</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852.422</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0,43%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1.016.448</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0,43%</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Zuid-Amerika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2.496.867</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1,00%</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1.895.709</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0,95%</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2.992.166</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1,27%</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tcPr>
          <w:p w:rsidR="005D3262" w:rsidRPr="00696F16" w:rsidRDefault="005D3262" w:rsidP="00C67F69">
            <w:pPr>
              <w:rPr>
                <w:iCs/>
                <w:color w:val="000000"/>
                <w:lang w:val="nl-BE" w:eastAsia="nl-BE"/>
              </w:rPr>
            </w:pPr>
            <w:r w:rsidRPr="00696F16">
              <w:rPr>
                <w:b/>
                <w:iCs/>
                <w:color w:val="000000"/>
                <w:lang w:val="nl-BE" w:eastAsia="nl-BE"/>
              </w:rPr>
              <w:t>Afrika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5.860.804</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2,36%</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5.388.593</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2,69%</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6.246.247</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2,65%</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Noord-Afrika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2.025.312</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0,81%</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2.107.020</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1,05%</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2.562.256</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1,09%</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Afrika overige</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3.835.491</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1,54%</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3.281.574</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1,64%</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3.683.991</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1,56%</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tcPr>
          <w:p w:rsidR="005D3262" w:rsidRPr="00696F16" w:rsidRDefault="005D3262" w:rsidP="00C67F69">
            <w:pPr>
              <w:rPr>
                <w:iCs/>
                <w:color w:val="000000"/>
                <w:lang w:val="nl-BE" w:eastAsia="nl-BE"/>
              </w:rPr>
            </w:pPr>
            <w:r w:rsidRPr="00696F16">
              <w:rPr>
                <w:b/>
                <w:iCs/>
                <w:color w:val="000000"/>
                <w:lang w:val="nl-BE" w:eastAsia="nl-BE"/>
              </w:rPr>
              <w:t>Oceanië</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1.483.805</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0,60%</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1.071.544</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iCs/>
                <w:color w:val="000000"/>
                <w:lang w:val="nl-BE" w:eastAsia="nl-BE"/>
              </w:rPr>
            </w:pPr>
            <w:r w:rsidRPr="00696F16">
              <w:rPr>
                <w:iCs/>
                <w:color w:val="000000"/>
                <w:lang w:val="nl-BE" w:eastAsia="nl-BE"/>
              </w:rPr>
              <w:t>0,53%</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1.429.970</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iCs/>
                <w:color w:val="000000"/>
                <w:lang w:val="nl-BE" w:eastAsia="nl-BE"/>
              </w:rPr>
            </w:pPr>
            <w:r w:rsidRPr="00696F16">
              <w:rPr>
                <w:iCs/>
                <w:color w:val="000000"/>
                <w:lang w:val="nl-BE" w:eastAsia="nl-BE"/>
              </w:rPr>
              <w:t>0,61%</w:t>
            </w:r>
          </w:p>
        </w:tc>
      </w:tr>
      <w:tr w:rsidR="005D3262" w:rsidRPr="001939FD" w:rsidTr="00E61593">
        <w:trPr>
          <w:trHeight w:val="255"/>
        </w:trPr>
        <w:tc>
          <w:tcPr>
            <w:tcW w:w="2425" w:type="dxa"/>
            <w:tcBorders>
              <w:top w:val="nil"/>
              <w:left w:val="single" w:sz="4" w:space="0" w:color="auto"/>
              <w:bottom w:val="single" w:sz="4" w:space="0" w:color="auto"/>
              <w:right w:val="single" w:sz="4" w:space="0" w:color="auto"/>
            </w:tcBorders>
            <w:noWrap/>
          </w:tcPr>
          <w:p w:rsidR="005D3262" w:rsidRPr="00696F16" w:rsidRDefault="005D3262" w:rsidP="00C67F69">
            <w:pPr>
              <w:rPr>
                <w:color w:val="000000"/>
                <w:lang w:val="nl-BE" w:eastAsia="nl-BE"/>
              </w:rPr>
            </w:pPr>
            <w:r w:rsidRPr="00696F16">
              <w:rPr>
                <w:color w:val="000000"/>
                <w:lang w:val="nl-BE" w:eastAsia="nl-BE"/>
              </w:rPr>
              <w:t>Australië en Nieuw-Zeeland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1.096.006</w:t>
            </w:r>
          </w:p>
        </w:tc>
        <w:tc>
          <w:tcPr>
            <w:tcW w:w="960"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0,44%</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1.035.617</w:t>
            </w:r>
          </w:p>
        </w:tc>
        <w:tc>
          <w:tcPr>
            <w:tcW w:w="927" w:type="dxa"/>
            <w:tcBorders>
              <w:top w:val="single" w:sz="4" w:space="0" w:color="auto"/>
              <w:left w:val="nil"/>
              <w:bottom w:val="single" w:sz="4" w:space="0" w:color="auto"/>
              <w:right w:val="single" w:sz="4" w:space="0" w:color="auto"/>
            </w:tcBorders>
            <w:vAlign w:val="center"/>
          </w:tcPr>
          <w:p w:rsidR="005D3262" w:rsidRPr="00696F16" w:rsidRDefault="005D3262" w:rsidP="00E61593">
            <w:pPr>
              <w:jc w:val="right"/>
              <w:rPr>
                <w:color w:val="000000"/>
                <w:lang w:val="nl-BE" w:eastAsia="nl-BE"/>
              </w:rPr>
            </w:pPr>
            <w:r w:rsidRPr="00696F16">
              <w:rPr>
                <w:color w:val="000000"/>
                <w:lang w:val="nl-BE" w:eastAsia="nl-BE"/>
              </w:rPr>
              <w:t>0,52%</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8F5058">
            <w:pPr>
              <w:jc w:val="right"/>
              <w:rPr>
                <w:color w:val="000000"/>
                <w:lang w:val="nl-BE" w:eastAsia="nl-BE"/>
              </w:rPr>
            </w:pPr>
            <w:r w:rsidRPr="00696F16">
              <w:rPr>
                <w:color w:val="000000"/>
                <w:lang w:val="nl-BE" w:eastAsia="nl-BE"/>
              </w:rPr>
              <w:t>1.371.966</w:t>
            </w:r>
          </w:p>
        </w:tc>
        <w:tc>
          <w:tcPr>
            <w:tcW w:w="1057" w:type="dxa"/>
            <w:tcBorders>
              <w:top w:val="nil"/>
              <w:left w:val="nil"/>
              <w:bottom w:val="single" w:sz="4" w:space="0" w:color="auto"/>
              <w:right w:val="single" w:sz="4" w:space="0" w:color="auto"/>
            </w:tcBorders>
            <w:noWrap/>
            <w:vAlign w:val="center"/>
          </w:tcPr>
          <w:p w:rsidR="005D3262" w:rsidRPr="00696F16" w:rsidRDefault="005D3262" w:rsidP="008F5058">
            <w:pPr>
              <w:jc w:val="right"/>
              <w:rPr>
                <w:iCs/>
                <w:color w:val="000000"/>
                <w:lang w:val="nl-BE" w:eastAsia="nl-BE"/>
              </w:rPr>
            </w:pPr>
            <w:r w:rsidRPr="00696F16">
              <w:rPr>
                <w:iCs/>
                <w:color w:val="000000"/>
                <w:lang w:val="nl-BE" w:eastAsia="nl-BE"/>
              </w:rPr>
              <w:t>0,58%</w:t>
            </w:r>
          </w:p>
        </w:tc>
      </w:tr>
      <w:tr w:rsidR="005D3262" w:rsidRPr="008F5058" w:rsidTr="00F3284A">
        <w:trPr>
          <w:trHeight w:val="255"/>
        </w:trPr>
        <w:tc>
          <w:tcPr>
            <w:tcW w:w="2425" w:type="dxa"/>
            <w:tcBorders>
              <w:top w:val="nil"/>
              <w:left w:val="single" w:sz="4" w:space="0" w:color="auto"/>
              <w:bottom w:val="single" w:sz="4" w:space="0" w:color="auto"/>
              <w:right w:val="single" w:sz="4" w:space="0" w:color="auto"/>
            </w:tcBorders>
            <w:shd w:val="clear" w:color="000000" w:fill="auto"/>
            <w:noWrap/>
          </w:tcPr>
          <w:p w:rsidR="005D3262" w:rsidRPr="00696F16" w:rsidRDefault="005D3262" w:rsidP="00C67F69">
            <w:pPr>
              <w:rPr>
                <w:iCs/>
                <w:color w:val="000000"/>
                <w:lang w:val="nl-BE" w:eastAsia="nl-BE"/>
              </w:rPr>
            </w:pPr>
            <w:r w:rsidRPr="00696F16">
              <w:rPr>
                <w:iCs/>
                <w:color w:val="000000"/>
                <w:lang w:val="nl-BE" w:eastAsia="nl-BE"/>
              </w:rPr>
              <w:t>Bijzondere trafiek</w:t>
            </w:r>
          </w:p>
        </w:tc>
        <w:tc>
          <w:tcPr>
            <w:tcW w:w="1276" w:type="dxa"/>
            <w:tcBorders>
              <w:top w:val="nil"/>
              <w:left w:val="nil"/>
              <w:bottom w:val="single" w:sz="4" w:space="0" w:color="auto"/>
              <w:right w:val="single" w:sz="4" w:space="0" w:color="auto"/>
            </w:tcBorders>
            <w:shd w:val="clear" w:color="000000" w:fill="auto"/>
            <w:noWrap/>
            <w:vAlign w:val="center"/>
          </w:tcPr>
          <w:p w:rsidR="005D3262" w:rsidRPr="00696F16" w:rsidRDefault="005D3262" w:rsidP="008F5058">
            <w:pPr>
              <w:jc w:val="right"/>
              <w:rPr>
                <w:iCs/>
                <w:color w:val="000000"/>
                <w:lang w:val="nl-BE" w:eastAsia="nl-BE"/>
              </w:rPr>
            </w:pPr>
            <w:r w:rsidRPr="00696F16">
              <w:rPr>
                <w:iCs/>
                <w:color w:val="000000"/>
                <w:lang w:val="nl-BE" w:eastAsia="nl-BE"/>
              </w:rPr>
              <w:t>3.162.503</w:t>
            </w:r>
          </w:p>
        </w:tc>
        <w:tc>
          <w:tcPr>
            <w:tcW w:w="960" w:type="dxa"/>
            <w:tcBorders>
              <w:top w:val="single" w:sz="4" w:space="0" w:color="auto"/>
              <w:left w:val="nil"/>
              <w:bottom w:val="single" w:sz="4" w:space="0" w:color="auto"/>
              <w:right w:val="single" w:sz="4" w:space="0" w:color="auto"/>
            </w:tcBorders>
            <w:shd w:val="clear" w:color="000000" w:fill="auto"/>
            <w:vAlign w:val="center"/>
          </w:tcPr>
          <w:p w:rsidR="005D3262" w:rsidRPr="00696F16" w:rsidRDefault="005D3262" w:rsidP="00E61593">
            <w:pPr>
              <w:jc w:val="right"/>
              <w:rPr>
                <w:iCs/>
                <w:color w:val="000000"/>
                <w:lang w:val="nl-BE" w:eastAsia="nl-BE"/>
              </w:rPr>
            </w:pPr>
            <w:r w:rsidRPr="00696F16">
              <w:rPr>
                <w:iCs/>
                <w:color w:val="000000"/>
                <w:lang w:val="nl-BE" w:eastAsia="nl-BE"/>
              </w:rPr>
              <w:t>1,27%</w:t>
            </w:r>
          </w:p>
        </w:tc>
        <w:tc>
          <w:tcPr>
            <w:tcW w:w="1166" w:type="dxa"/>
            <w:tcBorders>
              <w:top w:val="nil"/>
              <w:left w:val="single" w:sz="4" w:space="0" w:color="auto"/>
              <w:bottom w:val="single" w:sz="4" w:space="0" w:color="auto"/>
              <w:right w:val="single" w:sz="4" w:space="0" w:color="auto"/>
            </w:tcBorders>
            <w:shd w:val="clear" w:color="000000" w:fill="auto"/>
            <w:noWrap/>
            <w:vAlign w:val="center"/>
          </w:tcPr>
          <w:p w:rsidR="005D3262" w:rsidRPr="00696F16" w:rsidRDefault="005D3262" w:rsidP="008F5058">
            <w:pPr>
              <w:jc w:val="right"/>
              <w:rPr>
                <w:iCs/>
                <w:color w:val="000000"/>
                <w:lang w:val="nl-BE" w:eastAsia="nl-BE"/>
              </w:rPr>
            </w:pPr>
            <w:r w:rsidRPr="00696F16">
              <w:rPr>
                <w:iCs/>
                <w:color w:val="000000"/>
                <w:lang w:val="nl-BE" w:eastAsia="nl-BE"/>
              </w:rPr>
              <w:t>1.520.244</w:t>
            </w:r>
          </w:p>
        </w:tc>
        <w:tc>
          <w:tcPr>
            <w:tcW w:w="927" w:type="dxa"/>
            <w:tcBorders>
              <w:top w:val="single" w:sz="4" w:space="0" w:color="auto"/>
              <w:left w:val="nil"/>
              <w:bottom w:val="single" w:sz="4" w:space="0" w:color="auto"/>
              <w:right w:val="single" w:sz="4" w:space="0" w:color="auto"/>
            </w:tcBorders>
            <w:shd w:val="clear" w:color="000000" w:fill="auto"/>
            <w:vAlign w:val="center"/>
          </w:tcPr>
          <w:p w:rsidR="005D3262" w:rsidRPr="00696F16" w:rsidRDefault="005D3262" w:rsidP="00E61593">
            <w:pPr>
              <w:jc w:val="right"/>
              <w:rPr>
                <w:iCs/>
                <w:color w:val="000000"/>
                <w:lang w:val="nl-BE" w:eastAsia="nl-BE"/>
              </w:rPr>
            </w:pPr>
            <w:r w:rsidRPr="00696F16">
              <w:rPr>
                <w:iCs/>
                <w:color w:val="000000"/>
                <w:lang w:val="nl-BE" w:eastAsia="nl-BE"/>
              </w:rPr>
              <w:t>0,76%</w:t>
            </w:r>
          </w:p>
        </w:tc>
        <w:tc>
          <w:tcPr>
            <w:tcW w:w="1276" w:type="dxa"/>
            <w:tcBorders>
              <w:top w:val="nil"/>
              <w:left w:val="single" w:sz="4" w:space="0" w:color="auto"/>
              <w:bottom w:val="single" w:sz="4" w:space="0" w:color="auto"/>
              <w:right w:val="single" w:sz="4" w:space="0" w:color="auto"/>
            </w:tcBorders>
            <w:shd w:val="clear" w:color="000000" w:fill="auto"/>
            <w:noWrap/>
            <w:vAlign w:val="center"/>
          </w:tcPr>
          <w:p w:rsidR="005D3262" w:rsidRPr="00696F16" w:rsidRDefault="005D3262" w:rsidP="008F5058">
            <w:pPr>
              <w:jc w:val="right"/>
              <w:rPr>
                <w:iCs/>
                <w:color w:val="000000"/>
                <w:lang w:val="nl-BE" w:eastAsia="nl-BE"/>
              </w:rPr>
            </w:pPr>
            <w:r w:rsidRPr="00696F16">
              <w:rPr>
                <w:iCs/>
                <w:color w:val="000000"/>
                <w:lang w:val="nl-BE" w:eastAsia="nl-BE"/>
              </w:rPr>
              <w:t>3.312.336</w:t>
            </w:r>
          </w:p>
        </w:tc>
        <w:tc>
          <w:tcPr>
            <w:tcW w:w="1057" w:type="dxa"/>
            <w:tcBorders>
              <w:top w:val="nil"/>
              <w:left w:val="nil"/>
              <w:bottom w:val="single" w:sz="4" w:space="0" w:color="auto"/>
              <w:right w:val="single" w:sz="4" w:space="0" w:color="auto"/>
            </w:tcBorders>
            <w:shd w:val="clear" w:color="000000" w:fill="auto"/>
            <w:noWrap/>
            <w:vAlign w:val="center"/>
          </w:tcPr>
          <w:p w:rsidR="005D3262" w:rsidRPr="00696F16" w:rsidRDefault="005D3262" w:rsidP="008F5058">
            <w:pPr>
              <w:jc w:val="right"/>
              <w:rPr>
                <w:iCs/>
                <w:color w:val="000000"/>
                <w:lang w:val="nl-BE" w:eastAsia="nl-BE"/>
              </w:rPr>
            </w:pPr>
            <w:r w:rsidRPr="00696F16">
              <w:rPr>
                <w:iCs/>
                <w:color w:val="000000"/>
                <w:lang w:val="nl-BE" w:eastAsia="nl-BE"/>
              </w:rPr>
              <w:t>1,40%</w:t>
            </w:r>
          </w:p>
        </w:tc>
      </w:tr>
      <w:tr w:rsidR="005D3262" w:rsidRPr="001939FD"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bottom"/>
          </w:tcPr>
          <w:p w:rsidR="005D3262" w:rsidRPr="00696F16" w:rsidRDefault="005D3262" w:rsidP="00C67F69">
            <w:pPr>
              <w:rPr>
                <w:b/>
                <w:bCs/>
                <w:color w:val="000000"/>
                <w:lang w:val="nl-BE" w:eastAsia="nl-BE"/>
              </w:rPr>
            </w:pPr>
            <w:r w:rsidRPr="00696F16">
              <w:rPr>
                <w:b/>
                <w:bCs/>
                <w:color w:val="000000"/>
                <w:lang w:val="nl-BE" w:eastAsia="nl-BE"/>
              </w:rPr>
              <w:t>TOTAAL</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b/>
                <w:bCs/>
                <w:color w:val="000000"/>
                <w:lang w:val="nl-BE" w:eastAsia="nl-BE"/>
              </w:rPr>
            </w:pPr>
            <w:r w:rsidRPr="00696F16">
              <w:rPr>
                <w:b/>
                <w:bCs/>
                <w:color w:val="000000"/>
                <w:lang w:val="nl-BE" w:eastAsia="nl-BE"/>
              </w:rPr>
              <w:t>248.847.847</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b/>
                <w:bCs/>
                <w:color w:val="000000"/>
                <w:lang w:val="nl-BE" w:eastAsia="nl-BE"/>
              </w:rPr>
            </w:pPr>
            <w:r w:rsidRPr="00696F16">
              <w:rPr>
                <w:b/>
                <w:bCs/>
                <w:color w:val="000000"/>
                <w:lang w:val="nl-BE" w:eastAsia="nl-BE"/>
              </w:rPr>
              <w:t>100%</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b/>
                <w:bCs/>
                <w:color w:val="000000"/>
                <w:lang w:val="nl-BE" w:eastAsia="nl-BE"/>
              </w:rPr>
            </w:pPr>
            <w:r w:rsidRPr="00696F16">
              <w:rPr>
                <w:b/>
                <w:bCs/>
                <w:color w:val="000000"/>
                <w:lang w:val="nl-BE" w:eastAsia="nl-BE"/>
              </w:rPr>
              <w:t>200.321.814</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E61593">
            <w:pPr>
              <w:jc w:val="right"/>
              <w:rPr>
                <w:b/>
                <w:bCs/>
                <w:color w:val="000000"/>
                <w:lang w:val="nl-BE" w:eastAsia="nl-BE"/>
              </w:rPr>
            </w:pPr>
            <w:r w:rsidRPr="00696F16">
              <w:rPr>
                <w:b/>
                <w:bCs/>
                <w:color w:val="000000"/>
                <w:lang w:val="nl-BE" w:eastAsia="nl-BE"/>
              </w:rPr>
              <w:t>100%</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8F5058">
            <w:pPr>
              <w:jc w:val="right"/>
              <w:rPr>
                <w:b/>
                <w:bCs/>
                <w:color w:val="000000"/>
                <w:lang w:val="nl-BE" w:eastAsia="nl-BE"/>
              </w:rPr>
            </w:pPr>
            <w:r w:rsidRPr="00696F16">
              <w:rPr>
                <w:b/>
                <w:bCs/>
                <w:color w:val="000000"/>
                <w:lang w:val="nl-BE" w:eastAsia="nl-BE"/>
              </w:rPr>
              <w:t>235.863.130</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8F5058">
            <w:pPr>
              <w:jc w:val="right"/>
              <w:rPr>
                <w:b/>
                <w:bCs/>
                <w:iCs/>
                <w:color w:val="000000"/>
                <w:lang w:val="nl-BE" w:eastAsia="nl-BE"/>
              </w:rPr>
            </w:pPr>
            <w:r w:rsidRPr="00696F16">
              <w:rPr>
                <w:b/>
                <w:bCs/>
                <w:iCs/>
                <w:color w:val="000000"/>
                <w:lang w:val="nl-BE" w:eastAsia="nl-BE"/>
              </w:rPr>
              <w:t>100%</w:t>
            </w:r>
          </w:p>
        </w:tc>
      </w:tr>
    </w:tbl>
    <w:p w:rsidR="005D3262" w:rsidRDefault="005D3262" w:rsidP="00591323">
      <w:pPr>
        <w:autoSpaceDE w:val="0"/>
        <w:autoSpaceDN w:val="0"/>
        <w:adjustRightInd w:val="0"/>
        <w:jc w:val="both"/>
        <w:rPr>
          <w:sz w:val="22"/>
          <w:szCs w:val="22"/>
        </w:rPr>
      </w:pPr>
    </w:p>
    <w:p w:rsidR="005D3262" w:rsidRDefault="005D3262" w:rsidP="0050079F">
      <w:pPr>
        <w:numPr>
          <w:ilvl w:val="0"/>
          <w:numId w:val="34"/>
        </w:numPr>
        <w:autoSpaceDE w:val="0"/>
        <w:autoSpaceDN w:val="0"/>
        <w:adjustRightInd w:val="0"/>
        <w:jc w:val="both"/>
        <w:rPr>
          <w:sz w:val="22"/>
          <w:szCs w:val="22"/>
        </w:rPr>
      </w:pPr>
      <w:r>
        <w:rPr>
          <w:sz w:val="22"/>
          <w:szCs w:val="22"/>
        </w:rPr>
        <w:t>Onderstaande tabel biedt u een overzicht van de Vlaamse export naar de EU 27, naar de BRIC landen en naar andere snelgroeiende economieën. Net zoals in mijn antwoord op de eerste vraag, betreft het cijfers voor de eerste elf maanden van 2010.</w:t>
      </w:r>
    </w:p>
    <w:p w:rsidR="005D3262" w:rsidRDefault="005D3262" w:rsidP="006D41F9">
      <w:pPr>
        <w:autoSpaceDE w:val="0"/>
        <w:autoSpaceDN w:val="0"/>
        <w:adjustRightInd w:val="0"/>
        <w:jc w:val="both"/>
        <w:rPr>
          <w:sz w:val="22"/>
          <w:szCs w:val="22"/>
        </w:rPr>
      </w:pPr>
    </w:p>
    <w:tbl>
      <w:tblPr>
        <w:tblW w:w="9087" w:type="dxa"/>
        <w:tblInd w:w="55" w:type="dxa"/>
        <w:tblCellMar>
          <w:left w:w="70" w:type="dxa"/>
          <w:right w:w="70" w:type="dxa"/>
        </w:tblCellMar>
        <w:tblLook w:val="00A0"/>
      </w:tblPr>
      <w:tblGrid>
        <w:gridCol w:w="2425"/>
        <w:gridCol w:w="1276"/>
        <w:gridCol w:w="960"/>
        <w:gridCol w:w="1166"/>
        <w:gridCol w:w="927"/>
        <w:gridCol w:w="1276"/>
        <w:gridCol w:w="1057"/>
      </w:tblGrid>
      <w:tr w:rsidR="005D3262" w:rsidRPr="001939FD" w:rsidTr="00696F16">
        <w:trPr>
          <w:trHeight w:val="270"/>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696F16">
            <w:pPr>
              <w:jc w:val="center"/>
              <w:rPr>
                <w:b/>
                <w:bCs/>
                <w:color w:val="000000"/>
                <w:lang w:val="nl-BE" w:eastAsia="nl-BE"/>
              </w:rPr>
            </w:pPr>
            <w:r w:rsidRPr="00696F16">
              <w:rPr>
                <w:b/>
                <w:bCs/>
                <w:color w:val="000000"/>
                <w:lang w:val="nl-BE" w:eastAsia="nl-BE"/>
              </w:rPr>
              <w:t>Continent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C67F69">
            <w:pPr>
              <w:jc w:val="center"/>
              <w:rPr>
                <w:b/>
                <w:bCs/>
                <w:color w:val="000000"/>
                <w:lang w:val="nl-BE" w:eastAsia="nl-BE"/>
              </w:rPr>
            </w:pPr>
            <w:r w:rsidRPr="00696F16">
              <w:rPr>
                <w:b/>
                <w:bCs/>
                <w:color w:val="000000"/>
                <w:lang w:val="nl-BE" w:eastAsia="nl-BE"/>
              </w:rPr>
              <w:t>2008</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C67F69">
            <w:pPr>
              <w:jc w:val="center"/>
              <w:rPr>
                <w:b/>
                <w:bCs/>
                <w:iCs/>
                <w:color w:val="000000"/>
                <w:lang w:val="nl-BE" w:eastAsia="nl-BE"/>
              </w:rPr>
            </w:pPr>
            <w:r w:rsidRPr="00696F16">
              <w:rPr>
                <w:b/>
                <w:bCs/>
                <w:iCs/>
                <w:color w:val="000000"/>
                <w:lang w:val="nl-BE" w:eastAsia="nl-BE"/>
              </w:rPr>
              <w:t>Aandeel</w:t>
            </w:r>
          </w:p>
          <w:p w:rsidR="005D3262" w:rsidRPr="00696F16" w:rsidRDefault="005D3262" w:rsidP="00C67F69">
            <w:pPr>
              <w:jc w:val="center"/>
              <w:rPr>
                <w:b/>
                <w:bCs/>
                <w:iCs/>
                <w:color w:val="000000"/>
                <w:lang w:val="nl-BE" w:eastAsia="nl-BE"/>
              </w:rPr>
            </w:pPr>
            <w:r w:rsidRPr="00696F16">
              <w:rPr>
                <w:b/>
                <w:bCs/>
                <w:iCs/>
                <w:color w:val="000000"/>
                <w:lang w:val="nl-BE" w:eastAsia="nl-BE"/>
              </w:rPr>
              <w:t>2008</w:t>
            </w:r>
          </w:p>
          <w:p w:rsidR="005D3262" w:rsidRPr="00696F16" w:rsidRDefault="005D3262" w:rsidP="00C67F69">
            <w:pPr>
              <w:jc w:val="center"/>
              <w:rPr>
                <w:b/>
                <w:bCs/>
                <w:iCs/>
                <w:color w:val="000000"/>
                <w:lang w:val="nl-BE" w:eastAsia="nl-BE"/>
              </w:rPr>
            </w:pPr>
            <w:r w:rsidRPr="00696F16">
              <w:rPr>
                <w:b/>
                <w:bCs/>
                <w:iCs/>
                <w:color w:val="000000"/>
                <w:lang w:val="nl-BE" w:eastAsia="nl-BE"/>
              </w:rPr>
              <w:t>in %</w:t>
            </w:r>
          </w:p>
        </w:tc>
        <w:tc>
          <w:tcPr>
            <w:tcW w:w="11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C67F69">
            <w:pPr>
              <w:jc w:val="center"/>
              <w:rPr>
                <w:b/>
                <w:bCs/>
                <w:color w:val="000000"/>
                <w:lang w:val="nl-BE" w:eastAsia="nl-BE"/>
              </w:rPr>
            </w:pPr>
            <w:r w:rsidRPr="00696F16">
              <w:rPr>
                <w:b/>
                <w:bCs/>
                <w:color w:val="000000"/>
                <w:lang w:val="nl-BE" w:eastAsia="nl-BE"/>
              </w:rPr>
              <w:t>2009</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C67F69">
            <w:pPr>
              <w:jc w:val="center"/>
              <w:rPr>
                <w:b/>
                <w:bCs/>
                <w:iCs/>
                <w:color w:val="000000"/>
                <w:lang w:val="nl-BE" w:eastAsia="nl-BE"/>
              </w:rPr>
            </w:pPr>
            <w:r w:rsidRPr="00696F16">
              <w:rPr>
                <w:b/>
                <w:bCs/>
                <w:iCs/>
                <w:color w:val="000000"/>
                <w:lang w:val="nl-BE" w:eastAsia="nl-BE"/>
              </w:rPr>
              <w:t>Aandeel</w:t>
            </w:r>
          </w:p>
          <w:p w:rsidR="005D3262" w:rsidRPr="00696F16" w:rsidRDefault="005D3262" w:rsidP="00C67F69">
            <w:pPr>
              <w:jc w:val="center"/>
              <w:rPr>
                <w:b/>
                <w:bCs/>
                <w:iCs/>
                <w:color w:val="000000"/>
                <w:lang w:val="nl-BE" w:eastAsia="nl-BE"/>
              </w:rPr>
            </w:pPr>
            <w:r w:rsidRPr="00696F16">
              <w:rPr>
                <w:b/>
                <w:bCs/>
                <w:iCs/>
                <w:color w:val="000000"/>
                <w:lang w:val="nl-BE" w:eastAsia="nl-BE"/>
              </w:rPr>
              <w:t>2009</w:t>
            </w:r>
          </w:p>
          <w:p w:rsidR="005D3262" w:rsidRPr="00696F16" w:rsidRDefault="005D3262" w:rsidP="00C67F69">
            <w:pPr>
              <w:jc w:val="center"/>
              <w:rPr>
                <w:b/>
                <w:bCs/>
                <w:iCs/>
                <w:color w:val="000000"/>
                <w:lang w:val="nl-BE" w:eastAsia="nl-BE"/>
              </w:rPr>
            </w:pPr>
            <w:r w:rsidRPr="00696F16">
              <w:rPr>
                <w:b/>
                <w:bCs/>
                <w:iCs/>
                <w:color w:val="000000"/>
                <w:lang w:val="nl-BE" w:eastAsia="nl-BE"/>
              </w:rPr>
              <w:t>in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C67F69">
            <w:pPr>
              <w:jc w:val="center"/>
              <w:rPr>
                <w:b/>
                <w:bCs/>
                <w:color w:val="000000"/>
                <w:lang w:val="nl-BE" w:eastAsia="nl-BE"/>
              </w:rPr>
            </w:pPr>
            <w:r w:rsidRPr="00696F16">
              <w:rPr>
                <w:b/>
                <w:bCs/>
                <w:color w:val="000000"/>
                <w:lang w:val="nl-BE" w:eastAsia="nl-BE"/>
              </w:rPr>
              <w:t>2010</w:t>
            </w:r>
          </w:p>
        </w:tc>
        <w:tc>
          <w:tcPr>
            <w:tcW w:w="1057" w:type="dxa"/>
            <w:tcBorders>
              <w:top w:val="single" w:sz="4" w:space="0" w:color="auto"/>
              <w:left w:val="nil"/>
              <w:bottom w:val="nil"/>
              <w:right w:val="single" w:sz="4" w:space="0" w:color="auto"/>
            </w:tcBorders>
            <w:shd w:val="clear" w:color="000000" w:fill="FFFFFF"/>
            <w:noWrap/>
            <w:vAlign w:val="center"/>
          </w:tcPr>
          <w:p w:rsidR="005D3262" w:rsidRPr="00696F16" w:rsidRDefault="005D3262" w:rsidP="00C67F69">
            <w:pPr>
              <w:jc w:val="center"/>
              <w:rPr>
                <w:b/>
                <w:bCs/>
                <w:iCs/>
                <w:color w:val="000000"/>
                <w:lang w:val="nl-BE" w:eastAsia="nl-BE"/>
              </w:rPr>
            </w:pPr>
            <w:r w:rsidRPr="00696F16">
              <w:rPr>
                <w:b/>
                <w:bCs/>
                <w:iCs/>
                <w:color w:val="000000"/>
                <w:lang w:val="nl-BE" w:eastAsia="nl-BE"/>
              </w:rPr>
              <w:t>Aandeel</w:t>
            </w:r>
          </w:p>
        </w:tc>
      </w:tr>
      <w:tr w:rsidR="005D3262" w:rsidRPr="001939FD" w:rsidTr="00C67F69">
        <w:trPr>
          <w:trHeight w:val="255"/>
        </w:trPr>
        <w:tc>
          <w:tcPr>
            <w:tcW w:w="2425"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C67F69">
            <w:pPr>
              <w:rPr>
                <w:b/>
                <w:bCs/>
                <w:color w:val="000000"/>
                <w:lang w:val="nl-BE" w:eastAsia="nl-BE"/>
              </w:rPr>
            </w:pPr>
          </w:p>
        </w:tc>
        <w:tc>
          <w:tcPr>
            <w:tcW w:w="116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C67F69">
            <w:pPr>
              <w:rPr>
                <w:b/>
                <w:bCs/>
                <w:color w:val="000000"/>
                <w:lang w:val="nl-BE" w:eastAsia="nl-BE"/>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C67F69">
            <w:pPr>
              <w:rPr>
                <w:b/>
                <w:bCs/>
                <w:color w:val="000000"/>
                <w:lang w:val="nl-BE" w:eastAsia="nl-BE"/>
              </w:rPr>
            </w:pP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C67F69">
            <w:pPr>
              <w:jc w:val="center"/>
              <w:rPr>
                <w:b/>
                <w:bCs/>
                <w:iCs/>
                <w:color w:val="000000"/>
                <w:lang w:val="nl-BE" w:eastAsia="nl-BE"/>
              </w:rPr>
            </w:pPr>
            <w:r w:rsidRPr="00696F16">
              <w:rPr>
                <w:b/>
                <w:bCs/>
                <w:iCs/>
                <w:color w:val="000000"/>
                <w:lang w:val="nl-BE" w:eastAsia="nl-BE"/>
              </w:rPr>
              <w:t>2010</w:t>
            </w:r>
          </w:p>
          <w:p w:rsidR="005D3262" w:rsidRPr="00696F16" w:rsidRDefault="005D3262" w:rsidP="00C67F69">
            <w:pPr>
              <w:jc w:val="center"/>
              <w:rPr>
                <w:b/>
                <w:bCs/>
                <w:iCs/>
                <w:color w:val="000000"/>
                <w:lang w:val="nl-BE" w:eastAsia="nl-BE"/>
              </w:rPr>
            </w:pPr>
            <w:r w:rsidRPr="00696F16">
              <w:rPr>
                <w:b/>
                <w:bCs/>
                <w:iCs/>
                <w:color w:val="000000"/>
                <w:lang w:val="nl-BE" w:eastAsia="nl-BE"/>
              </w:rPr>
              <w:t>in %</w:t>
            </w:r>
          </w:p>
        </w:tc>
      </w:tr>
      <w:tr w:rsidR="005D3262" w:rsidRPr="001939FD" w:rsidTr="00586F9B">
        <w:trPr>
          <w:trHeight w:val="255"/>
        </w:trPr>
        <w:tc>
          <w:tcPr>
            <w:tcW w:w="2425"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6571C1">
            <w:pPr>
              <w:rPr>
                <w:b/>
                <w:color w:val="000000"/>
                <w:lang w:val="nl-BE" w:eastAsia="nl-BE"/>
              </w:rPr>
            </w:pPr>
            <w:r w:rsidRPr="00696F16">
              <w:rPr>
                <w:b/>
                <w:color w:val="000000"/>
                <w:lang w:val="nl-BE" w:eastAsia="nl-BE"/>
              </w:rPr>
              <w:t>EU 27</w:t>
            </w:r>
          </w:p>
        </w:tc>
        <w:tc>
          <w:tcPr>
            <w:tcW w:w="1276" w:type="dxa"/>
            <w:tcBorders>
              <w:top w:val="nil"/>
              <w:left w:val="nil"/>
              <w:bottom w:val="single" w:sz="4" w:space="0" w:color="auto"/>
              <w:right w:val="single" w:sz="4" w:space="0" w:color="auto"/>
            </w:tcBorders>
            <w:shd w:val="clear" w:color="auto" w:fill="BFBFBF"/>
            <w:noWrap/>
            <w:vAlign w:val="center"/>
          </w:tcPr>
          <w:p w:rsidR="005D3262" w:rsidRPr="00696F16" w:rsidRDefault="005D3262" w:rsidP="00586F9B">
            <w:pPr>
              <w:jc w:val="right"/>
              <w:rPr>
                <w:b/>
                <w:color w:val="000000"/>
                <w:lang w:val="nl-BE" w:eastAsia="nl-BE"/>
              </w:rPr>
            </w:pPr>
            <w:r w:rsidRPr="00696F16">
              <w:rPr>
                <w:b/>
                <w:color w:val="000000"/>
                <w:lang w:val="nl-BE" w:eastAsia="nl-BE"/>
              </w:rPr>
              <w:t>188.430.730</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3262" w:rsidRPr="00696F16" w:rsidRDefault="005D3262" w:rsidP="00586F9B">
            <w:pPr>
              <w:jc w:val="right"/>
              <w:rPr>
                <w:b/>
                <w:color w:val="000000"/>
                <w:lang w:val="nl-BE" w:eastAsia="nl-BE"/>
              </w:rPr>
            </w:pPr>
            <w:r w:rsidRPr="00696F16">
              <w:rPr>
                <w:b/>
                <w:color w:val="000000"/>
                <w:lang w:val="nl-BE" w:eastAsia="nl-BE"/>
              </w:rPr>
              <w:t>75,72%</w:t>
            </w:r>
          </w:p>
        </w:tc>
        <w:tc>
          <w:tcPr>
            <w:tcW w:w="1166"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586F9B">
            <w:pPr>
              <w:jc w:val="right"/>
              <w:rPr>
                <w:b/>
                <w:color w:val="000000"/>
                <w:lang w:val="nl-BE" w:eastAsia="nl-BE"/>
              </w:rPr>
            </w:pPr>
            <w:r w:rsidRPr="00696F16">
              <w:rPr>
                <w:b/>
                <w:color w:val="000000"/>
                <w:lang w:val="nl-BE" w:eastAsia="nl-BE"/>
              </w:rPr>
              <w:t>149.704.511</w:t>
            </w:r>
          </w:p>
        </w:tc>
        <w:tc>
          <w:tcPr>
            <w:tcW w:w="927" w:type="dxa"/>
            <w:tcBorders>
              <w:top w:val="single" w:sz="4" w:space="0" w:color="auto"/>
              <w:left w:val="nil"/>
              <w:bottom w:val="single" w:sz="4" w:space="0" w:color="auto"/>
              <w:right w:val="single" w:sz="4" w:space="0" w:color="auto"/>
            </w:tcBorders>
            <w:shd w:val="clear" w:color="auto" w:fill="BFBFBF"/>
            <w:vAlign w:val="center"/>
          </w:tcPr>
          <w:p w:rsidR="005D3262" w:rsidRPr="00696F16" w:rsidRDefault="005D3262" w:rsidP="00586F9B">
            <w:pPr>
              <w:jc w:val="right"/>
              <w:rPr>
                <w:b/>
                <w:color w:val="000000"/>
                <w:lang w:val="nl-BE" w:eastAsia="nl-BE"/>
              </w:rPr>
            </w:pPr>
            <w:r w:rsidRPr="00696F16">
              <w:rPr>
                <w:b/>
                <w:color w:val="000000"/>
                <w:lang w:val="nl-BE" w:eastAsia="nl-BE"/>
              </w:rPr>
              <w:t>74,73%</w:t>
            </w:r>
          </w:p>
        </w:tc>
        <w:tc>
          <w:tcPr>
            <w:tcW w:w="1276"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586F9B">
            <w:pPr>
              <w:jc w:val="right"/>
              <w:rPr>
                <w:b/>
                <w:color w:val="000000"/>
                <w:lang w:val="nl-BE" w:eastAsia="nl-BE"/>
              </w:rPr>
            </w:pPr>
            <w:r w:rsidRPr="00696F16">
              <w:rPr>
                <w:b/>
                <w:color w:val="000000"/>
                <w:lang w:val="nl-BE" w:eastAsia="nl-BE"/>
              </w:rPr>
              <w:t>168.292.859</w:t>
            </w:r>
          </w:p>
        </w:tc>
        <w:tc>
          <w:tcPr>
            <w:tcW w:w="1057" w:type="dxa"/>
            <w:tcBorders>
              <w:top w:val="nil"/>
              <w:left w:val="nil"/>
              <w:bottom w:val="single" w:sz="4" w:space="0" w:color="auto"/>
              <w:right w:val="single" w:sz="4" w:space="0" w:color="auto"/>
            </w:tcBorders>
            <w:shd w:val="clear" w:color="auto" w:fill="BFBFBF"/>
            <w:noWrap/>
            <w:vAlign w:val="center"/>
          </w:tcPr>
          <w:p w:rsidR="005D3262" w:rsidRPr="00696F16" w:rsidRDefault="005D3262" w:rsidP="00586F9B">
            <w:pPr>
              <w:jc w:val="right"/>
              <w:rPr>
                <w:b/>
                <w:iCs/>
                <w:color w:val="000000"/>
                <w:lang w:val="nl-BE" w:eastAsia="nl-BE"/>
              </w:rPr>
            </w:pPr>
            <w:r w:rsidRPr="00696F16">
              <w:rPr>
                <w:b/>
                <w:iCs/>
                <w:color w:val="000000"/>
                <w:lang w:val="nl-BE" w:eastAsia="nl-BE"/>
              </w:rPr>
              <w:t>71,35%</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Duitsland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52.232.145</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20,99%</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40.816.171</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20,38%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45.218.504</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19,17%</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Frankrijk</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34.708.023</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13,95%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29.813.053</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14,88%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32.178.734</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13,64%</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Nederland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32.444.443</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13,04%</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25.085.152</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12,52%</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29.572.555</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12,54%</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Verenigd Koninkrijk</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19.128.560</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7,69%</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15.005.179</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7,49%</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17.284.163</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7,33%</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Italië</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11.428.223</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4,59%</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9.605.786</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4,80%</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10.754.153</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4,56%</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Spanje</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8.440.719</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3,39%</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6.614.790</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3,30%</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7.109.012</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3,01%</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Polen</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4.123.855</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1,66%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3.260.112</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1,63%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3.896.110</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1,65%</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Zweden</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3.660.001</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1,47%</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2.766.795</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1,38%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3.451.232</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1,46%</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Luxemburg</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3.366.464</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1,35%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2.627.057</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1,31%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3.072.378</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1,30%</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Oostenrijk</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2.556.416</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1,03%</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2.050.116</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1,02%</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2.297.431</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0,97%</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Tsjechië</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2.321.681</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0,93%</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1.802.408</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0,90%</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1.942.926</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0,82%</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Denemarken</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2.180.198</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0,88%</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1.632.169</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0,81%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1.725.048</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0,73%</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Finland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1.865.883</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0,75%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1.310.766</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0,65%</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1.586.459</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0,67%</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Ierland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1.643.158</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0,66%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1.170.292</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0,58%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1.437.061</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0,61%</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Portugal</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1.608.604</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0,65%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1.260.767</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0,63%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1.364.480</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0,58%</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Griekenland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1.876.498</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0,75%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1.513.169</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0,76%</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1.331.363</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0,56%</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Hongarije</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1.480.736</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0,60%</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1.072.699</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0,54%</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1.248.416</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0,53%</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Roemenië</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897.247</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0,36%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571.616</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0,29%</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688.347</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0,29%</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Slowakije</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663.287</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0,27%</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422.720</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0,21%</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549.105</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0,23%</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Litouwen</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437.668</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0,18%</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324.362</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0,16%</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515.161</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0,22%</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Slovenië</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380.154</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0,15%</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262.901</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300.696</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0,13%</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Bulgarije</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400.628</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251.644</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0,13%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253.022</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0,11%</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Cyprus</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154.621</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152.640</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167.169</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0,07%</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Estland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202.641</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0,08%</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158.047</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0,08%</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142.953</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0,06%</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Letland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148.963</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0,06%</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96.467</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0,05%</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124.675</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0,05%</w:t>
            </w:r>
          </w:p>
        </w:tc>
      </w:tr>
      <w:tr w:rsidR="005D3262" w:rsidRPr="001939FD" w:rsidTr="003048C6">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6571C1">
            <w:pPr>
              <w:rPr>
                <w:bCs/>
                <w:color w:val="000000"/>
                <w:lang w:val="nl-BE" w:eastAsia="nl-BE"/>
              </w:rPr>
            </w:pPr>
            <w:r w:rsidRPr="00696F16">
              <w:rPr>
                <w:bCs/>
                <w:color w:val="000000"/>
                <w:lang w:val="nl-BE" w:eastAsia="nl-BE"/>
              </w:rPr>
              <w:t>Malta</w:t>
            </w:r>
          </w:p>
        </w:tc>
        <w:tc>
          <w:tcPr>
            <w:tcW w:w="1276" w:type="dxa"/>
            <w:tcBorders>
              <w:top w:val="nil"/>
              <w:left w:val="nil"/>
              <w:bottom w:val="single" w:sz="4" w:space="0" w:color="auto"/>
              <w:right w:val="single" w:sz="4" w:space="0" w:color="auto"/>
            </w:tcBorders>
            <w:noWrap/>
            <w:vAlign w:val="center"/>
          </w:tcPr>
          <w:p w:rsidR="005D3262" w:rsidRPr="00696F16" w:rsidRDefault="005D3262" w:rsidP="00586F9B">
            <w:pPr>
              <w:jc w:val="right"/>
              <w:rPr>
                <w:bCs/>
                <w:color w:val="000000"/>
                <w:lang w:val="nl-BE" w:eastAsia="nl-BE"/>
              </w:rPr>
            </w:pPr>
            <w:r w:rsidRPr="00696F16">
              <w:rPr>
                <w:bCs/>
                <w:color w:val="000000"/>
                <w:lang w:val="nl-BE" w:eastAsia="nl-BE"/>
              </w:rPr>
              <w:t>79.914</w:t>
            </w:r>
          </w:p>
        </w:tc>
        <w:tc>
          <w:tcPr>
            <w:tcW w:w="960"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0,03%</w:t>
            </w:r>
          </w:p>
        </w:tc>
        <w:tc>
          <w:tcPr>
            <w:tcW w:w="116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57.635</w:t>
            </w:r>
          </w:p>
        </w:tc>
        <w:tc>
          <w:tcPr>
            <w:tcW w:w="927" w:type="dxa"/>
            <w:tcBorders>
              <w:top w:val="single" w:sz="4" w:space="0" w:color="auto"/>
              <w:left w:val="nil"/>
              <w:bottom w:val="single" w:sz="4" w:space="0" w:color="auto"/>
              <w:right w:val="single" w:sz="4" w:space="0" w:color="auto"/>
            </w:tcBorders>
            <w:vAlign w:val="bottom"/>
          </w:tcPr>
          <w:p w:rsidR="005D3262" w:rsidRPr="00696F16" w:rsidRDefault="005D3262">
            <w:pPr>
              <w:jc w:val="right"/>
              <w:rPr>
                <w:color w:val="000000"/>
              </w:rPr>
            </w:pPr>
            <w:r w:rsidRPr="00696F16">
              <w:rPr>
                <w:color w:val="000000"/>
              </w:rPr>
              <w:t>0,03%</w:t>
            </w:r>
          </w:p>
        </w:tc>
        <w:tc>
          <w:tcPr>
            <w:tcW w:w="1276" w:type="dxa"/>
            <w:tcBorders>
              <w:top w:val="nil"/>
              <w:left w:val="single" w:sz="4" w:space="0" w:color="auto"/>
              <w:bottom w:val="single" w:sz="4" w:space="0" w:color="auto"/>
              <w:right w:val="single" w:sz="4" w:space="0" w:color="auto"/>
            </w:tcBorders>
            <w:noWrap/>
            <w:vAlign w:val="center"/>
          </w:tcPr>
          <w:p w:rsidR="005D3262" w:rsidRPr="00696F16" w:rsidRDefault="005D3262" w:rsidP="00586F9B">
            <w:pPr>
              <w:jc w:val="right"/>
              <w:rPr>
                <w:color w:val="000000"/>
              </w:rPr>
            </w:pPr>
            <w:r w:rsidRPr="00696F16">
              <w:rPr>
                <w:color w:val="000000"/>
              </w:rPr>
              <w:t>81.706</w:t>
            </w:r>
          </w:p>
        </w:tc>
        <w:tc>
          <w:tcPr>
            <w:tcW w:w="1057" w:type="dxa"/>
            <w:tcBorders>
              <w:top w:val="nil"/>
              <w:left w:val="nil"/>
              <w:bottom w:val="single" w:sz="4" w:space="0" w:color="auto"/>
              <w:right w:val="single" w:sz="4" w:space="0" w:color="auto"/>
            </w:tcBorders>
            <w:noWrap/>
            <w:vAlign w:val="center"/>
          </w:tcPr>
          <w:p w:rsidR="005D3262" w:rsidRPr="00696F16" w:rsidRDefault="005D3262" w:rsidP="00586F9B">
            <w:pPr>
              <w:jc w:val="right"/>
              <w:rPr>
                <w:iCs/>
                <w:color w:val="000000"/>
              </w:rPr>
            </w:pPr>
            <w:r w:rsidRPr="00696F16">
              <w:rPr>
                <w:iCs/>
                <w:color w:val="000000"/>
              </w:rPr>
              <w:t>0,03%</w:t>
            </w:r>
          </w:p>
        </w:tc>
      </w:tr>
      <w:tr w:rsidR="005D3262" w:rsidRPr="001939FD" w:rsidTr="00F3284A">
        <w:trPr>
          <w:trHeight w:val="255"/>
        </w:trPr>
        <w:tc>
          <w:tcPr>
            <w:tcW w:w="2425"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6571C1">
            <w:pPr>
              <w:rPr>
                <w:b/>
                <w:bCs/>
                <w:color w:val="000000"/>
                <w:lang w:val="nl-BE" w:eastAsia="nl-BE"/>
              </w:rPr>
            </w:pPr>
            <w:r w:rsidRPr="00696F16">
              <w:rPr>
                <w:b/>
                <w:bCs/>
                <w:color w:val="000000"/>
                <w:lang w:val="nl-BE" w:eastAsia="nl-BE"/>
              </w:rPr>
              <w:t>BRIC</w:t>
            </w:r>
          </w:p>
        </w:tc>
        <w:tc>
          <w:tcPr>
            <w:tcW w:w="1276" w:type="dxa"/>
            <w:tcBorders>
              <w:top w:val="nil"/>
              <w:left w:val="nil"/>
              <w:bottom w:val="single" w:sz="4" w:space="0" w:color="auto"/>
              <w:right w:val="single" w:sz="4" w:space="0" w:color="auto"/>
            </w:tcBorders>
            <w:shd w:val="clear" w:color="auto"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11.795.559</w:t>
            </w:r>
          </w:p>
        </w:tc>
        <w:tc>
          <w:tcPr>
            <w:tcW w:w="960" w:type="dxa"/>
            <w:tcBorders>
              <w:top w:val="single" w:sz="4" w:space="0" w:color="auto"/>
              <w:left w:val="nil"/>
              <w:bottom w:val="single" w:sz="4" w:space="0" w:color="auto"/>
              <w:right w:val="single" w:sz="4" w:space="0" w:color="auto"/>
            </w:tcBorders>
            <w:shd w:val="clear" w:color="auto"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4,74%</w:t>
            </w:r>
          </w:p>
        </w:tc>
        <w:tc>
          <w:tcPr>
            <w:tcW w:w="1166"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10.152.479</w:t>
            </w:r>
          </w:p>
        </w:tc>
        <w:tc>
          <w:tcPr>
            <w:tcW w:w="927" w:type="dxa"/>
            <w:tcBorders>
              <w:top w:val="single" w:sz="4" w:space="0" w:color="auto"/>
              <w:left w:val="nil"/>
              <w:bottom w:val="single" w:sz="4" w:space="0" w:color="auto"/>
              <w:right w:val="single" w:sz="4" w:space="0" w:color="auto"/>
            </w:tcBorders>
            <w:shd w:val="clear" w:color="auto"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5,07%</w:t>
            </w:r>
          </w:p>
        </w:tc>
        <w:tc>
          <w:tcPr>
            <w:tcW w:w="1276" w:type="dxa"/>
            <w:tcBorders>
              <w:top w:val="nil"/>
              <w:left w:val="single" w:sz="4" w:space="0" w:color="auto"/>
              <w:bottom w:val="single" w:sz="4" w:space="0" w:color="auto"/>
              <w:right w:val="single" w:sz="4" w:space="0" w:color="auto"/>
            </w:tcBorders>
            <w:shd w:val="clear" w:color="auto"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15.076.054</w:t>
            </w:r>
          </w:p>
        </w:tc>
        <w:tc>
          <w:tcPr>
            <w:tcW w:w="1057" w:type="dxa"/>
            <w:tcBorders>
              <w:top w:val="nil"/>
              <w:left w:val="nil"/>
              <w:bottom w:val="single" w:sz="4" w:space="0" w:color="auto"/>
              <w:right w:val="single" w:sz="4" w:space="0" w:color="auto"/>
            </w:tcBorders>
            <w:shd w:val="clear" w:color="auto" w:fill="BFBFBF"/>
            <w:noWrap/>
            <w:vAlign w:val="center"/>
          </w:tcPr>
          <w:p w:rsidR="005D3262" w:rsidRPr="00696F16" w:rsidRDefault="005D3262" w:rsidP="002D5276">
            <w:pPr>
              <w:jc w:val="right"/>
              <w:rPr>
                <w:b/>
                <w:bCs/>
                <w:color w:val="000000"/>
                <w:lang w:val="nl-BE" w:eastAsia="nl-BE"/>
              </w:rPr>
            </w:pPr>
            <w:r w:rsidRPr="00696F16">
              <w:rPr>
                <w:b/>
                <w:bCs/>
                <w:color w:val="000000"/>
                <w:lang w:val="nl-BE" w:eastAsia="nl-BE"/>
              </w:rPr>
              <w:t>6,39%</w:t>
            </w:r>
          </w:p>
        </w:tc>
      </w:tr>
      <w:tr w:rsidR="005D3262" w:rsidRPr="006D41F9"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Brazilië</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1.413.260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0,57%</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1.093.002</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0,55%</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1.817.070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
                <w:iCs/>
                <w:color w:val="000000"/>
                <w:lang w:val="nl-BE" w:eastAsia="nl-BE"/>
              </w:rPr>
            </w:pPr>
            <w:r w:rsidRPr="00696F16">
              <w:rPr>
                <w:i/>
                <w:iCs/>
                <w:color w:val="000000"/>
                <w:lang w:val="nl-BE" w:eastAsia="nl-BE"/>
              </w:rPr>
              <w:t>0,77%</w:t>
            </w:r>
          </w:p>
        </w:tc>
      </w:tr>
      <w:tr w:rsidR="005D3262" w:rsidRPr="006D41F9"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Rusland</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2.970.997</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1,19%</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1.732.774</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0,86%</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2.775.110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
                <w:iCs/>
                <w:color w:val="000000"/>
                <w:lang w:val="nl-BE" w:eastAsia="nl-BE"/>
              </w:rPr>
            </w:pPr>
            <w:r w:rsidRPr="00696F16">
              <w:rPr>
                <w:i/>
                <w:iCs/>
                <w:color w:val="000000"/>
                <w:lang w:val="nl-BE" w:eastAsia="nl-BE"/>
              </w:rPr>
              <w:t>1,18%</w:t>
            </w:r>
          </w:p>
        </w:tc>
      </w:tr>
      <w:tr w:rsidR="005D3262" w:rsidRPr="006D41F9"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India</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4.643.333</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1,87%</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3.823.546</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1,91%</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5.961.964</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
                <w:iCs/>
                <w:color w:val="000000"/>
                <w:lang w:val="nl-BE" w:eastAsia="nl-BE"/>
              </w:rPr>
            </w:pPr>
            <w:r w:rsidRPr="00696F16">
              <w:rPr>
                <w:i/>
                <w:iCs/>
                <w:color w:val="000000"/>
                <w:lang w:val="nl-BE" w:eastAsia="nl-BE"/>
              </w:rPr>
              <w:t>2,53%</w:t>
            </w:r>
          </w:p>
        </w:tc>
      </w:tr>
      <w:tr w:rsidR="005D3262" w:rsidRPr="006D41F9"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China</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2.767.969</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1,11%</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3.503.157</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1,75%</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bCs/>
                <w:color w:val="000000"/>
                <w:lang w:val="nl-BE" w:eastAsia="nl-BE"/>
              </w:rPr>
            </w:pPr>
            <w:r w:rsidRPr="00696F16">
              <w:rPr>
                <w:color w:val="000000"/>
                <w:lang w:val="nl-BE" w:eastAsia="nl-BE"/>
              </w:rPr>
              <w:t>4.521.910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
                <w:iCs/>
                <w:color w:val="000000"/>
                <w:lang w:val="nl-BE" w:eastAsia="nl-BE"/>
              </w:rPr>
            </w:pPr>
            <w:r w:rsidRPr="00696F16">
              <w:rPr>
                <w:i/>
                <w:iCs/>
                <w:color w:val="000000"/>
                <w:lang w:val="nl-BE" w:eastAsia="nl-BE"/>
              </w:rPr>
              <w:t>1,92%</w:t>
            </w:r>
          </w:p>
        </w:tc>
      </w:tr>
      <w:tr w:rsidR="005D3262" w:rsidRPr="001939FD"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rPr>
                <w:b/>
                <w:bCs/>
                <w:color w:val="000000"/>
                <w:lang w:val="nl-BE" w:eastAsia="nl-BE"/>
              </w:rPr>
            </w:pPr>
            <w:r w:rsidRPr="00696F16">
              <w:rPr>
                <w:b/>
                <w:bCs/>
                <w:color w:val="000000"/>
                <w:lang w:val="nl-BE" w:eastAsia="nl-BE"/>
              </w:rPr>
              <w:t>Next-eleven</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6.862.999</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2,76%</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5.971.902</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2,98%</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7.650.960</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D5276">
            <w:pPr>
              <w:jc w:val="right"/>
              <w:rPr>
                <w:b/>
                <w:bCs/>
                <w:color w:val="000000"/>
                <w:lang w:val="nl-BE" w:eastAsia="nl-BE"/>
              </w:rPr>
            </w:pPr>
            <w:r w:rsidRPr="00696F16">
              <w:rPr>
                <w:b/>
                <w:bCs/>
                <w:color w:val="000000"/>
                <w:lang w:val="nl-BE" w:eastAsia="nl-BE"/>
              </w:rPr>
              <w:t>3,24%</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Bangladesh</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38.999</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0,02%</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48.890</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0,02%</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61.822</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0,03%</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Egypte</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587.245</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0,24%</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581.030</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0,29%</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706.360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0,30%</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Indonesië</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254.301</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0,10%</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228.835</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0,11%</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348.818</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0,15%</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Iran</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336.610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0,14%</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314.723</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0,16%</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454.185</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0,19%</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Zuid-Korea</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944.050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0,40%</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646.897</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0,32%</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876.720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0,37%</w:t>
            </w:r>
          </w:p>
        </w:tc>
      </w:tr>
      <w:tr w:rsidR="005D3262" w:rsidRPr="001939FD" w:rsidTr="00FF6FBD">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Mexico</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690.840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0,28%</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552.620</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0,28%</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715.647</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0,30%</w:t>
            </w:r>
          </w:p>
        </w:tc>
      </w:tr>
      <w:tr w:rsidR="005D3262" w:rsidRPr="001939FD" w:rsidTr="00FF6FBD">
        <w:trPr>
          <w:trHeight w:val="255"/>
        </w:trPr>
        <w:tc>
          <w:tcPr>
            <w:tcW w:w="2425" w:type="dxa"/>
            <w:tcBorders>
              <w:top w:val="single" w:sz="4" w:space="0" w:color="auto"/>
              <w:left w:val="single" w:sz="4" w:space="0" w:color="auto"/>
              <w:bottom w:val="single" w:sz="4" w:space="0" w:color="auto"/>
              <w:right w:val="single" w:sz="6"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Nigeria</w:t>
            </w:r>
          </w:p>
        </w:tc>
        <w:tc>
          <w:tcPr>
            <w:tcW w:w="1276" w:type="dxa"/>
            <w:tcBorders>
              <w:top w:val="single" w:sz="4" w:space="0" w:color="auto"/>
              <w:left w:val="single" w:sz="6" w:space="0" w:color="auto"/>
              <w:bottom w:val="single" w:sz="4" w:space="0" w:color="auto"/>
              <w:right w:val="single" w:sz="6"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718.063</w:t>
            </w:r>
          </w:p>
        </w:tc>
        <w:tc>
          <w:tcPr>
            <w:tcW w:w="960" w:type="dxa"/>
            <w:tcBorders>
              <w:top w:val="single" w:sz="4" w:space="0" w:color="auto"/>
              <w:left w:val="single" w:sz="6" w:space="0" w:color="auto"/>
              <w:bottom w:val="single" w:sz="4" w:space="0" w:color="auto"/>
              <w:right w:val="single" w:sz="6"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0,29%</w:t>
            </w:r>
          </w:p>
        </w:tc>
        <w:tc>
          <w:tcPr>
            <w:tcW w:w="1166" w:type="dxa"/>
            <w:tcBorders>
              <w:top w:val="single" w:sz="4" w:space="0" w:color="auto"/>
              <w:left w:val="single" w:sz="6" w:space="0" w:color="auto"/>
              <w:bottom w:val="single" w:sz="4" w:space="0" w:color="auto"/>
              <w:right w:val="single" w:sz="6"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706.248</w:t>
            </w:r>
          </w:p>
        </w:tc>
        <w:tc>
          <w:tcPr>
            <w:tcW w:w="927" w:type="dxa"/>
            <w:tcBorders>
              <w:top w:val="single" w:sz="4" w:space="0" w:color="auto"/>
              <w:left w:val="single" w:sz="6" w:space="0" w:color="auto"/>
              <w:bottom w:val="single" w:sz="4" w:space="0" w:color="auto"/>
              <w:right w:val="single" w:sz="6"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0,35%</w:t>
            </w:r>
          </w:p>
        </w:tc>
        <w:tc>
          <w:tcPr>
            <w:tcW w:w="1276" w:type="dxa"/>
            <w:tcBorders>
              <w:top w:val="single" w:sz="4" w:space="0" w:color="auto"/>
              <w:left w:val="single" w:sz="6" w:space="0" w:color="auto"/>
              <w:bottom w:val="single" w:sz="4" w:space="0" w:color="auto"/>
              <w:right w:val="single" w:sz="6"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539.822</w:t>
            </w:r>
          </w:p>
        </w:tc>
        <w:tc>
          <w:tcPr>
            <w:tcW w:w="1057" w:type="dxa"/>
            <w:tcBorders>
              <w:top w:val="single" w:sz="4" w:space="0" w:color="auto"/>
              <w:left w:val="single" w:sz="6" w:space="0" w:color="auto"/>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0,23%</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Pakistan</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160.606</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0,06%</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175.441</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0,09%</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201.388</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0,09%</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Filipijnen</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144.502</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0,06%</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125.387</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0,06%</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180.424</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0,08%</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Turkije</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2.862.221</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1,15%</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2.443.119</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1,22%</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3.408.885</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1,45%</w:t>
            </w:r>
          </w:p>
        </w:tc>
      </w:tr>
      <w:tr w:rsidR="005D3262" w:rsidRPr="001939FD" w:rsidTr="002D5276">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Vietnam</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125.561</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0,05%</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148.713</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0,07%</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156.888</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0,07%</w:t>
            </w:r>
          </w:p>
        </w:tc>
      </w:tr>
      <w:tr w:rsidR="005D3262" w:rsidRPr="001939FD"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rPr>
                <w:b/>
                <w:bCs/>
                <w:color w:val="000000"/>
                <w:lang w:val="nl-BE" w:eastAsia="nl-BE"/>
              </w:rPr>
            </w:pPr>
            <w:r w:rsidRPr="00696F16">
              <w:rPr>
                <w:b/>
                <w:bCs/>
                <w:color w:val="000000"/>
                <w:lang w:val="nl-BE" w:eastAsia="nl-BE"/>
              </w:rPr>
              <w:t>Aziatische tijgers</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3.340.558</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1,34%</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3.237.169</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6571C1">
            <w:pPr>
              <w:jc w:val="right"/>
              <w:rPr>
                <w:b/>
                <w:bCs/>
                <w:color w:val="000000"/>
                <w:lang w:val="nl-BE" w:eastAsia="nl-BE"/>
              </w:rPr>
            </w:pPr>
            <w:r w:rsidRPr="00696F16">
              <w:rPr>
                <w:b/>
                <w:bCs/>
                <w:color w:val="000000"/>
                <w:lang w:val="nl-BE" w:eastAsia="nl-BE"/>
              </w:rPr>
              <w:t>1,62%</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6571C1">
            <w:pPr>
              <w:jc w:val="right"/>
              <w:rPr>
                <w:b/>
                <w:bCs/>
                <w:color w:val="000000"/>
                <w:lang w:val="nl-BE" w:eastAsia="nl-BE"/>
              </w:rPr>
            </w:pPr>
            <w:r w:rsidRPr="00696F16">
              <w:rPr>
                <w:b/>
                <w:bCs/>
                <w:color w:val="000000"/>
                <w:lang w:val="nl-BE" w:eastAsia="nl-BE"/>
              </w:rPr>
              <w:t>4.237.735</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D5276">
            <w:pPr>
              <w:jc w:val="right"/>
              <w:rPr>
                <w:b/>
                <w:iCs/>
                <w:color w:val="000000"/>
                <w:lang w:val="nl-BE" w:eastAsia="nl-BE"/>
              </w:rPr>
            </w:pPr>
            <w:r w:rsidRPr="00696F16">
              <w:rPr>
                <w:b/>
                <w:iCs/>
                <w:color w:val="000000"/>
                <w:lang w:val="nl-BE" w:eastAsia="nl-BE"/>
              </w:rPr>
              <w:t>1,80%</w:t>
            </w:r>
          </w:p>
        </w:tc>
      </w:tr>
      <w:tr w:rsidR="005D3262" w:rsidRPr="001939FD" w:rsidTr="006571C1">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Hongkong</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1.535.487</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0,62%</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1.578.521</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0,79%</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2.222.369</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0,94%</w:t>
            </w:r>
          </w:p>
        </w:tc>
      </w:tr>
      <w:tr w:rsidR="005D3262" w:rsidRPr="001939FD" w:rsidTr="006571C1">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Taiwan</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330.578</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0,13%</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393.454</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0,20%</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540.964</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0,23%</w:t>
            </w:r>
          </w:p>
        </w:tc>
      </w:tr>
      <w:tr w:rsidR="005D3262" w:rsidRPr="001939FD" w:rsidTr="006571C1">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Zuid-Korea</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944.050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0,38%</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646.897</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0,32%</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876.720</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0,37%</w:t>
            </w:r>
          </w:p>
        </w:tc>
      </w:tr>
      <w:tr w:rsidR="005D3262" w:rsidRPr="001939FD" w:rsidTr="006571C1">
        <w:trPr>
          <w:trHeight w:val="255"/>
        </w:trPr>
        <w:tc>
          <w:tcPr>
            <w:tcW w:w="2425"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rPr>
                <w:bCs/>
                <w:color w:val="000000"/>
                <w:lang w:val="nl-BE" w:eastAsia="nl-BE"/>
              </w:rPr>
            </w:pPr>
            <w:r w:rsidRPr="00696F16">
              <w:rPr>
                <w:bCs/>
                <w:color w:val="000000"/>
                <w:lang w:val="nl-BE" w:eastAsia="nl-BE"/>
              </w:rPr>
              <w:t>Singapore</w:t>
            </w:r>
          </w:p>
        </w:tc>
        <w:tc>
          <w:tcPr>
            <w:tcW w:w="1276"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530.444</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0,21%</w:t>
            </w:r>
          </w:p>
        </w:tc>
        <w:tc>
          <w:tcPr>
            <w:tcW w:w="116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618.297</w:t>
            </w:r>
          </w:p>
        </w:tc>
        <w:tc>
          <w:tcPr>
            <w:tcW w:w="927" w:type="dxa"/>
            <w:tcBorders>
              <w:top w:val="single" w:sz="4" w:space="0" w:color="auto"/>
              <w:left w:val="nil"/>
              <w:bottom w:val="single" w:sz="4" w:space="0" w:color="auto"/>
              <w:right w:val="single" w:sz="4" w:space="0" w:color="auto"/>
            </w:tcBorders>
            <w:shd w:val="clear" w:color="000000" w:fill="FFFFFF"/>
            <w:vAlign w:val="center"/>
          </w:tcPr>
          <w:p w:rsidR="005D3262" w:rsidRPr="00696F16" w:rsidRDefault="005D3262" w:rsidP="006571C1">
            <w:pPr>
              <w:jc w:val="right"/>
              <w:rPr>
                <w:bCs/>
                <w:color w:val="000000"/>
                <w:lang w:val="nl-BE" w:eastAsia="nl-BE"/>
              </w:rPr>
            </w:pPr>
            <w:r w:rsidRPr="00696F16">
              <w:rPr>
                <w:bCs/>
                <w:color w:val="000000"/>
                <w:lang w:val="nl-BE" w:eastAsia="nl-BE"/>
              </w:rPr>
              <w:t>0,31%</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rsidR="005D3262" w:rsidRPr="00696F16" w:rsidRDefault="005D3262" w:rsidP="006571C1">
            <w:pPr>
              <w:jc w:val="right"/>
              <w:rPr>
                <w:color w:val="000000"/>
                <w:lang w:val="nl-BE" w:eastAsia="nl-BE"/>
              </w:rPr>
            </w:pPr>
            <w:r w:rsidRPr="00696F16">
              <w:rPr>
                <w:color w:val="000000"/>
                <w:lang w:val="nl-BE" w:eastAsia="nl-BE"/>
              </w:rPr>
              <w:t>597.682</w:t>
            </w:r>
          </w:p>
        </w:tc>
        <w:tc>
          <w:tcPr>
            <w:tcW w:w="1057"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D5276">
            <w:pPr>
              <w:jc w:val="right"/>
              <w:rPr>
                <w:iCs/>
                <w:color w:val="000000"/>
                <w:lang w:val="nl-BE" w:eastAsia="nl-BE"/>
              </w:rPr>
            </w:pPr>
            <w:r w:rsidRPr="00696F16">
              <w:rPr>
                <w:iCs/>
                <w:color w:val="000000"/>
                <w:lang w:val="nl-BE" w:eastAsia="nl-BE"/>
              </w:rPr>
              <w:t>0,25%</w:t>
            </w:r>
          </w:p>
        </w:tc>
      </w:tr>
      <w:tr w:rsidR="005D3262" w:rsidRPr="001939FD" w:rsidTr="00F3284A">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bottom"/>
          </w:tcPr>
          <w:p w:rsidR="005D3262" w:rsidRPr="00696F16" w:rsidRDefault="005D3262" w:rsidP="00C67F69">
            <w:pPr>
              <w:rPr>
                <w:b/>
                <w:bCs/>
                <w:color w:val="000000"/>
                <w:lang w:val="nl-BE" w:eastAsia="nl-BE"/>
              </w:rPr>
            </w:pPr>
            <w:r w:rsidRPr="00696F16">
              <w:rPr>
                <w:b/>
                <w:bCs/>
                <w:color w:val="000000"/>
                <w:lang w:val="nl-BE" w:eastAsia="nl-BE"/>
              </w:rPr>
              <w:t>TOTAAL</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C67F69">
            <w:pPr>
              <w:jc w:val="right"/>
              <w:rPr>
                <w:b/>
                <w:bCs/>
                <w:color w:val="000000"/>
                <w:lang w:val="nl-BE" w:eastAsia="nl-BE"/>
              </w:rPr>
            </w:pPr>
            <w:r w:rsidRPr="00696F16">
              <w:rPr>
                <w:b/>
                <w:bCs/>
                <w:color w:val="000000"/>
                <w:lang w:val="nl-BE" w:eastAsia="nl-BE"/>
              </w:rPr>
              <w:t>248.847.847</w:t>
            </w:r>
          </w:p>
        </w:tc>
        <w:tc>
          <w:tcPr>
            <w:tcW w:w="960"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C67F69">
            <w:pPr>
              <w:jc w:val="right"/>
              <w:rPr>
                <w:b/>
                <w:bCs/>
                <w:color w:val="000000"/>
                <w:lang w:val="nl-BE" w:eastAsia="nl-BE"/>
              </w:rPr>
            </w:pPr>
            <w:r w:rsidRPr="00696F16">
              <w:rPr>
                <w:b/>
                <w:bCs/>
                <w:color w:val="000000"/>
                <w:lang w:val="nl-BE" w:eastAsia="nl-BE"/>
              </w:rPr>
              <w:t>100%</w:t>
            </w:r>
          </w:p>
        </w:tc>
        <w:tc>
          <w:tcPr>
            <w:tcW w:w="116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C67F69">
            <w:pPr>
              <w:jc w:val="right"/>
              <w:rPr>
                <w:b/>
                <w:bCs/>
                <w:color w:val="000000"/>
                <w:lang w:val="nl-BE" w:eastAsia="nl-BE"/>
              </w:rPr>
            </w:pPr>
            <w:r w:rsidRPr="00696F16">
              <w:rPr>
                <w:b/>
                <w:bCs/>
                <w:color w:val="000000"/>
                <w:lang w:val="nl-BE" w:eastAsia="nl-BE"/>
              </w:rPr>
              <w:t>200.321.814</w:t>
            </w:r>
          </w:p>
        </w:tc>
        <w:tc>
          <w:tcPr>
            <w:tcW w:w="927"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C67F69">
            <w:pPr>
              <w:jc w:val="right"/>
              <w:rPr>
                <w:b/>
                <w:bCs/>
                <w:color w:val="000000"/>
                <w:lang w:val="nl-BE" w:eastAsia="nl-BE"/>
              </w:rPr>
            </w:pPr>
            <w:r w:rsidRPr="00696F16">
              <w:rPr>
                <w:b/>
                <w:bCs/>
                <w:color w:val="000000"/>
                <w:lang w:val="nl-BE" w:eastAsia="nl-BE"/>
              </w:rPr>
              <w:t>100%</w:t>
            </w:r>
          </w:p>
        </w:tc>
        <w:tc>
          <w:tcPr>
            <w:tcW w:w="1276"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C67F69">
            <w:pPr>
              <w:jc w:val="right"/>
              <w:rPr>
                <w:b/>
                <w:bCs/>
                <w:color w:val="000000"/>
                <w:lang w:val="nl-BE" w:eastAsia="nl-BE"/>
              </w:rPr>
            </w:pPr>
            <w:r w:rsidRPr="00696F16">
              <w:rPr>
                <w:b/>
                <w:bCs/>
                <w:color w:val="000000"/>
                <w:lang w:val="nl-BE" w:eastAsia="nl-BE"/>
              </w:rPr>
              <w:t>235.863.130</w:t>
            </w:r>
          </w:p>
        </w:tc>
        <w:tc>
          <w:tcPr>
            <w:tcW w:w="1057"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C67F69">
            <w:pPr>
              <w:jc w:val="right"/>
              <w:rPr>
                <w:b/>
                <w:bCs/>
                <w:iCs/>
                <w:color w:val="000000"/>
                <w:lang w:val="nl-BE" w:eastAsia="nl-BE"/>
              </w:rPr>
            </w:pPr>
            <w:r w:rsidRPr="00696F16">
              <w:rPr>
                <w:b/>
                <w:bCs/>
                <w:iCs/>
                <w:color w:val="000000"/>
                <w:lang w:val="nl-BE" w:eastAsia="nl-BE"/>
              </w:rPr>
              <w:t>100%</w:t>
            </w:r>
          </w:p>
        </w:tc>
      </w:tr>
    </w:tbl>
    <w:p w:rsidR="005D3262" w:rsidRDefault="005D3262" w:rsidP="0069461E">
      <w:pPr>
        <w:jc w:val="both"/>
        <w:rPr>
          <w:sz w:val="22"/>
          <w:szCs w:val="22"/>
        </w:rPr>
      </w:pPr>
    </w:p>
    <w:p w:rsidR="005D3262" w:rsidRDefault="005D3262" w:rsidP="0050079F">
      <w:pPr>
        <w:numPr>
          <w:ilvl w:val="0"/>
          <w:numId w:val="34"/>
        </w:numPr>
        <w:jc w:val="both"/>
        <w:rPr>
          <w:sz w:val="22"/>
          <w:szCs w:val="22"/>
        </w:rPr>
      </w:pPr>
      <w:r>
        <w:rPr>
          <w:sz w:val="22"/>
          <w:szCs w:val="22"/>
        </w:rPr>
        <w:t>Eén van de belangrijkste oorzaken waarom Vlaanderen marktaandeel verliest in een groot aantal landen is dat heel wat opkomende economieën de laatste jaren gevoelig meer zijn beginnen exporteren. Deze snelgroeiende economieën (BRIC, Next-eleven …) veroveren hoe langer hoe meer marktaandeel op gevestigde waarden als de Verenigde Staten en de West-Europese landen. Het is dus niet onlogisch dat Vlaanderen het moeilijk heeft om zijn marktaandeel in verschillende landen te consolideren of terug te winnen.</w:t>
      </w:r>
    </w:p>
    <w:p w:rsidR="005D3262" w:rsidRDefault="005D3262" w:rsidP="0050079F">
      <w:pPr>
        <w:ind w:left="360"/>
        <w:jc w:val="both"/>
        <w:rPr>
          <w:sz w:val="22"/>
          <w:szCs w:val="22"/>
        </w:rPr>
      </w:pPr>
      <w:r>
        <w:rPr>
          <w:sz w:val="22"/>
          <w:szCs w:val="22"/>
        </w:rPr>
        <w:t>Toch heeft Vlaanderen, zoals ik eerder stelde in mijn beleidsnota, geen andere keuze dan ambitieus te zijn. Als open en export-georiënteerde economie moeten wij ernaar streven ons verloren gegane marktaandelen terug te winnen en onze export naar snelgroeiende economieën op te schroeven. Het is namelijk in deze opkomende economieën dat onze export nog heel wat groeimogelijkheden heeft. Het stemt mij dan ook tevreden dat, zoals bovenstaande tabellen aangeven, we erin slagen een groter aandeel van onze export naar deze snelgroeiende economieën te verhandelen. Terwijl onze export naar de BRIC landen in 2008 nog 4,74% van onze totale export uitmaakte, is dit in 2010 al 6,39%. Voor de Next-eleven landen zien we een gelijkaardig scenario: van 2,76% in 2008 naar 3,24% in 2010. Tot slot blijkt onze export naar de Aziatische tijgers relatief aan belang te winnen: van 1,34% in 2008 naar 1,80% in 2010.</w:t>
      </w:r>
    </w:p>
    <w:p w:rsidR="005D3262" w:rsidRDefault="005D3262" w:rsidP="00F77CD4">
      <w:pPr>
        <w:ind w:left="284"/>
        <w:jc w:val="both"/>
        <w:rPr>
          <w:sz w:val="22"/>
          <w:szCs w:val="22"/>
        </w:rPr>
      </w:pPr>
    </w:p>
    <w:p w:rsidR="005D3262" w:rsidRDefault="005D3262" w:rsidP="0050079F">
      <w:pPr>
        <w:numPr>
          <w:ilvl w:val="0"/>
          <w:numId w:val="34"/>
        </w:numPr>
        <w:jc w:val="both"/>
        <w:rPr>
          <w:sz w:val="22"/>
          <w:szCs w:val="22"/>
        </w:rPr>
      </w:pPr>
      <w:r>
        <w:rPr>
          <w:sz w:val="22"/>
          <w:szCs w:val="22"/>
        </w:rPr>
        <w:t xml:space="preserve">Gelet op de cijfers uit de tabel bij mijn antwoord op vraag 2, ziet Vlaanderen haar export naar sterk groeiende Aziatische markten tussen 2008 en 2010 wel gevoelig toenemen. Nagenoeg alle snelgroeiende Aziatische markten, inclusief China en India, zien hun aandeel in de Vlaamse uitvoer sterk toenemen tussen 2008 en 2010. </w:t>
      </w:r>
    </w:p>
    <w:p w:rsidR="005D3262" w:rsidRDefault="005D3262" w:rsidP="00732CD9">
      <w:pPr>
        <w:pStyle w:val="ListParagraph"/>
        <w:rPr>
          <w:sz w:val="22"/>
          <w:szCs w:val="22"/>
        </w:rPr>
      </w:pPr>
    </w:p>
    <w:p w:rsidR="005D3262" w:rsidRDefault="005D3262" w:rsidP="0050079F">
      <w:pPr>
        <w:numPr>
          <w:ilvl w:val="0"/>
          <w:numId w:val="34"/>
        </w:numPr>
        <w:jc w:val="both"/>
        <w:rPr>
          <w:sz w:val="22"/>
          <w:szCs w:val="22"/>
        </w:rPr>
      </w:pPr>
      <w:r>
        <w:rPr>
          <w:sz w:val="22"/>
          <w:szCs w:val="22"/>
        </w:rPr>
        <w:t>Onderstaande tabel biedt een overzicht van de relevante cijfers m.b.t. de Vlaamse invoer. Het betreft hier opnieuw cijfers voor de eerste elf maanden van 2008, 2009 en 2010.</w:t>
      </w:r>
    </w:p>
    <w:p w:rsidR="005D3262" w:rsidRDefault="005D3262" w:rsidP="002405F5">
      <w:pPr>
        <w:pStyle w:val="ListParagraph"/>
        <w:rPr>
          <w:sz w:val="22"/>
          <w:szCs w:val="22"/>
        </w:rPr>
      </w:pPr>
    </w:p>
    <w:tbl>
      <w:tblPr>
        <w:tblW w:w="9087" w:type="dxa"/>
        <w:tblInd w:w="55" w:type="dxa"/>
        <w:tblCellMar>
          <w:left w:w="70" w:type="dxa"/>
          <w:right w:w="70" w:type="dxa"/>
        </w:tblCellMar>
        <w:tblLook w:val="00A0"/>
      </w:tblPr>
      <w:tblGrid>
        <w:gridCol w:w="2425"/>
        <w:gridCol w:w="1276"/>
        <w:gridCol w:w="992"/>
        <w:gridCol w:w="1290"/>
        <w:gridCol w:w="952"/>
        <w:gridCol w:w="1160"/>
        <w:gridCol w:w="992"/>
      </w:tblGrid>
      <w:tr w:rsidR="005D3262" w:rsidRPr="002405F5" w:rsidTr="004F1E11">
        <w:trPr>
          <w:trHeight w:val="270"/>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2F7CA4">
            <w:pPr>
              <w:jc w:val="center"/>
              <w:rPr>
                <w:b/>
                <w:bCs/>
                <w:color w:val="000000"/>
                <w:lang w:val="nl-BE" w:eastAsia="nl-BE"/>
              </w:rPr>
            </w:pPr>
            <w:r w:rsidRPr="00696F16">
              <w:rPr>
                <w:b/>
                <w:bCs/>
                <w:color w:val="000000"/>
                <w:lang w:val="nl-BE" w:eastAsia="nl-BE"/>
              </w:rPr>
              <w:t>VLAAMSE INVOER</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2405F5">
            <w:pPr>
              <w:jc w:val="center"/>
              <w:rPr>
                <w:b/>
                <w:bCs/>
                <w:color w:val="000000"/>
                <w:lang w:val="nl-BE" w:eastAsia="nl-BE"/>
              </w:rPr>
            </w:pPr>
            <w:r w:rsidRPr="00696F16">
              <w:rPr>
                <w:b/>
                <w:bCs/>
                <w:color w:val="000000"/>
                <w:lang w:val="nl-BE" w:eastAsia="nl-BE"/>
              </w:rPr>
              <w:t>2008</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D15964">
            <w:pPr>
              <w:jc w:val="center"/>
              <w:rPr>
                <w:b/>
                <w:bCs/>
                <w:iCs/>
                <w:color w:val="000000"/>
                <w:lang w:val="nl-BE" w:eastAsia="nl-BE"/>
              </w:rPr>
            </w:pPr>
            <w:r w:rsidRPr="00696F16">
              <w:rPr>
                <w:b/>
                <w:bCs/>
                <w:iCs/>
                <w:color w:val="000000"/>
                <w:lang w:val="nl-BE" w:eastAsia="nl-BE"/>
              </w:rPr>
              <w:t>Aandeel</w:t>
            </w:r>
          </w:p>
          <w:p w:rsidR="005D3262" w:rsidRPr="00696F16" w:rsidRDefault="005D3262" w:rsidP="00D15964">
            <w:pPr>
              <w:jc w:val="center"/>
              <w:rPr>
                <w:b/>
                <w:bCs/>
                <w:iCs/>
                <w:color w:val="000000"/>
                <w:lang w:val="nl-BE" w:eastAsia="nl-BE"/>
              </w:rPr>
            </w:pPr>
            <w:smartTag w:uri="urn:schemas-microsoft-com:office:smarttags" w:element="metricconverter">
              <w:smartTagPr>
                <w:attr w:name="ProductID" w:val="2008 in"/>
              </w:smartTagPr>
              <w:r w:rsidRPr="00696F16">
                <w:rPr>
                  <w:b/>
                  <w:bCs/>
                  <w:iCs/>
                  <w:color w:val="000000"/>
                  <w:lang w:val="nl-BE" w:eastAsia="nl-BE"/>
                </w:rPr>
                <w:t>2008 in</w:t>
              </w:r>
            </w:smartTag>
            <w:r w:rsidRPr="00696F16">
              <w:rPr>
                <w:b/>
                <w:bCs/>
                <w:iCs/>
                <w:color w:val="000000"/>
                <w:lang w:val="nl-BE" w:eastAsia="nl-BE"/>
              </w:rPr>
              <w:t xml:space="preserve"> %</w:t>
            </w:r>
          </w:p>
        </w:tc>
        <w:tc>
          <w:tcPr>
            <w:tcW w:w="12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2405F5">
            <w:pPr>
              <w:jc w:val="center"/>
              <w:rPr>
                <w:b/>
                <w:bCs/>
                <w:color w:val="000000"/>
                <w:lang w:val="nl-BE" w:eastAsia="nl-BE"/>
              </w:rPr>
            </w:pPr>
            <w:r w:rsidRPr="00696F16">
              <w:rPr>
                <w:b/>
                <w:bCs/>
                <w:color w:val="000000"/>
                <w:lang w:val="nl-BE" w:eastAsia="nl-BE"/>
              </w:rPr>
              <w:t>2009</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3262" w:rsidRPr="00696F16" w:rsidRDefault="005D3262" w:rsidP="00D15964">
            <w:pPr>
              <w:jc w:val="center"/>
              <w:rPr>
                <w:b/>
                <w:bCs/>
                <w:iCs/>
                <w:color w:val="000000"/>
                <w:lang w:val="nl-BE" w:eastAsia="nl-BE"/>
              </w:rPr>
            </w:pPr>
            <w:r w:rsidRPr="00696F16">
              <w:rPr>
                <w:b/>
                <w:bCs/>
                <w:iCs/>
                <w:color w:val="000000"/>
                <w:lang w:val="nl-BE" w:eastAsia="nl-BE"/>
              </w:rPr>
              <w:t>Aandeel</w:t>
            </w:r>
          </w:p>
          <w:p w:rsidR="005D3262" w:rsidRPr="00696F16" w:rsidRDefault="005D3262" w:rsidP="00D15964">
            <w:pPr>
              <w:jc w:val="center"/>
              <w:rPr>
                <w:b/>
                <w:bCs/>
                <w:iCs/>
                <w:color w:val="000000"/>
                <w:lang w:val="nl-BE" w:eastAsia="nl-BE"/>
              </w:rPr>
            </w:pPr>
            <w:smartTag w:uri="urn:schemas-microsoft-com:office:smarttags" w:element="metricconverter">
              <w:smartTagPr>
                <w:attr w:name="ProductID" w:val="2009 in"/>
              </w:smartTagPr>
              <w:r w:rsidRPr="00696F16">
                <w:rPr>
                  <w:b/>
                  <w:bCs/>
                  <w:iCs/>
                  <w:color w:val="000000"/>
                  <w:lang w:val="nl-BE" w:eastAsia="nl-BE"/>
                </w:rPr>
                <w:t>2009 in</w:t>
              </w:r>
            </w:smartTag>
            <w:r w:rsidRPr="00696F16">
              <w:rPr>
                <w:b/>
                <w:bCs/>
                <w:iCs/>
                <w:color w:val="000000"/>
                <w:lang w:val="nl-BE" w:eastAsia="nl-BE"/>
              </w:rPr>
              <w:t xml:space="preserve"> %</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5D3262" w:rsidRPr="00696F16" w:rsidRDefault="005D3262" w:rsidP="002405F5">
            <w:pPr>
              <w:jc w:val="center"/>
              <w:rPr>
                <w:b/>
                <w:bCs/>
                <w:color w:val="000000"/>
                <w:lang w:val="nl-BE" w:eastAsia="nl-BE"/>
              </w:rPr>
            </w:pPr>
            <w:r w:rsidRPr="00696F16">
              <w:rPr>
                <w:b/>
                <w:bCs/>
                <w:color w:val="000000"/>
                <w:lang w:val="nl-BE" w:eastAsia="nl-BE"/>
              </w:rPr>
              <w:t>2010</w:t>
            </w:r>
          </w:p>
        </w:tc>
        <w:tc>
          <w:tcPr>
            <w:tcW w:w="992" w:type="dxa"/>
            <w:tcBorders>
              <w:top w:val="single" w:sz="4" w:space="0" w:color="auto"/>
              <w:left w:val="nil"/>
              <w:bottom w:val="nil"/>
              <w:right w:val="single" w:sz="4" w:space="0" w:color="auto"/>
            </w:tcBorders>
            <w:shd w:val="clear" w:color="000000" w:fill="FFFFFF"/>
            <w:noWrap/>
            <w:vAlign w:val="center"/>
          </w:tcPr>
          <w:p w:rsidR="005D3262" w:rsidRPr="00696F16" w:rsidRDefault="005D3262" w:rsidP="002405F5">
            <w:pPr>
              <w:jc w:val="center"/>
              <w:rPr>
                <w:b/>
                <w:bCs/>
                <w:iCs/>
                <w:color w:val="000000"/>
                <w:lang w:val="nl-BE" w:eastAsia="nl-BE"/>
              </w:rPr>
            </w:pPr>
            <w:r w:rsidRPr="00696F16">
              <w:rPr>
                <w:b/>
                <w:bCs/>
                <w:iCs/>
                <w:color w:val="000000"/>
                <w:lang w:val="nl-BE" w:eastAsia="nl-BE"/>
              </w:rPr>
              <w:t>Aandeel</w:t>
            </w:r>
          </w:p>
        </w:tc>
      </w:tr>
      <w:tr w:rsidR="005D3262" w:rsidRPr="002405F5" w:rsidTr="004F1E11">
        <w:trPr>
          <w:trHeight w:val="255"/>
        </w:trPr>
        <w:tc>
          <w:tcPr>
            <w:tcW w:w="2425"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2405F5">
            <w:pPr>
              <w:rPr>
                <w:b/>
                <w:bCs/>
                <w:color w:val="000000"/>
                <w:lang w:val="nl-BE" w:eastAsia="nl-BE"/>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2405F5">
            <w:pPr>
              <w:rPr>
                <w:b/>
                <w:bCs/>
                <w:color w:val="000000"/>
                <w:lang w:val="nl-BE" w:eastAsia="nl-BE"/>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2405F5">
            <w:pPr>
              <w:rPr>
                <w:b/>
                <w:bCs/>
                <w:color w:val="000000"/>
                <w:lang w:val="nl-BE" w:eastAsia="nl-BE"/>
              </w:rPr>
            </w:pPr>
          </w:p>
        </w:tc>
        <w:tc>
          <w:tcPr>
            <w:tcW w:w="1290"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2405F5">
            <w:pPr>
              <w:rPr>
                <w:b/>
                <w:bCs/>
                <w:color w:val="000000"/>
                <w:lang w:val="nl-BE" w:eastAsia="nl-BE"/>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5D3262" w:rsidRPr="00696F16" w:rsidRDefault="005D3262" w:rsidP="00D15964">
            <w:pPr>
              <w:jc w:val="center"/>
              <w:rPr>
                <w:b/>
                <w:bCs/>
                <w:i/>
                <w:iCs/>
                <w:color w:val="000000"/>
                <w:lang w:val="nl-BE" w:eastAsia="nl-BE"/>
              </w:rPr>
            </w:pPr>
          </w:p>
        </w:tc>
        <w:tc>
          <w:tcPr>
            <w:tcW w:w="1160" w:type="dxa"/>
            <w:vMerge/>
            <w:tcBorders>
              <w:top w:val="single" w:sz="4" w:space="0" w:color="auto"/>
              <w:left w:val="single" w:sz="4" w:space="0" w:color="auto"/>
              <w:bottom w:val="single" w:sz="4" w:space="0" w:color="000000"/>
              <w:right w:val="single" w:sz="4" w:space="0" w:color="auto"/>
            </w:tcBorders>
            <w:vAlign w:val="center"/>
          </w:tcPr>
          <w:p w:rsidR="005D3262" w:rsidRPr="00696F16" w:rsidRDefault="005D3262" w:rsidP="002405F5">
            <w:pPr>
              <w:rPr>
                <w:b/>
                <w:bCs/>
                <w:color w:val="000000"/>
                <w:lang w:val="nl-BE" w:eastAsia="nl-BE"/>
              </w:rPr>
            </w:pPr>
          </w:p>
        </w:tc>
        <w:tc>
          <w:tcPr>
            <w:tcW w:w="992" w:type="dxa"/>
            <w:tcBorders>
              <w:top w:val="nil"/>
              <w:left w:val="nil"/>
              <w:bottom w:val="single" w:sz="4" w:space="0" w:color="auto"/>
              <w:right w:val="single" w:sz="4" w:space="0" w:color="auto"/>
            </w:tcBorders>
            <w:shd w:val="clear" w:color="000000" w:fill="FFFFFF"/>
            <w:noWrap/>
            <w:vAlign w:val="center"/>
          </w:tcPr>
          <w:p w:rsidR="005D3262" w:rsidRPr="00696F16" w:rsidRDefault="005D3262" w:rsidP="002405F5">
            <w:pPr>
              <w:jc w:val="center"/>
              <w:rPr>
                <w:b/>
                <w:bCs/>
                <w:i/>
                <w:iCs/>
                <w:color w:val="000000"/>
                <w:lang w:val="nl-BE" w:eastAsia="nl-BE"/>
              </w:rPr>
            </w:pPr>
            <w:smartTag w:uri="urn:schemas-microsoft-com:office:smarttags" w:element="metricconverter">
              <w:smartTagPr>
                <w:attr w:name="ProductID" w:val="2010 in"/>
              </w:smartTagPr>
              <w:r w:rsidRPr="00696F16">
                <w:rPr>
                  <w:b/>
                  <w:bCs/>
                  <w:i/>
                  <w:iCs/>
                  <w:color w:val="000000"/>
                  <w:lang w:val="nl-BE" w:eastAsia="nl-BE"/>
                </w:rPr>
                <w:t>2010 in</w:t>
              </w:r>
            </w:smartTag>
            <w:r w:rsidRPr="00696F16">
              <w:rPr>
                <w:b/>
                <w:bCs/>
                <w:i/>
                <w:iCs/>
                <w:color w:val="000000"/>
                <w:lang w:val="nl-BE" w:eastAsia="nl-BE"/>
              </w:rPr>
              <w:t xml:space="preserve"> %</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iCs/>
                <w:color w:val="000000"/>
                <w:lang w:val="nl-BE" w:eastAsia="nl-BE"/>
              </w:rPr>
            </w:pPr>
            <w:r w:rsidRPr="00696F16">
              <w:rPr>
                <w:b/>
                <w:iCs/>
                <w:color w:val="000000"/>
                <w:lang w:val="nl-BE" w:eastAsia="nl-BE"/>
              </w:rPr>
              <w:t>Europa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186.941.342</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73,73%</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143.129.596</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73,50%</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167.136.384</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73,26%</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Europese Unie</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173.766.340</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68,54%</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134.298.727</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68,97%</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154.745.045</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67,83%</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Europa overige</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13.175.001</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5,20%</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8.830.869</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4,54%</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12.391.339</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5,43%</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iCs/>
                <w:color w:val="000000"/>
                <w:lang w:val="nl-BE" w:eastAsia="nl-BE"/>
              </w:rPr>
            </w:pPr>
            <w:r w:rsidRPr="00696F16">
              <w:rPr>
                <w:b/>
                <w:iCs/>
                <w:color w:val="000000"/>
                <w:lang w:val="nl-BE" w:eastAsia="nl-BE"/>
              </w:rPr>
              <w:t>Azië</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36.594.392</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14,43%</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28.381.039</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14,58%</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33.140.666</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14,53%</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Azië overige</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30.962.108</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12,21%</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24.547.632</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12,61%</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27.460.280</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12,04%</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Nabije en Midden-Oosten</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5.632.285</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2,22%</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3.833.407</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1,97%</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5.680.385</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2,49%</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iCs/>
                <w:color w:val="000000"/>
                <w:lang w:val="nl-BE" w:eastAsia="nl-BE"/>
              </w:rPr>
            </w:pPr>
            <w:r w:rsidRPr="00696F16">
              <w:rPr>
                <w:b/>
                <w:iCs/>
                <w:color w:val="000000"/>
                <w:lang w:val="nl-BE" w:eastAsia="nl-BE"/>
              </w:rPr>
              <w:t>Amerika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22.129.857</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8,73%</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17.662.701</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9,07%</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20.692.577</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9,07%</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Noord-Amerika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15.290.341</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6,03%</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12.267.451</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6,30%</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14.311.804</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6,27%</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Centraal-Amerika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1.809.098</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0,71%</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1.485.306</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0,76%</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1.705.524</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0,75%</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Zuid-Amerika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5.030.418</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1,98%</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3.909.944</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2,01%</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4.675.249</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2,05%</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iCs/>
                <w:color w:val="000000"/>
                <w:lang w:val="nl-BE" w:eastAsia="nl-BE"/>
              </w:rPr>
            </w:pPr>
            <w:r w:rsidRPr="00696F16">
              <w:rPr>
                <w:b/>
                <w:iCs/>
                <w:color w:val="000000"/>
                <w:lang w:val="nl-BE" w:eastAsia="nl-BE"/>
              </w:rPr>
              <w:t>Afrika</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6.516.317</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2,57%</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4.616.373</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2,37%</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5.911.355</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2,59%</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Noord-Afrika</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2.602.714</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1,03%</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1.747.224</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0,90%</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2.245.111</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0,98%</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Afrika overige</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3.913.603</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1,54%</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2.869.150</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1,47%</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3.666.244</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1,61%</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iCs/>
                <w:color w:val="000000"/>
                <w:lang w:val="nl-BE" w:eastAsia="nl-BE"/>
              </w:rPr>
            </w:pPr>
            <w:r w:rsidRPr="00696F16">
              <w:rPr>
                <w:b/>
                <w:iCs/>
                <w:color w:val="000000"/>
                <w:lang w:val="nl-BE" w:eastAsia="nl-BE"/>
              </w:rPr>
              <w:t>Oceanië</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1.347.019</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0,53%</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925.098</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iCs/>
                <w:color w:val="000000"/>
                <w:lang w:val="nl-BE" w:eastAsia="nl-BE"/>
              </w:rPr>
            </w:pPr>
            <w:r w:rsidRPr="00696F16">
              <w:rPr>
                <w:iCs/>
                <w:color w:val="000000"/>
                <w:lang w:val="nl-BE" w:eastAsia="nl-BE"/>
              </w:rPr>
              <w:t>0,48%</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1.231.804</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iCs/>
                <w:color w:val="000000"/>
                <w:lang w:val="nl-BE" w:eastAsia="nl-BE"/>
              </w:rPr>
            </w:pPr>
            <w:r w:rsidRPr="00696F16">
              <w:rPr>
                <w:iCs/>
                <w:color w:val="000000"/>
                <w:lang w:val="nl-BE" w:eastAsia="nl-BE"/>
              </w:rPr>
              <w:t>0,54%</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rPr>
                <w:color w:val="000000"/>
                <w:lang w:val="nl-BE" w:eastAsia="nl-BE"/>
              </w:rPr>
            </w:pPr>
            <w:r w:rsidRPr="00696F16">
              <w:rPr>
                <w:color w:val="000000"/>
                <w:lang w:val="nl-BE" w:eastAsia="nl-BE"/>
              </w:rPr>
              <w:t>Australië en Nieuw-Zeeland</w:t>
            </w:r>
          </w:p>
        </w:tc>
        <w:tc>
          <w:tcPr>
            <w:tcW w:w="1276" w:type="dxa"/>
            <w:tcBorders>
              <w:top w:val="nil"/>
              <w:left w:val="nil"/>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1.244.033</w:t>
            </w:r>
          </w:p>
        </w:tc>
        <w:tc>
          <w:tcPr>
            <w:tcW w:w="99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0,49%</w:t>
            </w:r>
          </w:p>
        </w:tc>
        <w:tc>
          <w:tcPr>
            <w:tcW w:w="129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879.752</w:t>
            </w:r>
          </w:p>
        </w:tc>
        <w:tc>
          <w:tcPr>
            <w:tcW w:w="952" w:type="dxa"/>
            <w:tcBorders>
              <w:top w:val="single" w:sz="4" w:space="0" w:color="auto"/>
              <w:left w:val="nil"/>
              <w:bottom w:val="single" w:sz="4" w:space="0" w:color="auto"/>
              <w:right w:val="single" w:sz="4" w:space="0" w:color="auto"/>
            </w:tcBorders>
            <w:vAlign w:val="center"/>
          </w:tcPr>
          <w:p w:rsidR="005D3262" w:rsidRPr="00696F16" w:rsidRDefault="005D3262" w:rsidP="002F7CA4">
            <w:pPr>
              <w:jc w:val="right"/>
              <w:rPr>
                <w:color w:val="000000"/>
                <w:lang w:val="nl-BE" w:eastAsia="nl-BE"/>
              </w:rPr>
            </w:pPr>
            <w:r w:rsidRPr="00696F16">
              <w:rPr>
                <w:color w:val="000000"/>
                <w:lang w:val="nl-BE" w:eastAsia="nl-BE"/>
              </w:rPr>
              <w:t>0,45%</w:t>
            </w:r>
          </w:p>
        </w:tc>
        <w:tc>
          <w:tcPr>
            <w:tcW w:w="1160" w:type="dxa"/>
            <w:tcBorders>
              <w:top w:val="nil"/>
              <w:left w:val="single" w:sz="4" w:space="0" w:color="auto"/>
              <w:bottom w:val="single" w:sz="4" w:space="0" w:color="auto"/>
              <w:right w:val="single" w:sz="4" w:space="0" w:color="auto"/>
            </w:tcBorders>
            <w:noWrap/>
            <w:vAlign w:val="center"/>
          </w:tcPr>
          <w:p w:rsidR="005D3262" w:rsidRPr="00696F16" w:rsidRDefault="005D3262" w:rsidP="002F7CA4">
            <w:pPr>
              <w:jc w:val="right"/>
              <w:rPr>
                <w:color w:val="000000"/>
                <w:lang w:val="nl-BE" w:eastAsia="nl-BE"/>
              </w:rPr>
            </w:pPr>
            <w:r w:rsidRPr="00696F16">
              <w:rPr>
                <w:color w:val="000000"/>
                <w:lang w:val="nl-BE" w:eastAsia="nl-BE"/>
              </w:rPr>
              <w:t>1.164.790</w:t>
            </w:r>
          </w:p>
        </w:tc>
        <w:tc>
          <w:tcPr>
            <w:tcW w:w="992" w:type="dxa"/>
            <w:tcBorders>
              <w:top w:val="nil"/>
              <w:left w:val="nil"/>
              <w:bottom w:val="single" w:sz="4" w:space="0" w:color="auto"/>
              <w:right w:val="single" w:sz="4" w:space="0" w:color="auto"/>
            </w:tcBorders>
            <w:noWrap/>
            <w:vAlign w:val="center"/>
          </w:tcPr>
          <w:p w:rsidR="005D3262" w:rsidRPr="00696F16" w:rsidRDefault="005D3262" w:rsidP="002F7CA4">
            <w:pPr>
              <w:jc w:val="right"/>
              <w:rPr>
                <w:iCs/>
                <w:color w:val="000000"/>
                <w:lang w:val="nl-BE" w:eastAsia="nl-BE"/>
              </w:rPr>
            </w:pPr>
            <w:r w:rsidRPr="00696F16">
              <w:rPr>
                <w:iCs/>
                <w:color w:val="000000"/>
                <w:lang w:val="nl-BE" w:eastAsia="nl-BE"/>
              </w:rPr>
              <w:t>0,51%</w:t>
            </w:r>
          </w:p>
        </w:tc>
      </w:tr>
      <w:tr w:rsidR="005D3262" w:rsidRPr="002405F5" w:rsidTr="004F1E11">
        <w:trPr>
          <w:trHeight w:val="255"/>
        </w:trPr>
        <w:tc>
          <w:tcPr>
            <w:tcW w:w="2425"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D3262" w:rsidRPr="00696F16" w:rsidRDefault="005D3262" w:rsidP="002F7CA4">
            <w:pPr>
              <w:rPr>
                <w:iCs/>
                <w:color w:val="000000"/>
                <w:lang w:val="nl-BE" w:eastAsia="nl-BE"/>
              </w:rPr>
            </w:pPr>
            <w:r w:rsidRPr="00696F16">
              <w:rPr>
                <w:iCs/>
                <w:color w:val="000000"/>
                <w:lang w:val="nl-BE" w:eastAsia="nl-BE"/>
              </w:rPr>
              <w:t>Bijzondere trafiek</w:t>
            </w: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5D3262" w:rsidRPr="00696F16" w:rsidRDefault="005D3262" w:rsidP="002F7CA4">
            <w:pPr>
              <w:jc w:val="right"/>
              <w:rPr>
                <w:iCs/>
                <w:color w:val="000000"/>
                <w:lang w:val="nl-BE" w:eastAsia="nl-BE"/>
              </w:rPr>
            </w:pPr>
            <w:r w:rsidRPr="00696F16">
              <w:rPr>
                <w:iCs/>
                <w:color w:val="000000"/>
                <w:lang w:val="nl-BE" w:eastAsia="nl-BE"/>
              </w:rPr>
              <w:t>10.081</w:t>
            </w:r>
          </w:p>
        </w:tc>
        <w:tc>
          <w:tcPr>
            <w:tcW w:w="992" w:type="dxa"/>
            <w:tcBorders>
              <w:top w:val="single" w:sz="4" w:space="0" w:color="auto"/>
              <w:left w:val="nil"/>
              <w:bottom w:val="single" w:sz="4" w:space="0" w:color="auto"/>
              <w:right w:val="single" w:sz="4" w:space="0" w:color="auto"/>
            </w:tcBorders>
            <w:shd w:val="clear" w:color="000000" w:fill="auto"/>
            <w:vAlign w:val="center"/>
          </w:tcPr>
          <w:p w:rsidR="005D3262" w:rsidRPr="00696F16" w:rsidRDefault="005D3262" w:rsidP="002F7CA4">
            <w:pPr>
              <w:jc w:val="right"/>
              <w:rPr>
                <w:iCs/>
                <w:color w:val="000000"/>
                <w:lang w:val="nl-BE" w:eastAsia="nl-BE"/>
              </w:rPr>
            </w:pPr>
            <w:r w:rsidRPr="00696F16">
              <w:rPr>
                <w:iCs/>
                <w:color w:val="000000"/>
                <w:lang w:val="nl-BE" w:eastAsia="nl-BE"/>
              </w:rPr>
              <w:t>0,00%</w:t>
            </w:r>
          </w:p>
        </w:tc>
        <w:tc>
          <w:tcPr>
            <w:tcW w:w="129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D3262" w:rsidRPr="00696F16" w:rsidRDefault="005D3262" w:rsidP="002F7CA4">
            <w:pPr>
              <w:jc w:val="right"/>
              <w:rPr>
                <w:iCs/>
                <w:color w:val="000000"/>
                <w:lang w:val="nl-BE" w:eastAsia="nl-BE"/>
              </w:rPr>
            </w:pPr>
            <w:r w:rsidRPr="00696F16">
              <w:rPr>
                <w:iCs/>
                <w:color w:val="000000"/>
                <w:lang w:val="nl-BE" w:eastAsia="nl-BE"/>
              </w:rPr>
              <w:t>7.256</w:t>
            </w:r>
          </w:p>
        </w:tc>
        <w:tc>
          <w:tcPr>
            <w:tcW w:w="952" w:type="dxa"/>
            <w:tcBorders>
              <w:top w:val="single" w:sz="4" w:space="0" w:color="auto"/>
              <w:left w:val="nil"/>
              <w:bottom w:val="single" w:sz="4" w:space="0" w:color="auto"/>
              <w:right w:val="single" w:sz="4" w:space="0" w:color="auto"/>
            </w:tcBorders>
            <w:shd w:val="clear" w:color="000000" w:fill="auto"/>
            <w:vAlign w:val="center"/>
          </w:tcPr>
          <w:p w:rsidR="005D3262" w:rsidRPr="00696F16" w:rsidRDefault="005D3262" w:rsidP="002F7CA4">
            <w:pPr>
              <w:jc w:val="right"/>
              <w:rPr>
                <w:iCs/>
                <w:color w:val="000000"/>
                <w:lang w:val="nl-BE" w:eastAsia="nl-BE"/>
              </w:rPr>
            </w:pPr>
            <w:r w:rsidRPr="00696F16">
              <w:rPr>
                <w:iCs/>
                <w:color w:val="000000"/>
                <w:lang w:val="nl-BE" w:eastAsia="nl-BE"/>
              </w:rPr>
              <w:t>0,00%</w:t>
            </w:r>
          </w:p>
        </w:tc>
        <w:tc>
          <w:tcPr>
            <w:tcW w:w="11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D3262" w:rsidRPr="00696F16" w:rsidRDefault="005D3262" w:rsidP="002F7CA4">
            <w:pPr>
              <w:jc w:val="right"/>
              <w:rPr>
                <w:iCs/>
                <w:color w:val="000000"/>
                <w:lang w:val="nl-BE" w:eastAsia="nl-BE"/>
              </w:rPr>
            </w:pPr>
            <w:r w:rsidRPr="00696F16">
              <w:rPr>
                <w:iCs/>
                <w:color w:val="000000"/>
                <w:lang w:val="nl-BE" w:eastAsia="nl-BE"/>
              </w:rPr>
              <w:t>13.366</w:t>
            </w:r>
          </w:p>
        </w:tc>
        <w:tc>
          <w:tcPr>
            <w:tcW w:w="992" w:type="dxa"/>
            <w:tcBorders>
              <w:top w:val="single" w:sz="4" w:space="0" w:color="auto"/>
              <w:left w:val="nil"/>
              <w:bottom w:val="single" w:sz="4" w:space="0" w:color="auto"/>
              <w:right w:val="single" w:sz="4" w:space="0" w:color="auto"/>
            </w:tcBorders>
            <w:shd w:val="clear" w:color="000000" w:fill="auto"/>
            <w:noWrap/>
            <w:vAlign w:val="center"/>
          </w:tcPr>
          <w:p w:rsidR="005D3262" w:rsidRPr="00696F16" w:rsidRDefault="005D3262" w:rsidP="002F7CA4">
            <w:pPr>
              <w:jc w:val="right"/>
              <w:rPr>
                <w:iCs/>
                <w:color w:val="000000"/>
                <w:lang w:val="nl-BE" w:eastAsia="nl-BE"/>
              </w:rPr>
            </w:pPr>
            <w:r w:rsidRPr="00696F16">
              <w:rPr>
                <w:iCs/>
                <w:color w:val="000000"/>
                <w:lang w:val="nl-BE" w:eastAsia="nl-BE"/>
              </w:rPr>
              <w:t>0,01%</w:t>
            </w:r>
          </w:p>
        </w:tc>
      </w:tr>
      <w:tr w:rsidR="005D3262" w:rsidRPr="002405F5" w:rsidTr="004F1E11">
        <w:trPr>
          <w:trHeight w:val="255"/>
        </w:trPr>
        <w:tc>
          <w:tcPr>
            <w:tcW w:w="2425"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rPr>
                <w:b/>
                <w:bCs/>
                <w:color w:val="000000"/>
                <w:lang w:val="nl-BE" w:eastAsia="nl-BE"/>
              </w:rPr>
            </w:pPr>
            <w:r w:rsidRPr="00696F16">
              <w:rPr>
                <w:b/>
                <w:bCs/>
                <w:color w:val="000000"/>
                <w:lang w:val="nl-BE" w:eastAsia="nl-BE"/>
              </w:rPr>
              <w:t>TOTAAL</w:t>
            </w:r>
          </w:p>
        </w:tc>
        <w:tc>
          <w:tcPr>
            <w:tcW w:w="1276"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b/>
                <w:bCs/>
                <w:color w:val="000000"/>
                <w:lang w:val="nl-BE" w:eastAsia="nl-BE"/>
              </w:rPr>
            </w:pPr>
            <w:r w:rsidRPr="00696F16">
              <w:rPr>
                <w:b/>
                <w:bCs/>
                <w:color w:val="000000"/>
                <w:lang w:val="nl-BE" w:eastAsia="nl-BE"/>
              </w:rPr>
              <w:t>253.539.009</w:t>
            </w:r>
          </w:p>
        </w:tc>
        <w:tc>
          <w:tcPr>
            <w:tcW w:w="99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b/>
                <w:bCs/>
                <w:color w:val="000000"/>
                <w:lang w:val="nl-BE" w:eastAsia="nl-BE"/>
              </w:rPr>
            </w:pPr>
            <w:r w:rsidRPr="00696F16">
              <w:rPr>
                <w:b/>
                <w:bCs/>
                <w:color w:val="000000"/>
                <w:lang w:val="nl-BE" w:eastAsia="nl-BE"/>
              </w:rPr>
              <w:t>100%</w:t>
            </w:r>
          </w:p>
        </w:tc>
        <w:tc>
          <w:tcPr>
            <w:tcW w:w="129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b/>
                <w:bCs/>
                <w:color w:val="000000"/>
                <w:lang w:val="nl-BE" w:eastAsia="nl-BE"/>
              </w:rPr>
            </w:pPr>
            <w:r w:rsidRPr="00696F16">
              <w:rPr>
                <w:b/>
                <w:bCs/>
                <w:color w:val="000000"/>
                <w:lang w:val="nl-BE" w:eastAsia="nl-BE"/>
              </w:rPr>
              <w:t>194.722.062</w:t>
            </w:r>
          </w:p>
        </w:tc>
        <w:tc>
          <w:tcPr>
            <w:tcW w:w="952" w:type="dxa"/>
            <w:tcBorders>
              <w:top w:val="single" w:sz="4" w:space="0" w:color="auto"/>
              <w:left w:val="nil"/>
              <w:bottom w:val="single" w:sz="4" w:space="0" w:color="auto"/>
              <w:right w:val="single" w:sz="4" w:space="0" w:color="auto"/>
            </w:tcBorders>
            <w:shd w:val="clear" w:color="000000" w:fill="BFBFBF"/>
            <w:vAlign w:val="center"/>
          </w:tcPr>
          <w:p w:rsidR="005D3262" w:rsidRPr="00696F16" w:rsidRDefault="005D3262" w:rsidP="002F7CA4">
            <w:pPr>
              <w:jc w:val="right"/>
              <w:rPr>
                <w:b/>
                <w:bCs/>
                <w:color w:val="000000"/>
                <w:lang w:val="nl-BE" w:eastAsia="nl-BE"/>
              </w:rPr>
            </w:pPr>
            <w:r w:rsidRPr="00696F16">
              <w:rPr>
                <w:b/>
                <w:bCs/>
                <w:color w:val="000000"/>
                <w:lang w:val="nl-BE" w:eastAsia="nl-BE"/>
              </w:rPr>
              <w:t>100%</w:t>
            </w:r>
          </w:p>
        </w:tc>
        <w:tc>
          <w:tcPr>
            <w:tcW w:w="1160" w:type="dxa"/>
            <w:tcBorders>
              <w:top w:val="nil"/>
              <w:left w:val="single" w:sz="4" w:space="0" w:color="auto"/>
              <w:bottom w:val="single" w:sz="4" w:space="0" w:color="auto"/>
              <w:right w:val="single" w:sz="4" w:space="0" w:color="auto"/>
            </w:tcBorders>
            <w:shd w:val="clear" w:color="000000" w:fill="BFBFBF"/>
            <w:noWrap/>
            <w:vAlign w:val="center"/>
          </w:tcPr>
          <w:p w:rsidR="005D3262" w:rsidRPr="00696F16" w:rsidRDefault="005D3262" w:rsidP="002F7CA4">
            <w:pPr>
              <w:jc w:val="right"/>
              <w:rPr>
                <w:b/>
                <w:bCs/>
                <w:color w:val="000000"/>
                <w:lang w:val="nl-BE" w:eastAsia="nl-BE"/>
              </w:rPr>
            </w:pPr>
            <w:r w:rsidRPr="00696F16">
              <w:rPr>
                <w:b/>
                <w:bCs/>
                <w:color w:val="000000"/>
                <w:lang w:val="nl-BE" w:eastAsia="nl-BE"/>
              </w:rPr>
              <w:t>228.126.151</w:t>
            </w:r>
          </w:p>
        </w:tc>
        <w:tc>
          <w:tcPr>
            <w:tcW w:w="992" w:type="dxa"/>
            <w:tcBorders>
              <w:top w:val="nil"/>
              <w:left w:val="nil"/>
              <w:bottom w:val="single" w:sz="4" w:space="0" w:color="auto"/>
              <w:right w:val="single" w:sz="4" w:space="0" w:color="auto"/>
            </w:tcBorders>
            <w:shd w:val="clear" w:color="000000" w:fill="BFBFBF"/>
            <w:noWrap/>
            <w:vAlign w:val="center"/>
          </w:tcPr>
          <w:p w:rsidR="005D3262" w:rsidRPr="00696F16" w:rsidRDefault="005D3262" w:rsidP="002F7CA4">
            <w:pPr>
              <w:jc w:val="right"/>
              <w:rPr>
                <w:b/>
                <w:bCs/>
                <w:iCs/>
                <w:color w:val="000000"/>
                <w:lang w:val="nl-BE" w:eastAsia="nl-BE"/>
              </w:rPr>
            </w:pPr>
            <w:r w:rsidRPr="00696F16">
              <w:rPr>
                <w:b/>
                <w:bCs/>
                <w:iCs/>
                <w:color w:val="000000"/>
                <w:lang w:val="nl-BE" w:eastAsia="nl-BE"/>
              </w:rPr>
              <w:t>100%</w:t>
            </w:r>
          </w:p>
        </w:tc>
      </w:tr>
    </w:tbl>
    <w:p w:rsidR="005D3262" w:rsidRDefault="005D3262" w:rsidP="00C83987">
      <w:pPr>
        <w:pStyle w:val="ListParagraph"/>
        <w:rPr>
          <w:sz w:val="22"/>
          <w:szCs w:val="22"/>
        </w:rPr>
      </w:pPr>
    </w:p>
    <w:p w:rsidR="005D3262" w:rsidRDefault="005D3262" w:rsidP="0050079F">
      <w:pPr>
        <w:numPr>
          <w:ilvl w:val="0"/>
          <w:numId w:val="34"/>
        </w:numPr>
        <w:tabs>
          <w:tab w:val="clear" w:pos="360"/>
          <w:tab w:val="left" w:pos="284"/>
          <w:tab w:val="num" w:pos="709"/>
        </w:tabs>
        <w:ind w:left="709" w:hanging="709"/>
        <w:jc w:val="both"/>
        <w:rPr>
          <w:sz w:val="22"/>
          <w:szCs w:val="22"/>
        </w:rPr>
      </w:pPr>
      <w:r>
        <w:rPr>
          <w:sz w:val="22"/>
          <w:szCs w:val="22"/>
        </w:rPr>
        <w:t>a)</w:t>
      </w:r>
      <w:r>
        <w:rPr>
          <w:sz w:val="22"/>
          <w:szCs w:val="22"/>
        </w:rPr>
        <w:tab/>
        <w:t>In onderstaande tabel vindt u de cijfers m.b.t. de Vlaamse uitvoerstructuur voor de eerste elf maanden van 2010. De cijfers zijn berekend op basis van het communautaire concept, en uitgedrukt in 1.000 euro.</w:t>
      </w:r>
      <w:r w:rsidRPr="00305BA6">
        <w:rPr>
          <w:sz w:val="22"/>
          <w:szCs w:val="22"/>
        </w:rPr>
        <w:t xml:space="preserve"> </w:t>
      </w:r>
    </w:p>
    <w:p w:rsidR="005D3262" w:rsidRDefault="005D3262" w:rsidP="00305BA6">
      <w:pPr>
        <w:jc w:val="both"/>
        <w:rPr>
          <w:sz w:val="22"/>
          <w:szCs w:val="22"/>
        </w:rPr>
      </w:pPr>
    </w:p>
    <w:tbl>
      <w:tblPr>
        <w:tblW w:w="9135" w:type="dxa"/>
        <w:tblInd w:w="55" w:type="dxa"/>
        <w:tblCellMar>
          <w:left w:w="70" w:type="dxa"/>
          <w:right w:w="70" w:type="dxa"/>
        </w:tblCellMar>
        <w:tblLook w:val="00A0"/>
      </w:tblPr>
      <w:tblGrid>
        <w:gridCol w:w="724"/>
        <w:gridCol w:w="5434"/>
        <w:gridCol w:w="1559"/>
        <w:gridCol w:w="1418"/>
      </w:tblGrid>
      <w:tr w:rsidR="005D3262" w:rsidRPr="00305BA6" w:rsidTr="00305BA6">
        <w:trPr>
          <w:trHeight w:val="270"/>
        </w:trPr>
        <w:tc>
          <w:tcPr>
            <w:tcW w:w="724" w:type="dxa"/>
            <w:vMerge w:val="restart"/>
            <w:tcBorders>
              <w:top w:val="single" w:sz="4" w:space="0" w:color="auto"/>
              <w:left w:val="single" w:sz="4" w:space="0" w:color="auto"/>
              <w:bottom w:val="single" w:sz="4" w:space="0" w:color="000000"/>
              <w:right w:val="single" w:sz="8" w:space="0" w:color="666699"/>
            </w:tcBorders>
            <w:shd w:val="clear" w:color="000000" w:fill="C0C0C0"/>
            <w:noWrap/>
            <w:vAlign w:val="center"/>
          </w:tcPr>
          <w:p w:rsidR="005D3262" w:rsidRPr="00696F16" w:rsidRDefault="005D3262" w:rsidP="00305BA6">
            <w:pPr>
              <w:jc w:val="center"/>
              <w:rPr>
                <w:b/>
                <w:bCs/>
                <w:color w:val="000000"/>
                <w:lang w:val="nl-BE" w:eastAsia="nl-BE"/>
              </w:rPr>
            </w:pPr>
            <w:r w:rsidRPr="00696F16">
              <w:rPr>
                <w:b/>
                <w:bCs/>
                <w:color w:val="000000"/>
                <w:lang w:val="nl-BE" w:eastAsia="nl-BE"/>
              </w:rPr>
              <w:t>Nr</w:t>
            </w:r>
          </w:p>
        </w:tc>
        <w:tc>
          <w:tcPr>
            <w:tcW w:w="5434" w:type="dxa"/>
            <w:vMerge w:val="restart"/>
            <w:tcBorders>
              <w:top w:val="single" w:sz="4" w:space="0" w:color="auto"/>
              <w:left w:val="single" w:sz="8" w:space="0" w:color="666699"/>
              <w:bottom w:val="single" w:sz="4" w:space="0" w:color="000000"/>
              <w:right w:val="nil"/>
            </w:tcBorders>
            <w:shd w:val="clear" w:color="000000" w:fill="C0C0C0"/>
            <w:noWrap/>
            <w:vAlign w:val="center"/>
          </w:tcPr>
          <w:p w:rsidR="005D3262" w:rsidRPr="00696F16" w:rsidRDefault="005D3262" w:rsidP="00305BA6">
            <w:pPr>
              <w:jc w:val="center"/>
              <w:rPr>
                <w:b/>
                <w:bCs/>
                <w:color w:val="000000"/>
                <w:lang w:val="nl-BE" w:eastAsia="nl-BE"/>
              </w:rPr>
            </w:pPr>
            <w:r w:rsidRPr="00696F16">
              <w:rPr>
                <w:b/>
                <w:bCs/>
                <w:color w:val="000000"/>
                <w:lang w:val="nl-BE" w:eastAsia="nl-BE"/>
              </w:rPr>
              <w:t>Product</w:t>
            </w:r>
          </w:p>
        </w:tc>
        <w:tc>
          <w:tcPr>
            <w:tcW w:w="1559" w:type="dxa"/>
            <w:vMerge w:val="restart"/>
            <w:tcBorders>
              <w:top w:val="single" w:sz="4" w:space="0" w:color="auto"/>
              <w:left w:val="single" w:sz="8" w:space="0" w:color="666699"/>
              <w:bottom w:val="single" w:sz="4" w:space="0" w:color="000000"/>
              <w:right w:val="single" w:sz="4" w:space="0" w:color="000000"/>
            </w:tcBorders>
            <w:shd w:val="clear" w:color="000000" w:fill="C0C0C0"/>
            <w:noWrap/>
            <w:vAlign w:val="center"/>
          </w:tcPr>
          <w:p w:rsidR="005D3262" w:rsidRPr="00696F16" w:rsidRDefault="005D3262" w:rsidP="00305BA6">
            <w:pPr>
              <w:jc w:val="center"/>
              <w:rPr>
                <w:b/>
                <w:bCs/>
                <w:color w:val="000000"/>
                <w:lang w:val="nl-BE" w:eastAsia="nl-BE"/>
              </w:rPr>
            </w:pPr>
            <w:r w:rsidRPr="00696F16">
              <w:rPr>
                <w:b/>
                <w:bCs/>
                <w:color w:val="000000"/>
                <w:lang w:val="nl-BE" w:eastAsia="nl-BE"/>
              </w:rPr>
              <w:t>jan-nov 2010</w:t>
            </w:r>
          </w:p>
        </w:tc>
        <w:tc>
          <w:tcPr>
            <w:tcW w:w="1418" w:type="dxa"/>
            <w:tcBorders>
              <w:top w:val="single" w:sz="4" w:space="0" w:color="auto"/>
              <w:left w:val="single" w:sz="8" w:space="0" w:color="666699"/>
              <w:bottom w:val="nil"/>
              <w:right w:val="single" w:sz="4" w:space="0" w:color="000000"/>
            </w:tcBorders>
            <w:shd w:val="clear" w:color="000000" w:fill="C0C0C0"/>
            <w:noWrap/>
            <w:vAlign w:val="center"/>
          </w:tcPr>
          <w:p w:rsidR="005D3262" w:rsidRPr="00696F16" w:rsidRDefault="005D3262" w:rsidP="00305BA6">
            <w:pPr>
              <w:jc w:val="center"/>
              <w:rPr>
                <w:b/>
                <w:bCs/>
                <w:iCs/>
                <w:color w:val="000000"/>
                <w:lang w:val="nl-BE" w:eastAsia="nl-BE"/>
              </w:rPr>
            </w:pPr>
            <w:r w:rsidRPr="00696F16">
              <w:rPr>
                <w:b/>
                <w:bCs/>
                <w:iCs/>
                <w:color w:val="000000"/>
                <w:lang w:val="nl-BE" w:eastAsia="nl-BE"/>
              </w:rPr>
              <w:t>Aandeel</w:t>
            </w:r>
          </w:p>
        </w:tc>
      </w:tr>
      <w:tr w:rsidR="005D3262" w:rsidRPr="00305BA6" w:rsidTr="00305BA6">
        <w:trPr>
          <w:trHeight w:val="255"/>
        </w:trPr>
        <w:tc>
          <w:tcPr>
            <w:tcW w:w="724" w:type="dxa"/>
            <w:vMerge/>
            <w:tcBorders>
              <w:top w:val="single" w:sz="4" w:space="0" w:color="auto"/>
              <w:left w:val="single" w:sz="4" w:space="0" w:color="auto"/>
              <w:bottom w:val="single" w:sz="8" w:space="0" w:color="auto"/>
              <w:right w:val="single" w:sz="8" w:space="0" w:color="666699"/>
            </w:tcBorders>
            <w:vAlign w:val="center"/>
          </w:tcPr>
          <w:p w:rsidR="005D3262" w:rsidRPr="00696F16" w:rsidRDefault="005D3262" w:rsidP="00305BA6">
            <w:pPr>
              <w:rPr>
                <w:b/>
                <w:bCs/>
                <w:color w:val="000000"/>
                <w:lang w:val="nl-BE" w:eastAsia="nl-BE"/>
              </w:rPr>
            </w:pPr>
          </w:p>
        </w:tc>
        <w:tc>
          <w:tcPr>
            <w:tcW w:w="5434" w:type="dxa"/>
            <w:vMerge/>
            <w:tcBorders>
              <w:top w:val="single" w:sz="4" w:space="0" w:color="auto"/>
              <w:left w:val="single" w:sz="8" w:space="0" w:color="666699"/>
              <w:bottom w:val="single" w:sz="8" w:space="0" w:color="auto"/>
              <w:right w:val="nil"/>
            </w:tcBorders>
            <w:vAlign w:val="center"/>
          </w:tcPr>
          <w:p w:rsidR="005D3262" w:rsidRPr="00696F16" w:rsidRDefault="005D3262" w:rsidP="00305BA6">
            <w:pPr>
              <w:rPr>
                <w:b/>
                <w:bCs/>
                <w:color w:val="000000"/>
                <w:lang w:val="nl-BE" w:eastAsia="nl-BE"/>
              </w:rPr>
            </w:pPr>
          </w:p>
        </w:tc>
        <w:tc>
          <w:tcPr>
            <w:tcW w:w="1559" w:type="dxa"/>
            <w:vMerge/>
            <w:tcBorders>
              <w:top w:val="single" w:sz="4" w:space="0" w:color="auto"/>
              <w:left w:val="single" w:sz="8" w:space="0" w:color="666699"/>
              <w:bottom w:val="single" w:sz="8" w:space="0" w:color="auto"/>
              <w:right w:val="single" w:sz="4" w:space="0" w:color="000000"/>
            </w:tcBorders>
            <w:vAlign w:val="center"/>
          </w:tcPr>
          <w:p w:rsidR="005D3262" w:rsidRPr="00696F16" w:rsidRDefault="005D3262" w:rsidP="00305BA6">
            <w:pPr>
              <w:rPr>
                <w:b/>
                <w:bCs/>
                <w:color w:val="000000"/>
                <w:lang w:val="nl-BE" w:eastAsia="nl-BE"/>
              </w:rPr>
            </w:pPr>
          </w:p>
        </w:tc>
        <w:tc>
          <w:tcPr>
            <w:tcW w:w="1418" w:type="dxa"/>
            <w:tcBorders>
              <w:top w:val="nil"/>
              <w:left w:val="single" w:sz="8" w:space="0" w:color="666699"/>
              <w:bottom w:val="single" w:sz="8" w:space="0" w:color="auto"/>
              <w:right w:val="single" w:sz="4" w:space="0" w:color="000000"/>
            </w:tcBorders>
            <w:shd w:val="clear" w:color="000000" w:fill="C0C0C0"/>
            <w:noWrap/>
            <w:vAlign w:val="center"/>
          </w:tcPr>
          <w:p w:rsidR="005D3262" w:rsidRPr="00696F16" w:rsidRDefault="005D3262" w:rsidP="00305BA6">
            <w:pPr>
              <w:jc w:val="center"/>
              <w:rPr>
                <w:b/>
                <w:bCs/>
                <w:iCs/>
                <w:color w:val="000000"/>
                <w:lang w:val="nl-BE" w:eastAsia="nl-BE"/>
              </w:rPr>
            </w:pPr>
            <w:smartTag w:uri="urn:schemas-microsoft-com:office:smarttags" w:element="metricconverter">
              <w:smartTagPr>
                <w:attr w:name="ProductID" w:val="2010 in"/>
              </w:smartTagPr>
              <w:r w:rsidRPr="00696F16">
                <w:rPr>
                  <w:b/>
                  <w:bCs/>
                  <w:iCs/>
                  <w:color w:val="000000"/>
                  <w:lang w:val="nl-BE" w:eastAsia="nl-BE"/>
                </w:rPr>
                <w:t>2010 in</w:t>
              </w:r>
            </w:smartTag>
            <w:r w:rsidRPr="00696F16">
              <w:rPr>
                <w:b/>
                <w:bCs/>
                <w:iCs/>
                <w:color w:val="000000"/>
                <w:lang w:val="nl-BE" w:eastAsia="nl-BE"/>
              </w:rPr>
              <w:t xml:space="preserve"> %</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Farmaceutische 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27.360.178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11,60%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Voertuigen voor vervoer over land</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22.843.423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9,69%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Organische chemische 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21.129.734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8,96%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Minerale brandstoffen, aardolie en distillatieproducten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20.100.838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8,52%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Kunststof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17.704.405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7,51%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Machines, toestellen en mechanische werktuigen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16.951.879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7,19%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Edelstenen en halfedelstenen; edele metalen; diamant; munten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13.316.016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5,65%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Elektrische machines, apparaten en uitrustingsstukken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9.245.696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3,92%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Gietijzer, ijzer en staal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7.558.873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3,20%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Optische instrumenten, apparaten en toestellen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4.803.082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2,04%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Diverse producten van de chemische industrie</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4.060.697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1,72%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Rubber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3.165.241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1,34%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Papier en karton; cellulose-, papier- en kartonwaren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2.968.476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1,26%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Toepassingen van gietijzer, van ijzer en van staal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2.900.622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1,23%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Koper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2.828.533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1,20%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Schoeisel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2.394.183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1,02%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Kleding en kledingtoebehoren, van brei- of haakwerk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2.228.251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0,94%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Vlees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2.202.154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0,93%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Aluminium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2.171.009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0,92%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Looi- en verfextracten; kleurstoffen; verf en vernis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2.076.639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0,88%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Fruit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1.944.723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0,82%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2C0604">
            <w:pPr>
              <w:rPr>
                <w:color w:val="000000"/>
                <w:lang w:val="nl-BE" w:eastAsia="nl-BE"/>
              </w:rPr>
            </w:pPr>
            <w:r w:rsidRPr="00696F16">
              <w:rPr>
                <w:color w:val="000000"/>
                <w:lang w:val="nl-BE" w:eastAsia="nl-BE"/>
              </w:rPr>
              <w:t>Meubelen; artikelen voor bedden e.d.; verlichtingstoestellen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1.868.205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0,79%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Anorganische chemische 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1.865.570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0,79%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Bepaalde bijzondere gevallen; vertrouwelijke traffiek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1.856.585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0,79%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Kleding en kledingtoebehoren, andere dan van brei- of haakwerk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1.842.308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0,78%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Bereidingen van groenten, vruchten en andere plantendelen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1.748.266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0,74%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Bereidingen van graan; gebak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1.607.525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Melk en zuivelproducten; vogeleieren; natuurhoning</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1.560.881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Cacao en cacaobereidingen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1.531.494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Zeep; was- en smeermiddelen; poets- en onderhoudsmiddelen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1.467.824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Groenten, planten, wortels en knollen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1.419.020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Tapijten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1.409.089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0,60%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Hout; houtskool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1.322.100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0,56%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Dranken, alcohol en azijn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1.298.244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0,55%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Etherische oliën; harsaroma's; parfum, toiletart. en cosmetica</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1.229.734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0,52%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Resten en afval van voeding; voedsel voor dieren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1.225.273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0,52%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Meststoffen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1.120.238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0,47%</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Producten voor fotografie en cinematografie</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1.045.952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0,44%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Vetten en oliën (dierl. en plantaardige) en dissociatieproducten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993.039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0,42%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Ertsen, slakken en assen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834.143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Diverse producten voor menselijke consumptie</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829.781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Speelgoed, ontspannings- en sportartikelen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810.578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Werken van steen, van gips, van cement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793.423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Tabak en tabaksurrogaten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769.167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Glas en glaswerk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765.984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Gereedschap van onedel metaal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732.452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Koffie, thee, maté en specerijen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718.396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0,30%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Houtpulp en pulp van andere cellulosehoudende vezelstoffen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657.648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Suiker en suikerbereidingen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656.732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Luchtvaart en ruimtevaart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636.663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0,27%</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Bereidingen van vlees, vis en schaaldieren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608.057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Lederwaren; zadels en tuigen; reisartikelen; handtassen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601.337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Synthetische of kunstmatige stapelvezels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593.582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Zink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582.700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Vis, schaaldieren en weekdieren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570.561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Artikelen van de uitgeverij</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569.201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Andere geconfectioneerde artikelen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517.716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Producten van de meelindustrie; mout; zetmeel; tarwegluten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502.816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Eiwitstoffen; gewijzigd zetmeel; lijm; enzymen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490.399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Zout; zwavel; aarde en steen; gips; kalk; cement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479.461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Levende planten en producten van de bloementeelt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475.089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0,20%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Synthetische of kunstmatige filamenten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386.279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Zaden en vruchten; zaaigoed</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344.589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Granen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328.522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Watten, vilt, touw en kabel</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318.558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Diverse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310.500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Levende dieren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306.652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Allerlei toepassingen van onedele metalen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303.786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Keramische 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295.747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Weefsels, geimpregneerd, bekleed, bedekt of met inlagen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278.123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Katoen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268.973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0,11%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Speciale weefsels; getufte textielstoffen; kant; tapisserieen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212.757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Lood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206.246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0,09%</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Nikkel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191.239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0,08%</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89</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Scheepvaart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155.150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0,07%</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Tin en toepassingen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153.494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0,07%</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Andere plantaardige textielvezels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147.874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98</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2C0604">
            <w:pPr>
              <w:rPr>
                <w:color w:val="000000"/>
                <w:lang w:val="nl-BE" w:eastAsia="nl-BE"/>
              </w:rPr>
            </w:pPr>
            <w:r w:rsidRPr="00696F16">
              <w:rPr>
                <w:color w:val="000000"/>
                <w:lang w:val="nl-BE" w:eastAsia="nl-BE"/>
              </w:rPr>
              <w:t xml:space="preserve">Complete fabriekinstallaties </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146.257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0,06%</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Andere onedele metalen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128.010</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Brei- en haakwerk aan het stuk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118.422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Rollend en ander materieel voor spoor- en tramwegen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108.366</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0,05%</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Hoofddeksels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83.728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0,04%</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05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Andere producten van dierlijke oorsprong</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70.363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Wol, fijn haar en grof haar</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67.152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0,03%</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Uurwerken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56.099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92</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Muziekinstrumenten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56.071</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Plantensappen en plantenextracten; gommen; harsen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51.587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41</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Huiden, vellen en leder</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49.933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Kunstvoorwerpen; antiek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35.507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0,02%</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67</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Artikelen van veren of van dons</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22.027</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66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Paraplu's, wandelstokken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19.463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Vlechtwerk en mandenmakerswerk</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17.883</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Pelterijen en bontwerk; namaakbont</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15.765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45</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Kurk en kurkwaren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13.595</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93</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Wapens en munitie</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12.082</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0,01%</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14</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Stoffen voor het vlechten en andere plantaardige producten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10.688</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36</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Kruit en springstoffen; ontvlambare stoffen</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5.074</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0,00%</w:t>
            </w:r>
          </w:p>
        </w:tc>
      </w:tr>
      <w:tr w:rsidR="005D3262" w:rsidRPr="00305BA6" w:rsidTr="00305BA6">
        <w:trPr>
          <w:trHeight w:val="270"/>
        </w:trPr>
        <w:tc>
          <w:tcPr>
            <w:tcW w:w="72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50</w:t>
            </w:r>
          </w:p>
        </w:tc>
        <w:tc>
          <w:tcPr>
            <w:tcW w:w="5434"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rPr>
                <w:color w:val="000000"/>
                <w:lang w:val="nl-BE" w:eastAsia="nl-BE"/>
              </w:rPr>
            </w:pPr>
            <w:r w:rsidRPr="00696F16">
              <w:rPr>
                <w:color w:val="000000"/>
                <w:lang w:val="nl-BE" w:eastAsia="nl-BE"/>
              </w:rPr>
              <w:t>Zijde</w:t>
            </w:r>
          </w:p>
        </w:tc>
        <w:tc>
          <w:tcPr>
            <w:tcW w:w="1559"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color w:val="000000"/>
                <w:lang w:val="nl-BE" w:eastAsia="nl-BE"/>
              </w:rPr>
            </w:pPr>
            <w:r w:rsidRPr="00696F16">
              <w:rPr>
                <w:color w:val="000000"/>
                <w:lang w:val="nl-BE" w:eastAsia="nl-BE"/>
              </w:rPr>
              <w:t>4.679</w:t>
            </w:r>
          </w:p>
        </w:tc>
        <w:tc>
          <w:tcPr>
            <w:tcW w:w="1418" w:type="dxa"/>
            <w:tcBorders>
              <w:top w:val="single" w:sz="8" w:space="0" w:color="auto"/>
              <w:left w:val="single" w:sz="8" w:space="0" w:color="auto"/>
              <w:bottom w:val="single" w:sz="8" w:space="0" w:color="auto"/>
              <w:right w:val="single" w:sz="8" w:space="0" w:color="auto"/>
            </w:tcBorders>
            <w:noWrap/>
          </w:tcPr>
          <w:p w:rsidR="005D3262" w:rsidRPr="00696F16" w:rsidRDefault="005D3262" w:rsidP="00305BA6">
            <w:pPr>
              <w:jc w:val="center"/>
              <w:rPr>
                <w:iCs/>
                <w:color w:val="000000"/>
                <w:lang w:val="nl-BE" w:eastAsia="nl-BE"/>
              </w:rPr>
            </w:pPr>
            <w:r w:rsidRPr="00696F16">
              <w:rPr>
                <w:iCs/>
                <w:color w:val="000000"/>
                <w:lang w:val="nl-BE" w:eastAsia="nl-BE"/>
              </w:rPr>
              <w:t>0,00%</w:t>
            </w:r>
          </w:p>
        </w:tc>
      </w:tr>
      <w:tr w:rsidR="005D3262" w:rsidRPr="00305BA6" w:rsidTr="00305BA6">
        <w:trPr>
          <w:trHeight w:val="270"/>
        </w:trPr>
        <w:tc>
          <w:tcPr>
            <w:tcW w:w="724" w:type="dxa"/>
            <w:tcBorders>
              <w:top w:val="single" w:sz="8" w:space="0" w:color="auto"/>
              <w:left w:val="single" w:sz="4" w:space="0" w:color="000000"/>
              <w:bottom w:val="single" w:sz="4" w:space="0" w:color="000000"/>
              <w:right w:val="single" w:sz="4" w:space="0" w:color="000000"/>
            </w:tcBorders>
            <w:shd w:val="clear" w:color="000000" w:fill="C0C0C0"/>
            <w:noWrap/>
            <w:vAlign w:val="bottom"/>
          </w:tcPr>
          <w:p w:rsidR="005D3262" w:rsidRPr="00696F16" w:rsidRDefault="005D3262" w:rsidP="00305BA6">
            <w:pPr>
              <w:jc w:val="center"/>
              <w:rPr>
                <w:color w:val="000000"/>
                <w:lang w:val="nl-BE" w:eastAsia="nl-BE"/>
              </w:rPr>
            </w:pPr>
            <w:r w:rsidRPr="00696F16">
              <w:rPr>
                <w:color w:val="000000"/>
                <w:lang w:val="nl-BE" w:eastAsia="nl-BE"/>
              </w:rPr>
              <w:t> </w:t>
            </w:r>
          </w:p>
        </w:tc>
        <w:tc>
          <w:tcPr>
            <w:tcW w:w="5434" w:type="dxa"/>
            <w:tcBorders>
              <w:top w:val="single" w:sz="8" w:space="0" w:color="auto"/>
              <w:left w:val="single" w:sz="4" w:space="0" w:color="000000"/>
              <w:bottom w:val="single" w:sz="4" w:space="0" w:color="000000"/>
              <w:right w:val="single" w:sz="4" w:space="0" w:color="000000"/>
            </w:tcBorders>
            <w:shd w:val="clear" w:color="000000" w:fill="C0C0C0"/>
            <w:noWrap/>
          </w:tcPr>
          <w:p w:rsidR="005D3262" w:rsidRPr="00696F16" w:rsidRDefault="005D3262" w:rsidP="00305BA6">
            <w:pPr>
              <w:jc w:val="center"/>
              <w:rPr>
                <w:b/>
                <w:bCs/>
                <w:color w:val="000000"/>
                <w:lang w:val="nl-BE" w:eastAsia="nl-BE"/>
              </w:rPr>
            </w:pPr>
            <w:r w:rsidRPr="00696F16">
              <w:rPr>
                <w:b/>
                <w:bCs/>
                <w:color w:val="000000"/>
                <w:lang w:val="nl-BE" w:eastAsia="nl-BE"/>
              </w:rPr>
              <w:t>Totaal</w:t>
            </w:r>
          </w:p>
        </w:tc>
        <w:tc>
          <w:tcPr>
            <w:tcW w:w="1559" w:type="dxa"/>
            <w:tcBorders>
              <w:top w:val="single" w:sz="8" w:space="0" w:color="auto"/>
              <w:left w:val="single" w:sz="4" w:space="0" w:color="000000"/>
              <w:bottom w:val="single" w:sz="4" w:space="0" w:color="000000"/>
              <w:right w:val="single" w:sz="4" w:space="0" w:color="000000"/>
            </w:tcBorders>
            <w:shd w:val="clear" w:color="000000" w:fill="C0C0C0"/>
            <w:noWrap/>
          </w:tcPr>
          <w:p w:rsidR="005D3262" w:rsidRPr="00696F16" w:rsidRDefault="005D3262" w:rsidP="00305BA6">
            <w:pPr>
              <w:jc w:val="center"/>
              <w:rPr>
                <w:b/>
                <w:bCs/>
                <w:color w:val="000000"/>
                <w:lang w:val="nl-BE" w:eastAsia="nl-BE"/>
              </w:rPr>
            </w:pPr>
            <w:r w:rsidRPr="00696F16">
              <w:rPr>
                <w:b/>
                <w:bCs/>
                <w:color w:val="000000"/>
                <w:lang w:val="nl-BE" w:eastAsia="nl-BE"/>
              </w:rPr>
              <w:t>235.863.130</w:t>
            </w:r>
          </w:p>
        </w:tc>
        <w:tc>
          <w:tcPr>
            <w:tcW w:w="1418" w:type="dxa"/>
            <w:tcBorders>
              <w:top w:val="single" w:sz="8" w:space="0" w:color="auto"/>
              <w:left w:val="single" w:sz="4" w:space="0" w:color="000000"/>
              <w:bottom w:val="single" w:sz="4" w:space="0" w:color="000000"/>
              <w:right w:val="single" w:sz="4" w:space="0" w:color="000000"/>
            </w:tcBorders>
            <w:shd w:val="clear" w:color="000000" w:fill="C0C0C0"/>
            <w:noWrap/>
          </w:tcPr>
          <w:p w:rsidR="005D3262" w:rsidRPr="00696F16" w:rsidRDefault="005D3262" w:rsidP="00305BA6">
            <w:pPr>
              <w:jc w:val="center"/>
              <w:rPr>
                <w:b/>
                <w:bCs/>
                <w:iCs/>
                <w:color w:val="000000"/>
                <w:lang w:val="nl-BE" w:eastAsia="nl-BE"/>
              </w:rPr>
            </w:pPr>
            <w:r w:rsidRPr="00696F16">
              <w:rPr>
                <w:b/>
                <w:bCs/>
                <w:iCs/>
                <w:color w:val="000000"/>
                <w:lang w:val="nl-BE" w:eastAsia="nl-BE"/>
              </w:rPr>
              <w:t>100%</w:t>
            </w:r>
          </w:p>
        </w:tc>
      </w:tr>
    </w:tbl>
    <w:p w:rsidR="005D3262" w:rsidRDefault="005D3262" w:rsidP="00305BA6">
      <w:pPr>
        <w:jc w:val="both"/>
        <w:rPr>
          <w:sz w:val="22"/>
          <w:szCs w:val="22"/>
        </w:rPr>
      </w:pPr>
    </w:p>
    <w:p w:rsidR="005D3262" w:rsidRDefault="005D3262" w:rsidP="0050079F">
      <w:pPr>
        <w:ind w:left="709" w:hanging="425"/>
        <w:jc w:val="both"/>
        <w:rPr>
          <w:sz w:val="22"/>
          <w:szCs w:val="22"/>
        </w:rPr>
      </w:pPr>
      <w:r>
        <w:rPr>
          <w:sz w:val="22"/>
          <w:szCs w:val="22"/>
        </w:rPr>
        <w:t>b)</w:t>
      </w:r>
      <w:r>
        <w:rPr>
          <w:sz w:val="22"/>
          <w:szCs w:val="22"/>
        </w:rPr>
        <w:tab/>
        <w:t>Onderstaande tabel biedt een overzicht van het aandeel van hoogtechnologische producten in de Vlaamse uitvoer. Deze cijfers wijken licht af van de cijfers die ik vrijgaf in de eerdere schriftelijke vraag waarnaar de vraagsteller verwijst. Dit heeft te maken met de laattijdige verwerking van gegevens, fouten die worden ontdekt en de correcties die met terugwerkende kracht worden toegepast.</w:t>
      </w:r>
    </w:p>
    <w:p w:rsidR="005D3262" w:rsidRDefault="005D3262" w:rsidP="00305BA6">
      <w:pPr>
        <w:jc w:val="both"/>
        <w:rPr>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6"/>
        <w:gridCol w:w="2276"/>
        <w:gridCol w:w="2276"/>
        <w:gridCol w:w="2276"/>
      </w:tblGrid>
      <w:tr w:rsidR="005D3262" w:rsidRPr="002B1CAD" w:rsidTr="002B1CAD">
        <w:trPr>
          <w:jc w:val="center"/>
        </w:trPr>
        <w:tc>
          <w:tcPr>
            <w:tcW w:w="2276" w:type="dxa"/>
            <w:vAlign w:val="center"/>
          </w:tcPr>
          <w:p w:rsidR="005D3262" w:rsidRPr="00696F16" w:rsidRDefault="005D3262" w:rsidP="002B1CAD">
            <w:pPr>
              <w:jc w:val="center"/>
              <w:rPr>
                <w:b/>
              </w:rPr>
            </w:pPr>
            <w:r w:rsidRPr="00696F16">
              <w:rPr>
                <w:b/>
              </w:rPr>
              <w:t>2006</w:t>
            </w:r>
          </w:p>
        </w:tc>
        <w:tc>
          <w:tcPr>
            <w:tcW w:w="2276" w:type="dxa"/>
            <w:vAlign w:val="center"/>
          </w:tcPr>
          <w:p w:rsidR="005D3262" w:rsidRPr="00696F16" w:rsidRDefault="005D3262" w:rsidP="002B1CAD">
            <w:pPr>
              <w:jc w:val="center"/>
              <w:rPr>
                <w:b/>
              </w:rPr>
            </w:pPr>
            <w:r w:rsidRPr="00696F16">
              <w:rPr>
                <w:b/>
              </w:rPr>
              <w:t>2007</w:t>
            </w:r>
          </w:p>
        </w:tc>
        <w:tc>
          <w:tcPr>
            <w:tcW w:w="2276" w:type="dxa"/>
            <w:vAlign w:val="center"/>
          </w:tcPr>
          <w:p w:rsidR="005D3262" w:rsidRPr="00696F16" w:rsidRDefault="005D3262" w:rsidP="002B1CAD">
            <w:pPr>
              <w:jc w:val="center"/>
              <w:rPr>
                <w:b/>
              </w:rPr>
            </w:pPr>
            <w:r w:rsidRPr="00696F16">
              <w:rPr>
                <w:b/>
              </w:rPr>
              <w:t>2008</w:t>
            </w:r>
          </w:p>
        </w:tc>
        <w:tc>
          <w:tcPr>
            <w:tcW w:w="2276" w:type="dxa"/>
            <w:vAlign w:val="center"/>
          </w:tcPr>
          <w:p w:rsidR="005D3262" w:rsidRPr="00696F16" w:rsidRDefault="005D3262" w:rsidP="002B1CAD">
            <w:pPr>
              <w:jc w:val="center"/>
              <w:rPr>
                <w:b/>
              </w:rPr>
            </w:pPr>
            <w:r w:rsidRPr="00696F16">
              <w:rPr>
                <w:b/>
              </w:rPr>
              <w:t>2009</w:t>
            </w:r>
          </w:p>
        </w:tc>
      </w:tr>
      <w:tr w:rsidR="005D3262" w:rsidRPr="002B1CAD" w:rsidTr="002B1CAD">
        <w:trPr>
          <w:jc w:val="center"/>
        </w:trPr>
        <w:tc>
          <w:tcPr>
            <w:tcW w:w="2276" w:type="dxa"/>
            <w:vAlign w:val="center"/>
          </w:tcPr>
          <w:p w:rsidR="005D3262" w:rsidRPr="00696F16" w:rsidRDefault="005D3262" w:rsidP="002B1CAD">
            <w:pPr>
              <w:jc w:val="center"/>
            </w:pPr>
            <w:r w:rsidRPr="00696F16">
              <w:t>5,9%</w:t>
            </w:r>
          </w:p>
        </w:tc>
        <w:tc>
          <w:tcPr>
            <w:tcW w:w="2276" w:type="dxa"/>
            <w:vAlign w:val="center"/>
          </w:tcPr>
          <w:p w:rsidR="005D3262" w:rsidRPr="00696F16" w:rsidRDefault="005D3262" w:rsidP="002B1CAD">
            <w:pPr>
              <w:jc w:val="center"/>
            </w:pPr>
            <w:r w:rsidRPr="00696F16">
              <w:t>5,6%</w:t>
            </w:r>
          </w:p>
        </w:tc>
        <w:tc>
          <w:tcPr>
            <w:tcW w:w="2276" w:type="dxa"/>
            <w:vAlign w:val="center"/>
          </w:tcPr>
          <w:p w:rsidR="005D3262" w:rsidRPr="00696F16" w:rsidRDefault="005D3262" w:rsidP="002B1CAD">
            <w:pPr>
              <w:jc w:val="center"/>
            </w:pPr>
            <w:r w:rsidRPr="00696F16">
              <w:t>5,6%</w:t>
            </w:r>
          </w:p>
        </w:tc>
        <w:tc>
          <w:tcPr>
            <w:tcW w:w="2276" w:type="dxa"/>
            <w:vAlign w:val="center"/>
          </w:tcPr>
          <w:p w:rsidR="005D3262" w:rsidRPr="00696F16" w:rsidRDefault="005D3262" w:rsidP="002B1CAD">
            <w:pPr>
              <w:jc w:val="center"/>
            </w:pPr>
            <w:r w:rsidRPr="00696F16">
              <w:t>5,6%</w:t>
            </w:r>
          </w:p>
        </w:tc>
      </w:tr>
    </w:tbl>
    <w:p w:rsidR="005D3262" w:rsidRDefault="005D3262" w:rsidP="00305BA6">
      <w:pPr>
        <w:jc w:val="both"/>
        <w:rPr>
          <w:sz w:val="22"/>
          <w:szCs w:val="22"/>
        </w:rPr>
      </w:pPr>
    </w:p>
    <w:p w:rsidR="005D3262" w:rsidRDefault="005D3262" w:rsidP="0050079F">
      <w:pPr>
        <w:ind w:left="709" w:hanging="425"/>
        <w:jc w:val="both"/>
        <w:rPr>
          <w:sz w:val="22"/>
          <w:szCs w:val="22"/>
        </w:rPr>
      </w:pPr>
      <w:r>
        <w:rPr>
          <w:sz w:val="22"/>
          <w:szCs w:val="22"/>
        </w:rPr>
        <w:t>c)</w:t>
      </w:r>
      <w:r>
        <w:rPr>
          <w:sz w:val="22"/>
          <w:szCs w:val="22"/>
        </w:rPr>
        <w:tab/>
        <w:t xml:space="preserve">Bovenstaande cijfers maken duidelijk dat het aandeel van hoogtechnologische producten in de Vlaamse export beter kan. Bovendien scoort Vlaanderen op deze indicator minder goed dan de EU27. Voor de EU27 bestond in de periode 2006-2008 gemiddeld 16% van haar uitvoer uit hoogtechnologische producten. </w:t>
      </w:r>
    </w:p>
    <w:p w:rsidR="005D3262" w:rsidRDefault="005D3262" w:rsidP="0050079F">
      <w:pPr>
        <w:ind w:left="708"/>
        <w:jc w:val="both"/>
        <w:rPr>
          <w:sz w:val="22"/>
          <w:szCs w:val="22"/>
        </w:rPr>
      </w:pPr>
      <w:r>
        <w:rPr>
          <w:sz w:val="22"/>
          <w:szCs w:val="22"/>
        </w:rPr>
        <w:t xml:space="preserve">In de eerste plaats wil ik benadrukken dat ik de omvang van de Vlaamse uitvoer in het algemeen wil doen toenemen. Zowel een stijging van de niet-hoogtechnologische uitvoer als die van de hoogtechnologische uitvoer is positief voor de Vlaamse economie. Toch moeten we blijven streven naar een hoger aandeel van de hoogtechnologische uitvoer. Zowel in mijn beleidsnota 2009-2014 als in de beheersovereenkomst 2011-2015 die ik sloot met het agentschap FIT, heb ik benadrukt dat de uitvoer van hoogtechnologische producten gestimuleerd moet worden. Onder meer via de technologieattachés proberen we sterker in te zetten op de Vlaamse troeven inzake hoogtechnologische uitvoer. </w:t>
      </w:r>
    </w:p>
    <w:p w:rsidR="005D3262" w:rsidRDefault="005D3262" w:rsidP="00305BA6">
      <w:pPr>
        <w:jc w:val="both"/>
        <w:rPr>
          <w:sz w:val="22"/>
          <w:szCs w:val="22"/>
        </w:rPr>
      </w:pPr>
    </w:p>
    <w:p w:rsidR="005D3262" w:rsidRDefault="005D3262" w:rsidP="0050079F">
      <w:pPr>
        <w:numPr>
          <w:ilvl w:val="0"/>
          <w:numId w:val="34"/>
        </w:numPr>
        <w:jc w:val="both"/>
        <w:rPr>
          <w:sz w:val="22"/>
          <w:szCs w:val="22"/>
        </w:rPr>
      </w:pPr>
      <w:r>
        <w:rPr>
          <w:sz w:val="22"/>
          <w:szCs w:val="22"/>
        </w:rPr>
        <w:t xml:space="preserve">Om tot een Vlaamse handelsbalans te komen hebben we zowel regionale cijfers nodig m.b.t. de in- en uitvoer van goederen als regionale cijfers m.b.t. de in- en uitvoer van diensten. Regionale cijfers m.b.t. de in- en uitvoer van diensten bestaan op dit moment nog niet. Zoals de vraagsteller terecht aangeeft werd in september 2009 een personeelslid van de Vlaamse overheid tewerkgesteld bij de Studiedienst van de Vlaamse Regering. Deze persoon kreeg een contract van twee jaar, met als opdracht (betere) regionale statistieken te ontwikkelen in verschillende statistische domeinen. Eén onderdeel hiervan vormt het ontwikkelen van Vlaamse statistieken inzake de in- en uitvoer van diensten. Dit aspect zal aan bod komen eens de regionale in- en uitvoer van goederen volgens ESR95 afgehandeld is, rond april 2011, en zal minstens nog één jaar in beslag nemen. Dit wil ook zeggen dat de contractuele aanwerving van de statisticus voor dit project zal moeten verlengd worden. </w:t>
      </w:r>
    </w:p>
    <w:p w:rsidR="005D3262" w:rsidRDefault="005D3262" w:rsidP="006C1EE1">
      <w:pPr>
        <w:jc w:val="both"/>
        <w:rPr>
          <w:sz w:val="22"/>
          <w:szCs w:val="22"/>
        </w:rPr>
      </w:pPr>
    </w:p>
    <w:p w:rsidR="005D3262" w:rsidRDefault="005D3262" w:rsidP="0050079F">
      <w:pPr>
        <w:numPr>
          <w:ilvl w:val="0"/>
          <w:numId w:val="34"/>
        </w:numPr>
        <w:jc w:val="both"/>
        <w:rPr>
          <w:sz w:val="22"/>
          <w:szCs w:val="22"/>
        </w:rPr>
      </w:pPr>
      <w:r>
        <w:rPr>
          <w:sz w:val="22"/>
          <w:szCs w:val="22"/>
        </w:rPr>
        <w:t>Voor wat betreft de internationale activiteiten van Vlaamse ondernemingen, worden enkel cijfers bijgehouden m.b.t. het aantal exporterende ondernemingen. Cijfers m.b.t. de door Vlaamse ondernemingen ontplooide BDI worden niet bijgehouden. Een overzicht van het aantal exporterende ondernemingen tussen 2002 en 2009 vindt u in onderstaande grafiek. Hierbij dient wel opgemerkt te worden dat vanaf 2006 de drempelwaarde voor aangifte voor exporterende ondernemingen verhoogd werd, waardoor een heel aantal ondernemingen niet langer verplicht waren hun exportactiviteiten aan te geven. Dit verklaart dus de sterke daling tussen 2005 en 2006. We zien dat het aantal exporterende ondernemingen tussen 2002 en 2005 terugliep. Na 2006 stijgt het aantal exporterende ondernemingen langzaam tot 2008. In 2009 is er een sterke terugval, waarbij het uitbreken van de financieel-economische crisis ongetwijfeld een belangrijke rol speelt.</w:t>
      </w:r>
    </w:p>
    <w:p w:rsidR="005D3262" w:rsidRDefault="005D3262" w:rsidP="006C1EE1">
      <w:pPr>
        <w:jc w:val="both"/>
        <w:rPr>
          <w:noProof/>
          <w:sz w:val="22"/>
          <w:szCs w:val="22"/>
          <w:lang w:val="nl-BE" w:eastAsia="nl-BE"/>
        </w:rPr>
      </w:pPr>
      <w:r w:rsidRPr="004B1E5C">
        <w:rPr>
          <w:noProof/>
          <w:sz w:val="22"/>
          <w:szCs w:val="22"/>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ek 1" o:spid="_x0000_i1025" type="#_x0000_t75" style="width:465pt;height:24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UEfw3AAAAAUBAAAPAAAAZHJzL2Rvd25y&#10;ZXYueG1sTI/BTsMwEETvlfgHaytxa+1SQDTEqSgCLqhAAx/gxksSEa9D7DSBr+/CBS4jjWY18zZd&#10;j64RB+xC7UnDYq5AIBXe1lRqeHu9n12BCNGQNY0n1PCFAdbZySQ1ifUD7fCQx1JwCYXEaKhibBMp&#10;Q1GhM2HuWyTO3n3nTGTbldJ2ZuBy18gzpS6lMzXxQmVavK2w+Mh7p6H//H64eyL3+Lx5oU2+7Le7&#10;QW21Pp2ON9cgIo7x7xh+8BkdMmba+55sEI0GfiT+KmerpWK713C+Uhcgs1T+p8+O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">
            <v:imagedata r:id="rId7" o:title="" croptop="-3584f" cropbottom="-4152f" cropleft="-963f" cropright="-331f"/>
            <o:lock v:ext="edit" aspectratio="f"/>
          </v:shape>
        </w:pict>
      </w:r>
    </w:p>
    <w:p w:rsidR="005D3262" w:rsidRDefault="005D3262" w:rsidP="006C1EE1">
      <w:pPr>
        <w:jc w:val="both"/>
        <w:rPr>
          <w:noProof/>
          <w:sz w:val="22"/>
          <w:szCs w:val="22"/>
          <w:lang w:val="nl-BE" w:eastAsia="nl-BE"/>
        </w:rPr>
      </w:pPr>
    </w:p>
    <w:p w:rsidR="005D3262" w:rsidRDefault="005D3262" w:rsidP="0050079F">
      <w:pPr>
        <w:numPr>
          <w:ilvl w:val="0"/>
          <w:numId w:val="34"/>
        </w:numPr>
        <w:jc w:val="both"/>
        <w:rPr>
          <w:noProof/>
          <w:sz w:val="22"/>
          <w:szCs w:val="22"/>
          <w:lang w:val="nl-BE" w:eastAsia="nl-BE"/>
        </w:rPr>
      </w:pPr>
      <w:r>
        <w:rPr>
          <w:noProof/>
          <w:sz w:val="22"/>
          <w:szCs w:val="22"/>
          <w:lang w:val="nl-BE" w:eastAsia="nl-BE"/>
        </w:rPr>
        <w:t>De samenwerkingsovereenkomst van 2005 werd geëvalueerd in 2007. Hieruit werden volgende conclusies getrokken: onder toepassing van de samenwerkingsovereenkomst van 2005 zijn in principe niet méér buitenlandse handelsposten ter beschikking van het Vlaamse bedrijfsleven dan voorheen. Ook onder het Akkoord van 1994, dat voorheen van kracht was, stonden in principe alle handelsposten van AWEX en Brussel Export open voor dienstverlening aan Vlaamse ondernemingen en omgekeerd. De overeenkomst van 2005 heeft wel de feitelijke samenwerking tussen de drie gewesten sterker gefocust en minder vrijblijvend gemaakt. Op de handelsposten die onder de toepassing van de overeenkomst vallen, ontvangen de economische vertegenwoordigers van de drie agentschappen meer dossiers van ondernemingen uit het andere gewest dan voorheen.</w:t>
      </w:r>
    </w:p>
    <w:p w:rsidR="005D3262" w:rsidRPr="00305BA6" w:rsidRDefault="005D3262" w:rsidP="00696F16">
      <w:pPr>
        <w:ind w:left="284" w:hanging="284"/>
        <w:jc w:val="both"/>
        <w:rPr>
          <w:sz w:val="22"/>
          <w:szCs w:val="22"/>
        </w:rPr>
      </w:pPr>
      <w:r>
        <w:rPr>
          <w:noProof/>
          <w:sz w:val="22"/>
          <w:szCs w:val="22"/>
          <w:lang w:val="nl-BE" w:eastAsia="nl-BE"/>
        </w:rPr>
        <w:tab/>
      </w:r>
    </w:p>
    <w:sectPr w:rsidR="005D3262" w:rsidRPr="00305BA6" w:rsidSect="008E4D6E">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262" w:rsidRDefault="005D3262">
      <w:r>
        <w:separator/>
      </w:r>
    </w:p>
  </w:endnote>
  <w:endnote w:type="continuationSeparator" w:id="1">
    <w:p w:rsidR="005D3262" w:rsidRDefault="005D32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262" w:rsidRDefault="005D3262">
      <w:r>
        <w:separator/>
      </w:r>
    </w:p>
  </w:footnote>
  <w:footnote w:type="continuationSeparator" w:id="1">
    <w:p w:rsidR="005D3262" w:rsidRDefault="005D3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7C5128"/>
    <w:multiLevelType w:val="hybridMultilevel"/>
    <w:tmpl w:val="4A1A55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100166C"/>
    <w:multiLevelType w:val="hybridMultilevel"/>
    <w:tmpl w:val="E7D43F36"/>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3">
    <w:nsid w:val="01FB1B65"/>
    <w:multiLevelType w:val="hybridMultilevel"/>
    <w:tmpl w:val="43E0592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753247F"/>
    <w:multiLevelType w:val="multilevel"/>
    <w:tmpl w:val="B67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13638"/>
    <w:multiLevelType w:val="hybridMultilevel"/>
    <w:tmpl w:val="9EEC5F0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10A704F"/>
    <w:multiLevelType w:val="hybridMultilevel"/>
    <w:tmpl w:val="B64405A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7B8311E"/>
    <w:multiLevelType w:val="hybridMultilevel"/>
    <w:tmpl w:val="D5AEEE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9382E76"/>
    <w:multiLevelType w:val="hybridMultilevel"/>
    <w:tmpl w:val="4F7A5820"/>
    <w:lvl w:ilvl="0" w:tplc="516646B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1C5A5B59"/>
    <w:multiLevelType w:val="hybridMultilevel"/>
    <w:tmpl w:val="47F00F28"/>
    <w:lvl w:ilvl="0" w:tplc="516646B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4">
    <w:nsid w:val="2C43405F"/>
    <w:multiLevelType w:val="hybridMultilevel"/>
    <w:tmpl w:val="23FCCE8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A296F60"/>
    <w:multiLevelType w:val="hybridMultilevel"/>
    <w:tmpl w:val="F59E43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6">
    <w:nsid w:val="4A061087"/>
    <w:multiLevelType w:val="hybridMultilevel"/>
    <w:tmpl w:val="639A9C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AA864C8"/>
    <w:multiLevelType w:val="hybridMultilevel"/>
    <w:tmpl w:val="26CA7AF0"/>
    <w:lvl w:ilvl="0" w:tplc="A0E85E2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DA14C95"/>
    <w:multiLevelType w:val="hybridMultilevel"/>
    <w:tmpl w:val="52948D3A"/>
    <w:lvl w:ilvl="0" w:tplc="FD44B62C">
      <w:start w:val="1"/>
      <w:numFmt w:val="decimal"/>
      <w:lvlText w:val="%1."/>
      <w:lvlJc w:val="left"/>
      <w:pPr>
        <w:tabs>
          <w:tab w:val="num" w:pos="720"/>
        </w:tabs>
        <w:ind w:left="720" w:hanging="360"/>
      </w:pPr>
      <w:rPr>
        <w:rFonts w:cs="Arial"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DD94B3C"/>
    <w:multiLevelType w:val="hybridMultilevel"/>
    <w:tmpl w:val="2730C9C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4EAB3F09"/>
    <w:multiLevelType w:val="hybridMultilevel"/>
    <w:tmpl w:val="A93E40C4"/>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5135320F"/>
    <w:multiLevelType w:val="hybridMultilevel"/>
    <w:tmpl w:val="20C0EBF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53897749"/>
    <w:multiLevelType w:val="hybridMultilevel"/>
    <w:tmpl w:val="0EE00A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7330ABB"/>
    <w:multiLevelType w:val="hybridMultilevel"/>
    <w:tmpl w:val="C3B0F24C"/>
    <w:lvl w:ilvl="0" w:tplc="7B44460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5C53330C"/>
    <w:multiLevelType w:val="hybridMultilevel"/>
    <w:tmpl w:val="0A5E11EC"/>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64EA442B"/>
    <w:multiLevelType w:val="hybridMultilevel"/>
    <w:tmpl w:val="C5501AD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8C35EEE"/>
    <w:multiLevelType w:val="hybridMultilevel"/>
    <w:tmpl w:val="2076D5D6"/>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7">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CFB1A4C"/>
    <w:multiLevelType w:val="hybridMultilevel"/>
    <w:tmpl w:val="3A94AFEC"/>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0">
    <w:nsid w:val="71547946"/>
    <w:multiLevelType w:val="hybridMultilevel"/>
    <w:tmpl w:val="8EDAE27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738F0847"/>
    <w:multiLevelType w:val="hybridMultilevel"/>
    <w:tmpl w:val="6EFAFDFE"/>
    <w:lvl w:ilvl="0" w:tplc="A984DAF0">
      <w:start w:val="1"/>
      <w:numFmt w:val="decimal"/>
      <w:lvlText w:val="%1."/>
      <w:lvlJc w:val="left"/>
      <w:pPr>
        <w:tabs>
          <w:tab w:val="num" w:pos="720"/>
        </w:tabs>
        <w:ind w:left="720" w:hanging="360"/>
      </w:pPr>
      <w:rPr>
        <w:rFonts w:ascii="Times New Roman" w:hAnsi="Times New Roman" w:cs="Times New Roman" w:hint="default"/>
        <w:sz w:val="22"/>
        <w:szCs w:val="22"/>
      </w:rPr>
    </w:lvl>
    <w:lvl w:ilvl="1" w:tplc="1ADA9F64">
      <w:start w:val="1"/>
      <w:numFmt w:val="bullet"/>
      <w:lvlText w:val=""/>
      <w:lvlJc w:val="left"/>
      <w:pPr>
        <w:tabs>
          <w:tab w:val="num" w:pos="1420"/>
        </w:tabs>
        <w:ind w:left="1420" w:hanging="34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7439036A"/>
    <w:multiLevelType w:val="hybridMultilevel"/>
    <w:tmpl w:val="4C90C420"/>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78C145FB"/>
    <w:multiLevelType w:val="hybridMultilevel"/>
    <w:tmpl w:val="D4D211E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nsid w:val="78C5722D"/>
    <w:multiLevelType w:val="hybridMultilevel"/>
    <w:tmpl w:val="EBCC8A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CC312ED"/>
    <w:multiLevelType w:val="hybridMultilevel"/>
    <w:tmpl w:val="263AD5B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7D980352"/>
    <w:multiLevelType w:val="hybridMultilevel"/>
    <w:tmpl w:val="C48A7E60"/>
    <w:lvl w:ilvl="0" w:tplc="8B8E3FE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nsid w:val="7DDE069D"/>
    <w:multiLevelType w:val="hybridMultilevel"/>
    <w:tmpl w:val="085C05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9"/>
  </w:num>
  <w:num w:numId="4">
    <w:abstractNumId w:val="4"/>
  </w:num>
  <w:num w:numId="5">
    <w:abstractNumId w:val="6"/>
  </w:num>
  <w:num w:numId="6">
    <w:abstractNumId w:val="10"/>
  </w:num>
  <w:num w:numId="7">
    <w:abstractNumId w:val="11"/>
  </w:num>
  <w:num w:numId="8">
    <w:abstractNumId w:val="28"/>
  </w:num>
  <w:num w:numId="9">
    <w:abstractNumId w:val="7"/>
  </w:num>
  <w:num w:numId="10">
    <w:abstractNumId w:val="34"/>
  </w:num>
  <w:num w:numId="11">
    <w:abstractNumId w:val="14"/>
  </w:num>
  <w:num w:numId="12">
    <w:abstractNumId w:val="25"/>
  </w:num>
  <w:num w:numId="13">
    <w:abstractNumId w:val="32"/>
  </w:num>
  <w:num w:numId="14">
    <w:abstractNumId w:val="24"/>
  </w:num>
  <w:num w:numId="15">
    <w:abstractNumId w:val="9"/>
  </w:num>
  <w:num w:numId="16">
    <w:abstractNumId w:val="31"/>
  </w:num>
  <w:num w:numId="17">
    <w:abstractNumId w:val="20"/>
  </w:num>
  <w:num w:numId="18">
    <w:abstractNumId w:val="18"/>
  </w:num>
  <w:num w:numId="19">
    <w:abstractNumId w:val="16"/>
  </w:num>
  <w:num w:numId="20">
    <w:abstractNumId w:val="15"/>
  </w:num>
  <w:num w:numId="21">
    <w:abstractNumId w:val="1"/>
  </w:num>
  <w:num w:numId="22">
    <w:abstractNumId w:val="5"/>
  </w:num>
  <w:num w:numId="23">
    <w:abstractNumId w:val="37"/>
  </w:num>
  <w:num w:numId="24">
    <w:abstractNumId w:val="27"/>
  </w:num>
  <w:num w:numId="25">
    <w:abstractNumId w:val="26"/>
  </w:num>
  <w:num w:numId="26">
    <w:abstractNumId w:val="3"/>
  </w:num>
  <w:num w:numId="27">
    <w:abstractNumId w:val="8"/>
  </w:num>
  <w:num w:numId="28">
    <w:abstractNumId w:val="33"/>
  </w:num>
  <w:num w:numId="29">
    <w:abstractNumId w:val="30"/>
  </w:num>
  <w:num w:numId="30">
    <w:abstractNumId w:val="36"/>
  </w:num>
  <w:num w:numId="31">
    <w:abstractNumId w:val="2"/>
  </w:num>
  <w:num w:numId="32">
    <w:abstractNumId w:val="23"/>
  </w:num>
  <w:num w:numId="33">
    <w:abstractNumId w:val="21"/>
  </w:num>
  <w:num w:numId="34">
    <w:abstractNumId w:val="35"/>
  </w:num>
  <w:num w:numId="35">
    <w:abstractNumId w:val="19"/>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D5"/>
    <w:rsid w:val="00010EBC"/>
    <w:rsid w:val="00012EE3"/>
    <w:rsid w:val="000152D5"/>
    <w:rsid w:val="0002296E"/>
    <w:rsid w:val="00024075"/>
    <w:rsid w:val="000266C5"/>
    <w:rsid w:val="00026BE6"/>
    <w:rsid w:val="00032658"/>
    <w:rsid w:val="000334DF"/>
    <w:rsid w:val="00036542"/>
    <w:rsid w:val="00037DE4"/>
    <w:rsid w:val="000406FD"/>
    <w:rsid w:val="000416F3"/>
    <w:rsid w:val="00047A45"/>
    <w:rsid w:val="000512DE"/>
    <w:rsid w:val="0005236C"/>
    <w:rsid w:val="000557BF"/>
    <w:rsid w:val="00056988"/>
    <w:rsid w:val="00064F8A"/>
    <w:rsid w:val="0006714D"/>
    <w:rsid w:val="00072457"/>
    <w:rsid w:val="00073D1F"/>
    <w:rsid w:val="00075EB4"/>
    <w:rsid w:val="00077E4A"/>
    <w:rsid w:val="00077EDB"/>
    <w:rsid w:val="00080BE7"/>
    <w:rsid w:val="000812CB"/>
    <w:rsid w:val="00082B5B"/>
    <w:rsid w:val="0008477E"/>
    <w:rsid w:val="00086BC0"/>
    <w:rsid w:val="000926AF"/>
    <w:rsid w:val="000A3F88"/>
    <w:rsid w:val="000A5603"/>
    <w:rsid w:val="000A774E"/>
    <w:rsid w:val="000B771A"/>
    <w:rsid w:val="000C0FBF"/>
    <w:rsid w:val="000C2B42"/>
    <w:rsid w:val="000C6AE0"/>
    <w:rsid w:val="000C77C5"/>
    <w:rsid w:val="000D06A0"/>
    <w:rsid w:val="000D496F"/>
    <w:rsid w:val="000D5486"/>
    <w:rsid w:val="000D57C6"/>
    <w:rsid w:val="000E0431"/>
    <w:rsid w:val="000E06A0"/>
    <w:rsid w:val="000F1488"/>
    <w:rsid w:val="000F2BC1"/>
    <w:rsid w:val="00101002"/>
    <w:rsid w:val="001070AF"/>
    <w:rsid w:val="001076C6"/>
    <w:rsid w:val="001120CA"/>
    <w:rsid w:val="00112E35"/>
    <w:rsid w:val="00114238"/>
    <w:rsid w:val="00115DC9"/>
    <w:rsid w:val="001202AA"/>
    <w:rsid w:val="00126B21"/>
    <w:rsid w:val="00127D26"/>
    <w:rsid w:val="00131773"/>
    <w:rsid w:val="00131C3E"/>
    <w:rsid w:val="00131E13"/>
    <w:rsid w:val="00135503"/>
    <w:rsid w:val="00142C2F"/>
    <w:rsid w:val="00147DB8"/>
    <w:rsid w:val="00150061"/>
    <w:rsid w:val="001512EB"/>
    <w:rsid w:val="001514DE"/>
    <w:rsid w:val="0015384E"/>
    <w:rsid w:val="001555C5"/>
    <w:rsid w:val="001563B4"/>
    <w:rsid w:val="0016160E"/>
    <w:rsid w:val="001618C4"/>
    <w:rsid w:val="00164400"/>
    <w:rsid w:val="001662D5"/>
    <w:rsid w:val="001665D5"/>
    <w:rsid w:val="00184A60"/>
    <w:rsid w:val="00192147"/>
    <w:rsid w:val="0019251F"/>
    <w:rsid w:val="001939FD"/>
    <w:rsid w:val="0019747B"/>
    <w:rsid w:val="001A2BA0"/>
    <w:rsid w:val="001A5337"/>
    <w:rsid w:val="001A7305"/>
    <w:rsid w:val="001B72E9"/>
    <w:rsid w:val="001C5A7E"/>
    <w:rsid w:val="001D392E"/>
    <w:rsid w:val="001D3E83"/>
    <w:rsid w:val="001E744B"/>
    <w:rsid w:val="001F267E"/>
    <w:rsid w:val="001F473A"/>
    <w:rsid w:val="00200423"/>
    <w:rsid w:val="00210567"/>
    <w:rsid w:val="00213292"/>
    <w:rsid w:val="0021409D"/>
    <w:rsid w:val="00215EFE"/>
    <w:rsid w:val="002200B6"/>
    <w:rsid w:val="00220A79"/>
    <w:rsid w:val="00226A2F"/>
    <w:rsid w:val="00232C25"/>
    <w:rsid w:val="00234054"/>
    <w:rsid w:val="002348C7"/>
    <w:rsid w:val="002354FC"/>
    <w:rsid w:val="00237710"/>
    <w:rsid w:val="00237CDE"/>
    <w:rsid w:val="002405F5"/>
    <w:rsid w:val="00243513"/>
    <w:rsid w:val="002460BA"/>
    <w:rsid w:val="002470FA"/>
    <w:rsid w:val="002521FD"/>
    <w:rsid w:val="002563C6"/>
    <w:rsid w:val="00260410"/>
    <w:rsid w:val="0026076D"/>
    <w:rsid w:val="00263A4C"/>
    <w:rsid w:val="00264673"/>
    <w:rsid w:val="0026577C"/>
    <w:rsid w:val="0026611C"/>
    <w:rsid w:val="002665BC"/>
    <w:rsid w:val="0027260C"/>
    <w:rsid w:val="0028200E"/>
    <w:rsid w:val="002827F9"/>
    <w:rsid w:val="002911B9"/>
    <w:rsid w:val="002912A7"/>
    <w:rsid w:val="00294E57"/>
    <w:rsid w:val="00296BFC"/>
    <w:rsid w:val="00296CBA"/>
    <w:rsid w:val="00297D9E"/>
    <w:rsid w:val="002A119A"/>
    <w:rsid w:val="002B1CAD"/>
    <w:rsid w:val="002B3AB9"/>
    <w:rsid w:val="002B5292"/>
    <w:rsid w:val="002C0604"/>
    <w:rsid w:val="002C49DB"/>
    <w:rsid w:val="002C6EFE"/>
    <w:rsid w:val="002D3438"/>
    <w:rsid w:val="002D3C05"/>
    <w:rsid w:val="002D47B7"/>
    <w:rsid w:val="002D4D49"/>
    <w:rsid w:val="002D5276"/>
    <w:rsid w:val="002D5F6F"/>
    <w:rsid w:val="002D7DF9"/>
    <w:rsid w:val="002E02C1"/>
    <w:rsid w:val="002E067E"/>
    <w:rsid w:val="002E114D"/>
    <w:rsid w:val="002E2852"/>
    <w:rsid w:val="002E6E2C"/>
    <w:rsid w:val="002F10AE"/>
    <w:rsid w:val="002F5A68"/>
    <w:rsid w:val="002F6722"/>
    <w:rsid w:val="002F7CA4"/>
    <w:rsid w:val="00301A1D"/>
    <w:rsid w:val="00302094"/>
    <w:rsid w:val="00303381"/>
    <w:rsid w:val="003048C6"/>
    <w:rsid w:val="00305BA6"/>
    <w:rsid w:val="0031170F"/>
    <w:rsid w:val="003127DE"/>
    <w:rsid w:val="003149CA"/>
    <w:rsid w:val="00315C88"/>
    <w:rsid w:val="00317567"/>
    <w:rsid w:val="00317B6D"/>
    <w:rsid w:val="003263C0"/>
    <w:rsid w:val="00335BC1"/>
    <w:rsid w:val="00335C59"/>
    <w:rsid w:val="00343734"/>
    <w:rsid w:val="00352D34"/>
    <w:rsid w:val="00354D1B"/>
    <w:rsid w:val="003556D4"/>
    <w:rsid w:val="00356226"/>
    <w:rsid w:val="003602C1"/>
    <w:rsid w:val="00361FD5"/>
    <w:rsid w:val="003621E7"/>
    <w:rsid w:val="00372ACC"/>
    <w:rsid w:val="00376784"/>
    <w:rsid w:val="00377043"/>
    <w:rsid w:val="00377E0B"/>
    <w:rsid w:val="00381A47"/>
    <w:rsid w:val="00382182"/>
    <w:rsid w:val="00382CFA"/>
    <w:rsid w:val="003875A5"/>
    <w:rsid w:val="00393397"/>
    <w:rsid w:val="003940B6"/>
    <w:rsid w:val="00394767"/>
    <w:rsid w:val="00396FE4"/>
    <w:rsid w:val="003A0A79"/>
    <w:rsid w:val="003A528F"/>
    <w:rsid w:val="003A78A0"/>
    <w:rsid w:val="003B5710"/>
    <w:rsid w:val="003C19BE"/>
    <w:rsid w:val="003C310C"/>
    <w:rsid w:val="003C4D5A"/>
    <w:rsid w:val="003C5BF5"/>
    <w:rsid w:val="003D2F0B"/>
    <w:rsid w:val="003D31D2"/>
    <w:rsid w:val="003D33A4"/>
    <w:rsid w:val="003D4F46"/>
    <w:rsid w:val="003D5917"/>
    <w:rsid w:val="003D5B86"/>
    <w:rsid w:val="003D753C"/>
    <w:rsid w:val="003D7AC8"/>
    <w:rsid w:val="003E3FA2"/>
    <w:rsid w:val="003F1613"/>
    <w:rsid w:val="003F1773"/>
    <w:rsid w:val="003F3792"/>
    <w:rsid w:val="003F4A68"/>
    <w:rsid w:val="00401570"/>
    <w:rsid w:val="00401A21"/>
    <w:rsid w:val="004118D5"/>
    <w:rsid w:val="00413C6B"/>
    <w:rsid w:val="0041428D"/>
    <w:rsid w:val="00426DB0"/>
    <w:rsid w:val="0043421D"/>
    <w:rsid w:val="0043427D"/>
    <w:rsid w:val="00435CF0"/>
    <w:rsid w:val="00441B05"/>
    <w:rsid w:val="004426C8"/>
    <w:rsid w:val="004445CD"/>
    <w:rsid w:val="00445237"/>
    <w:rsid w:val="00445DF2"/>
    <w:rsid w:val="00451DFE"/>
    <w:rsid w:val="004526B6"/>
    <w:rsid w:val="00456315"/>
    <w:rsid w:val="00456CB4"/>
    <w:rsid w:val="0046481F"/>
    <w:rsid w:val="00474442"/>
    <w:rsid w:val="004747A1"/>
    <w:rsid w:val="00480234"/>
    <w:rsid w:val="00484FAF"/>
    <w:rsid w:val="0048597A"/>
    <w:rsid w:val="00492BE7"/>
    <w:rsid w:val="00496797"/>
    <w:rsid w:val="004A1C18"/>
    <w:rsid w:val="004B1E5C"/>
    <w:rsid w:val="004B4A42"/>
    <w:rsid w:val="004B4A59"/>
    <w:rsid w:val="004B7C36"/>
    <w:rsid w:val="004C0D12"/>
    <w:rsid w:val="004C5608"/>
    <w:rsid w:val="004D360F"/>
    <w:rsid w:val="004D5F55"/>
    <w:rsid w:val="004D6BFA"/>
    <w:rsid w:val="004E6959"/>
    <w:rsid w:val="004E7733"/>
    <w:rsid w:val="004F088B"/>
    <w:rsid w:val="004F1E11"/>
    <w:rsid w:val="0050079F"/>
    <w:rsid w:val="00505E0C"/>
    <w:rsid w:val="0051234D"/>
    <w:rsid w:val="005148EA"/>
    <w:rsid w:val="00515142"/>
    <w:rsid w:val="0052071F"/>
    <w:rsid w:val="005211C5"/>
    <w:rsid w:val="00521241"/>
    <w:rsid w:val="00521DEA"/>
    <w:rsid w:val="00523AD8"/>
    <w:rsid w:val="00524040"/>
    <w:rsid w:val="00540837"/>
    <w:rsid w:val="00542076"/>
    <w:rsid w:val="005444F5"/>
    <w:rsid w:val="00547D50"/>
    <w:rsid w:val="005550AD"/>
    <w:rsid w:val="00560F06"/>
    <w:rsid w:val="00582B9B"/>
    <w:rsid w:val="00584DEA"/>
    <w:rsid w:val="0058549C"/>
    <w:rsid w:val="00586F9B"/>
    <w:rsid w:val="00587C9E"/>
    <w:rsid w:val="00591323"/>
    <w:rsid w:val="0059438C"/>
    <w:rsid w:val="00596203"/>
    <w:rsid w:val="00596E46"/>
    <w:rsid w:val="005A647E"/>
    <w:rsid w:val="005B5FD6"/>
    <w:rsid w:val="005B7E55"/>
    <w:rsid w:val="005C0063"/>
    <w:rsid w:val="005D001C"/>
    <w:rsid w:val="005D3262"/>
    <w:rsid w:val="005D5592"/>
    <w:rsid w:val="005D5EC4"/>
    <w:rsid w:val="005D7262"/>
    <w:rsid w:val="005E078E"/>
    <w:rsid w:val="005E5C49"/>
    <w:rsid w:val="005E5D58"/>
    <w:rsid w:val="005F0C99"/>
    <w:rsid w:val="005F257B"/>
    <w:rsid w:val="005F6335"/>
    <w:rsid w:val="005F7B42"/>
    <w:rsid w:val="00600B90"/>
    <w:rsid w:val="00603061"/>
    <w:rsid w:val="006073A2"/>
    <w:rsid w:val="0060792C"/>
    <w:rsid w:val="00611AD6"/>
    <w:rsid w:val="00611D72"/>
    <w:rsid w:val="00613B99"/>
    <w:rsid w:val="0061457B"/>
    <w:rsid w:val="00616CE3"/>
    <w:rsid w:val="00617A3F"/>
    <w:rsid w:val="006333A4"/>
    <w:rsid w:val="00633E69"/>
    <w:rsid w:val="00635178"/>
    <w:rsid w:val="00636B79"/>
    <w:rsid w:val="00637A29"/>
    <w:rsid w:val="00640E8E"/>
    <w:rsid w:val="00651CA4"/>
    <w:rsid w:val="00651DF5"/>
    <w:rsid w:val="0065414A"/>
    <w:rsid w:val="00655CA4"/>
    <w:rsid w:val="006571C1"/>
    <w:rsid w:val="00663548"/>
    <w:rsid w:val="00665CA8"/>
    <w:rsid w:val="0067266C"/>
    <w:rsid w:val="0068388E"/>
    <w:rsid w:val="00684A03"/>
    <w:rsid w:val="00691777"/>
    <w:rsid w:val="0069461E"/>
    <w:rsid w:val="006951E6"/>
    <w:rsid w:val="00696F16"/>
    <w:rsid w:val="00697B71"/>
    <w:rsid w:val="006A1506"/>
    <w:rsid w:val="006A1B6B"/>
    <w:rsid w:val="006A236B"/>
    <w:rsid w:val="006A2965"/>
    <w:rsid w:val="006A2F49"/>
    <w:rsid w:val="006A7D68"/>
    <w:rsid w:val="006B1952"/>
    <w:rsid w:val="006B508E"/>
    <w:rsid w:val="006B7422"/>
    <w:rsid w:val="006B7BB1"/>
    <w:rsid w:val="006C118B"/>
    <w:rsid w:val="006C1DB9"/>
    <w:rsid w:val="006C1EE1"/>
    <w:rsid w:val="006C250D"/>
    <w:rsid w:val="006C3626"/>
    <w:rsid w:val="006C4CBB"/>
    <w:rsid w:val="006C50A8"/>
    <w:rsid w:val="006D2015"/>
    <w:rsid w:val="006D28B5"/>
    <w:rsid w:val="006D29A5"/>
    <w:rsid w:val="006D3F55"/>
    <w:rsid w:val="006D41F9"/>
    <w:rsid w:val="006E1D11"/>
    <w:rsid w:val="006E41B2"/>
    <w:rsid w:val="006E4238"/>
    <w:rsid w:val="006E4976"/>
    <w:rsid w:val="006E6C7C"/>
    <w:rsid w:val="006F3B19"/>
    <w:rsid w:val="006F4AF2"/>
    <w:rsid w:val="006F7DA6"/>
    <w:rsid w:val="0070637E"/>
    <w:rsid w:val="00712AAF"/>
    <w:rsid w:val="00714A08"/>
    <w:rsid w:val="00724D31"/>
    <w:rsid w:val="00730951"/>
    <w:rsid w:val="00731455"/>
    <w:rsid w:val="00732336"/>
    <w:rsid w:val="00732CD9"/>
    <w:rsid w:val="00734F3D"/>
    <w:rsid w:val="00735454"/>
    <w:rsid w:val="0073606B"/>
    <w:rsid w:val="00744F7D"/>
    <w:rsid w:val="0075278B"/>
    <w:rsid w:val="00754076"/>
    <w:rsid w:val="007578EC"/>
    <w:rsid w:val="00761A9F"/>
    <w:rsid w:val="007630CC"/>
    <w:rsid w:val="00770906"/>
    <w:rsid w:val="00772BCA"/>
    <w:rsid w:val="00773C43"/>
    <w:rsid w:val="00775604"/>
    <w:rsid w:val="007759EF"/>
    <w:rsid w:val="007830A0"/>
    <w:rsid w:val="00786016"/>
    <w:rsid w:val="00786AFA"/>
    <w:rsid w:val="007936ED"/>
    <w:rsid w:val="007A182B"/>
    <w:rsid w:val="007A2B4B"/>
    <w:rsid w:val="007A40A2"/>
    <w:rsid w:val="007A6007"/>
    <w:rsid w:val="007A66F2"/>
    <w:rsid w:val="007B0883"/>
    <w:rsid w:val="007B11AA"/>
    <w:rsid w:val="007B6B02"/>
    <w:rsid w:val="007B7526"/>
    <w:rsid w:val="007C4110"/>
    <w:rsid w:val="007C5C81"/>
    <w:rsid w:val="007C6518"/>
    <w:rsid w:val="007D158F"/>
    <w:rsid w:val="007D3CAE"/>
    <w:rsid w:val="007D49DE"/>
    <w:rsid w:val="007D788E"/>
    <w:rsid w:val="007E470F"/>
    <w:rsid w:val="007E6A23"/>
    <w:rsid w:val="007F1390"/>
    <w:rsid w:val="007F1569"/>
    <w:rsid w:val="007F2C05"/>
    <w:rsid w:val="007F4A40"/>
    <w:rsid w:val="00800819"/>
    <w:rsid w:val="008027AA"/>
    <w:rsid w:val="00803754"/>
    <w:rsid w:val="0080406D"/>
    <w:rsid w:val="00807878"/>
    <w:rsid w:val="00807916"/>
    <w:rsid w:val="008113DF"/>
    <w:rsid w:val="00823E80"/>
    <w:rsid w:val="008243DA"/>
    <w:rsid w:val="008278A8"/>
    <w:rsid w:val="008314BB"/>
    <w:rsid w:val="008320B4"/>
    <w:rsid w:val="00835415"/>
    <w:rsid w:val="00836A52"/>
    <w:rsid w:val="00843A6F"/>
    <w:rsid w:val="00844CE0"/>
    <w:rsid w:val="0084545E"/>
    <w:rsid w:val="00845FEB"/>
    <w:rsid w:val="00846642"/>
    <w:rsid w:val="008500E2"/>
    <w:rsid w:val="008523AD"/>
    <w:rsid w:val="00852B11"/>
    <w:rsid w:val="008534CA"/>
    <w:rsid w:val="008549B6"/>
    <w:rsid w:val="00855007"/>
    <w:rsid w:val="008576DC"/>
    <w:rsid w:val="00865E1E"/>
    <w:rsid w:val="00867774"/>
    <w:rsid w:val="00871261"/>
    <w:rsid w:val="00871857"/>
    <w:rsid w:val="00874CAF"/>
    <w:rsid w:val="0087539B"/>
    <w:rsid w:val="00880032"/>
    <w:rsid w:val="00881552"/>
    <w:rsid w:val="008825AE"/>
    <w:rsid w:val="0088461A"/>
    <w:rsid w:val="00887363"/>
    <w:rsid w:val="00890537"/>
    <w:rsid w:val="00894537"/>
    <w:rsid w:val="00894C6A"/>
    <w:rsid w:val="00896420"/>
    <w:rsid w:val="008966D4"/>
    <w:rsid w:val="008A1162"/>
    <w:rsid w:val="008B3053"/>
    <w:rsid w:val="008B7F13"/>
    <w:rsid w:val="008C635D"/>
    <w:rsid w:val="008C7521"/>
    <w:rsid w:val="008D2651"/>
    <w:rsid w:val="008D34A7"/>
    <w:rsid w:val="008D3C31"/>
    <w:rsid w:val="008D5308"/>
    <w:rsid w:val="008D72EF"/>
    <w:rsid w:val="008E1557"/>
    <w:rsid w:val="008E28B8"/>
    <w:rsid w:val="008E4D6E"/>
    <w:rsid w:val="008E5BD1"/>
    <w:rsid w:val="008E75DE"/>
    <w:rsid w:val="008F2EFB"/>
    <w:rsid w:val="008F4021"/>
    <w:rsid w:val="008F4116"/>
    <w:rsid w:val="008F4769"/>
    <w:rsid w:val="008F4BCF"/>
    <w:rsid w:val="008F5058"/>
    <w:rsid w:val="008F7141"/>
    <w:rsid w:val="00902958"/>
    <w:rsid w:val="00904B9A"/>
    <w:rsid w:val="00906881"/>
    <w:rsid w:val="00912D30"/>
    <w:rsid w:val="00912E8D"/>
    <w:rsid w:val="00913EE1"/>
    <w:rsid w:val="00915C9E"/>
    <w:rsid w:val="00921ECF"/>
    <w:rsid w:val="00923AFC"/>
    <w:rsid w:val="00924CEF"/>
    <w:rsid w:val="0092558B"/>
    <w:rsid w:val="009272E2"/>
    <w:rsid w:val="00927876"/>
    <w:rsid w:val="009347FC"/>
    <w:rsid w:val="0093520F"/>
    <w:rsid w:val="009409D9"/>
    <w:rsid w:val="00941DAD"/>
    <w:rsid w:val="00943523"/>
    <w:rsid w:val="00943A59"/>
    <w:rsid w:val="0095319B"/>
    <w:rsid w:val="00954CBF"/>
    <w:rsid w:val="009556DB"/>
    <w:rsid w:val="00956ADB"/>
    <w:rsid w:val="00960C1D"/>
    <w:rsid w:val="0096192D"/>
    <w:rsid w:val="009626B7"/>
    <w:rsid w:val="0096439F"/>
    <w:rsid w:val="009665B7"/>
    <w:rsid w:val="00967309"/>
    <w:rsid w:val="00972FBD"/>
    <w:rsid w:val="00980348"/>
    <w:rsid w:val="00984353"/>
    <w:rsid w:val="009917D7"/>
    <w:rsid w:val="00991A69"/>
    <w:rsid w:val="009A070F"/>
    <w:rsid w:val="009A2ACD"/>
    <w:rsid w:val="009A4BE9"/>
    <w:rsid w:val="009A58D1"/>
    <w:rsid w:val="009A778C"/>
    <w:rsid w:val="009B0288"/>
    <w:rsid w:val="009B1247"/>
    <w:rsid w:val="009B2BD9"/>
    <w:rsid w:val="009B6BBB"/>
    <w:rsid w:val="009B76EA"/>
    <w:rsid w:val="009B7D64"/>
    <w:rsid w:val="009C00FE"/>
    <w:rsid w:val="009C1C5D"/>
    <w:rsid w:val="009C3837"/>
    <w:rsid w:val="009C417B"/>
    <w:rsid w:val="009D0BA1"/>
    <w:rsid w:val="009D3FF0"/>
    <w:rsid w:val="009D417F"/>
    <w:rsid w:val="009D73CD"/>
    <w:rsid w:val="009E0B24"/>
    <w:rsid w:val="009E1017"/>
    <w:rsid w:val="009E3980"/>
    <w:rsid w:val="009E3BAF"/>
    <w:rsid w:val="009E3D1D"/>
    <w:rsid w:val="009E42C6"/>
    <w:rsid w:val="009F0118"/>
    <w:rsid w:val="009F0523"/>
    <w:rsid w:val="009F0FB2"/>
    <w:rsid w:val="009F52D4"/>
    <w:rsid w:val="00A02BDA"/>
    <w:rsid w:val="00A059DB"/>
    <w:rsid w:val="00A073B8"/>
    <w:rsid w:val="00A1749A"/>
    <w:rsid w:val="00A17C51"/>
    <w:rsid w:val="00A2287B"/>
    <w:rsid w:val="00A22E0F"/>
    <w:rsid w:val="00A2378A"/>
    <w:rsid w:val="00A238B0"/>
    <w:rsid w:val="00A259DB"/>
    <w:rsid w:val="00A25BA0"/>
    <w:rsid w:val="00A26E6B"/>
    <w:rsid w:val="00A27AB4"/>
    <w:rsid w:val="00A27BDB"/>
    <w:rsid w:val="00A40D56"/>
    <w:rsid w:val="00A4135F"/>
    <w:rsid w:val="00A41EE8"/>
    <w:rsid w:val="00A42887"/>
    <w:rsid w:val="00A42E9D"/>
    <w:rsid w:val="00A43700"/>
    <w:rsid w:val="00A45827"/>
    <w:rsid w:val="00A52247"/>
    <w:rsid w:val="00A53D7E"/>
    <w:rsid w:val="00A5630B"/>
    <w:rsid w:val="00A565AA"/>
    <w:rsid w:val="00A613F2"/>
    <w:rsid w:val="00A6236F"/>
    <w:rsid w:val="00A63D22"/>
    <w:rsid w:val="00A656EC"/>
    <w:rsid w:val="00A67A8C"/>
    <w:rsid w:val="00A72EA1"/>
    <w:rsid w:val="00A746DA"/>
    <w:rsid w:val="00A75A94"/>
    <w:rsid w:val="00A82245"/>
    <w:rsid w:val="00A83EFE"/>
    <w:rsid w:val="00A910EA"/>
    <w:rsid w:val="00A96496"/>
    <w:rsid w:val="00AA6A13"/>
    <w:rsid w:val="00AB3962"/>
    <w:rsid w:val="00AB412E"/>
    <w:rsid w:val="00AC2C30"/>
    <w:rsid w:val="00AC3756"/>
    <w:rsid w:val="00AC77E9"/>
    <w:rsid w:val="00AD1FF5"/>
    <w:rsid w:val="00AD4559"/>
    <w:rsid w:val="00AD51D9"/>
    <w:rsid w:val="00AD6A20"/>
    <w:rsid w:val="00AD7A7B"/>
    <w:rsid w:val="00AE073F"/>
    <w:rsid w:val="00AE3328"/>
    <w:rsid w:val="00AE5077"/>
    <w:rsid w:val="00AE6A49"/>
    <w:rsid w:val="00AF055B"/>
    <w:rsid w:val="00AF1652"/>
    <w:rsid w:val="00AF368B"/>
    <w:rsid w:val="00AF3910"/>
    <w:rsid w:val="00AF62DF"/>
    <w:rsid w:val="00AF71F6"/>
    <w:rsid w:val="00B0120F"/>
    <w:rsid w:val="00B0787A"/>
    <w:rsid w:val="00B07BFB"/>
    <w:rsid w:val="00B127F1"/>
    <w:rsid w:val="00B13ADD"/>
    <w:rsid w:val="00B15743"/>
    <w:rsid w:val="00B16560"/>
    <w:rsid w:val="00B1767C"/>
    <w:rsid w:val="00B17C8E"/>
    <w:rsid w:val="00B248E6"/>
    <w:rsid w:val="00B25931"/>
    <w:rsid w:val="00B27055"/>
    <w:rsid w:val="00B356C3"/>
    <w:rsid w:val="00B41D57"/>
    <w:rsid w:val="00B4444E"/>
    <w:rsid w:val="00B46BC4"/>
    <w:rsid w:val="00B506D9"/>
    <w:rsid w:val="00B52DE1"/>
    <w:rsid w:val="00B531A4"/>
    <w:rsid w:val="00B543C4"/>
    <w:rsid w:val="00B544A0"/>
    <w:rsid w:val="00B5647B"/>
    <w:rsid w:val="00B60327"/>
    <w:rsid w:val="00B60704"/>
    <w:rsid w:val="00B61EE5"/>
    <w:rsid w:val="00B63A4A"/>
    <w:rsid w:val="00B65455"/>
    <w:rsid w:val="00B660A6"/>
    <w:rsid w:val="00B76410"/>
    <w:rsid w:val="00B8546E"/>
    <w:rsid w:val="00B8723B"/>
    <w:rsid w:val="00B93773"/>
    <w:rsid w:val="00BA363B"/>
    <w:rsid w:val="00BC0ED7"/>
    <w:rsid w:val="00BC39F2"/>
    <w:rsid w:val="00BC48D9"/>
    <w:rsid w:val="00BD124F"/>
    <w:rsid w:val="00BD537E"/>
    <w:rsid w:val="00BD5732"/>
    <w:rsid w:val="00BE157D"/>
    <w:rsid w:val="00BE3004"/>
    <w:rsid w:val="00BF3100"/>
    <w:rsid w:val="00BF56EC"/>
    <w:rsid w:val="00C02F77"/>
    <w:rsid w:val="00C10A52"/>
    <w:rsid w:val="00C14B4E"/>
    <w:rsid w:val="00C2024E"/>
    <w:rsid w:val="00C21584"/>
    <w:rsid w:val="00C261C5"/>
    <w:rsid w:val="00C278E1"/>
    <w:rsid w:val="00C31F97"/>
    <w:rsid w:val="00C33EF1"/>
    <w:rsid w:val="00C3464E"/>
    <w:rsid w:val="00C371CD"/>
    <w:rsid w:val="00C37D5F"/>
    <w:rsid w:val="00C4243B"/>
    <w:rsid w:val="00C42D2F"/>
    <w:rsid w:val="00C44F3A"/>
    <w:rsid w:val="00C46E8B"/>
    <w:rsid w:val="00C527D9"/>
    <w:rsid w:val="00C530DC"/>
    <w:rsid w:val="00C53B4D"/>
    <w:rsid w:val="00C61D52"/>
    <w:rsid w:val="00C64E1C"/>
    <w:rsid w:val="00C6575D"/>
    <w:rsid w:val="00C67C8A"/>
    <w:rsid w:val="00C67F69"/>
    <w:rsid w:val="00C7012B"/>
    <w:rsid w:val="00C720D1"/>
    <w:rsid w:val="00C7672B"/>
    <w:rsid w:val="00C76AAC"/>
    <w:rsid w:val="00C83987"/>
    <w:rsid w:val="00C840AC"/>
    <w:rsid w:val="00C858B9"/>
    <w:rsid w:val="00C868EE"/>
    <w:rsid w:val="00C90971"/>
    <w:rsid w:val="00C9719A"/>
    <w:rsid w:val="00CA4BC6"/>
    <w:rsid w:val="00CB277B"/>
    <w:rsid w:val="00CB3DF0"/>
    <w:rsid w:val="00CB63FA"/>
    <w:rsid w:val="00CC43A1"/>
    <w:rsid w:val="00CC7710"/>
    <w:rsid w:val="00CD0889"/>
    <w:rsid w:val="00CE3446"/>
    <w:rsid w:val="00CE477A"/>
    <w:rsid w:val="00CE582E"/>
    <w:rsid w:val="00CF1464"/>
    <w:rsid w:val="00D03F8D"/>
    <w:rsid w:val="00D05BC1"/>
    <w:rsid w:val="00D0710D"/>
    <w:rsid w:val="00D12B24"/>
    <w:rsid w:val="00D15964"/>
    <w:rsid w:val="00D15A4C"/>
    <w:rsid w:val="00D17AAF"/>
    <w:rsid w:val="00D245B7"/>
    <w:rsid w:val="00D25555"/>
    <w:rsid w:val="00D271EE"/>
    <w:rsid w:val="00D27369"/>
    <w:rsid w:val="00D27AD1"/>
    <w:rsid w:val="00D31377"/>
    <w:rsid w:val="00D32019"/>
    <w:rsid w:val="00D37BF1"/>
    <w:rsid w:val="00D40F2D"/>
    <w:rsid w:val="00D4424C"/>
    <w:rsid w:val="00D4429F"/>
    <w:rsid w:val="00D46100"/>
    <w:rsid w:val="00D46424"/>
    <w:rsid w:val="00D535F7"/>
    <w:rsid w:val="00D53E69"/>
    <w:rsid w:val="00D5424E"/>
    <w:rsid w:val="00D54DB2"/>
    <w:rsid w:val="00D671F9"/>
    <w:rsid w:val="00D70C5E"/>
    <w:rsid w:val="00D77844"/>
    <w:rsid w:val="00D82976"/>
    <w:rsid w:val="00D91ACC"/>
    <w:rsid w:val="00D91DEA"/>
    <w:rsid w:val="00D9397E"/>
    <w:rsid w:val="00D939EF"/>
    <w:rsid w:val="00D96C15"/>
    <w:rsid w:val="00D97900"/>
    <w:rsid w:val="00DA0BF6"/>
    <w:rsid w:val="00DA2A4F"/>
    <w:rsid w:val="00DB7E46"/>
    <w:rsid w:val="00DC02B9"/>
    <w:rsid w:val="00DC47C4"/>
    <w:rsid w:val="00DC4D18"/>
    <w:rsid w:val="00DC6637"/>
    <w:rsid w:val="00DC672E"/>
    <w:rsid w:val="00DD11ED"/>
    <w:rsid w:val="00DD5F65"/>
    <w:rsid w:val="00DD666A"/>
    <w:rsid w:val="00DD774A"/>
    <w:rsid w:val="00DE03ED"/>
    <w:rsid w:val="00DE0933"/>
    <w:rsid w:val="00DE173D"/>
    <w:rsid w:val="00DE2FF8"/>
    <w:rsid w:val="00DE5B7A"/>
    <w:rsid w:val="00DF11DB"/>
    <w:rsid w:val="00DF2F7F"/>
    <w:rsid w:val="00DF3B32"/>
    <w:rsid w:val="00DF69B1"/>
    <w:rsid w:val="00E04933"/>
    <w:rsid w:val="00E04D3C"/>
    <w:rsid w:val="00E06CB2"/>
    <w:rsid w:val="00E14C05"/>
    <w:rsid w:val="00E310B9"/>
    <w:rsid w:val="00E409C1"/>
    <w:rsid w:val="00E4439F"/>
    <w:rsid w:val="00E44792"/>
    <w:rsid w:val="00E4728E"/>
    <w:rsid w:val="00E479D5"/>
    <w:rsid w:val="00E53F58"/>
    <w:rsid w:val="00E55EDF"/>
    <w:rsid w:val="00E56F41"/>
    <w:rsid w:val="00E57B50"/>
    <w:rsid w:val="00E61593"/>
    <w:rsid w:val="00E62F83"/>
    <w:rsid w:val="00E658D3"/>
    <w:rsid w:val="00E73D6E"/>
    <w:rsid w:val="00E7689E"/>
    <w:rsid w:val="00E8277E"/>
    <w:rsid w:val="00E84DCA"/>
    <w:rsid w:val="00E87802"/>
    <w:rsid w:val="00E87E71"/>
    <w:rsid w:val="00E92BB6"/>
    <w:rsid w:val="00EA0949"/>
    <w:rsid w:val="00EA2582"/>
    <w:rsid w:val="00EA7DA2"/>
    <w:rsid w:val="00EB38D1"/>
    <w:rsid w:val="00EB4975"/>
    <w:rsid w:val="00EB6A18"/>
    <w:rsid w:val="00EC5842"/>
    <w:rsid w:val="00ED0473"/>
    <w:rsid w:val="00ED3C8D"/>
    <w:rsid w:val="00ED526E"/>
    <w:rsid w:val="00ED60EA"/>
    <w:rsid w:val="00ED6ACF"/>
    <w:rsid w:val="00EF0351"/>
    <w:rsid w:val="00EF0CE4"/>
    <w:rsid w:val="00EF2619"/>
    <w:rsid w:val="00EF3799"/>
    <w:rsid w:val="00EF3FCD"/>
    <w:rsid w:val="00EF7FEB"/>
    <w:rsid w:val="00F04C9C"/>
    <w:rsid w:val="00F07738"/>
    <w:rsid w:val="00F11699"/>
    <w:rsid w:val="00F1270A"/>
    <w:rsid w:val="00F17B83"/>
    <w:rsid w:val="00F252B0"/>
    <w:rsid w:val="00F2576A"/>
    <w:rsid w:val="00F3282B"/>
    <w:rsid w:val="00F3284A"/>
    <w:rsid w:val="00F33679"/>
    <w:rsid w:val="00F343F2"/>
    <w:rsid w:val="00F46232"/>
    <w:rsid w:val="00F46D79"/>
    <w:rsid w:val="00F51D3F"/>
    <w:rsid w:val="00F532D7"/>
    <w:rsid w:val="00F53AFB"/>
    <w:rsid w:val="00F609C9"/>
    <w:rsid w:val="00F64C76"/>
    <w:rsid w:val="00F64E5E"/>
    <w:rsid w:val="00F670D0"/>
    <w:rsid w:val="00F72837"/>
    <w:rsid w:val="00F734E3"/>
    <w:rsid w:val="00F775C1"/>
    <w:rsid w:val="00F77CD4"/>
    <w:rsid w:val="00F81E5F"/>
    <w:rsid w:val="00F839D3"/>
    <w:rsid w:val="00F83A3B"/>
    <w:rsid w:val="00F85EE8"/>
    <w:rsid w:val="00F8631C"/>
    <w:rsid w:val="00F9210B"/>
    <w:rsid w:val="00F92BC5"/>
    <w:rsid w:val="00FA0CD3"/>
    <w:rsid w:val="00FA390F"/>
    <w:rsid w:val="00FA7C02"/>
    <w:rsid w:val="00FB0C26"/>
    <w:rsid w:val="00FB1EAB"/>
    <w:rsid w:val="00FB25E6"/>
    <w:rsid w:val="00FB6494"/>
    <w:rsid w:val="00FB77E8"/>
    <w:rsid w:val="00FC1966"/>
    <w:rsid w:val="00FC2960"/>
    <w:rsid w:val="00FD087E"/>
    <w:rsid w:val="00FD3819"/>
    <w:rsid w:val="00FD5478"/>
    <w:rsid w:val="00FE0394"/>
    <w:rsid w:val="00FE24B1"/>
    <w:rsid w:val="00FE7466"/>
    <w:rsid w:val="00FF159C"/>
    <w:rsid w:val="00FF38C2"/>
    <w:rsid w:val="00FF3AF7"/>
    <w:rsid w:val="00FF4C2D"/>
    <w:rsid w:val="00FF6FBD"/>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41"/>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33"/>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115033"/>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521241"/>
    <w:rPr>
      <w:smallCaps/>
      <w:sz w:val="24"/>
      <w:lang w:val="nl-BE"/>
    </w:rPr>
  </w:style>
  <w:style w:type="paragraph" w:customStyle="1" w:styleId="A-NaamMinister">
    <w:name w:val="A-NaamMinister"/>
    <w:basedOn w:val="Normal"/>
    <w:uiPriority w:val="99"/>
    <w:rsid w:val="00521241"/>
    <w:rPr>
      <w:b/>
      <w:smallCaps/>
      <w:sz w:val="22"/>
      <w:lang w:val="nl-BE"/>
    </w:rPr>
  </w:style>
  <w:style w:type="paragraph" w:customStyle="1" w:styleId="A-Lijn">
    <w:name w:val="A-Lijn"/>
    <w:basedOn w:val="Normal"/>
    <w:uiPriority w:val="99"/>
    <w:rsid w:val="00521241"/>
    <w:pPr>
      <w:pBdr>
        <w:top w:val="single" w:sz="4" w:space="1" w:color="auto"/>
      </w:pBdr>
    </w:pPr>
    <w:rPr>
      <w:smallCaps/>
      <w:sz w:val="22"/>
      <w:lang w:val="nl-BE"/>
    </w:rPr>
  </w:style>
  <w:style w:type="paragraph" w:customStyle="1" w:styleId="A-Type">
    <w:name w:val="A-Type"/>
    <w:uiPriority w:val="99"/>
    <w:rsid w:val="00521241"/>
    <w:rPr>
      <w:b/>
      <w:smallCaps/>
      <w:szCs w:val="20"/>
      <w:lang w:eastAsia="nl-NL"/>
    </w:rPr>
  </w:style>
  <w:style w:type="character" w:customStyle="1" w:styleId="AntwoordNaamMinisterChar">
    <w:name w:val="AntwoordNaamMinister Char"/>
    <w:basedOn w:val="DefaultParagraphFont"/>
    <w:uiPriority w:val="99"/>
    <w:rsid w:val="00521241"/>
    <w:rPr>
      <w:rFonts w:cs="Times New Roman"/>
      <w:b/>
      <w:smallCaps/>
      <w:sz w:val="24"/>
      <w:szCs w:val="24"/>
      <w:lang w:val="nl-BE" w:eastAsia="nl-NL" w:bidi="ar-SA"/>
    </w:rPr>
  </w:style>
  <w:style w:type="paragraph" w:styleId="BodyText">
    <w:name w:val="Body Text"/>
    <w:basedOn w:val="Normal"/>
    <w:link w:val="BodyTextChar"/>
    <w:uiPriority w:val="99"/>
    <w:rsid w:val="00521241"/>
    <w:rPr>
      <w:rFonts w:ascii="Courier New" w:hAnsi="Courier New"/>
      <w:sz w:val="24"/>
    </w:rPr>
  </w:style>
  <w:style w:type="character" w:customStyle="1" w:styleId="BodyTextChar">
    <w:name w:val="Body Text Char"/>
    <w:basedOn w:val="DefaultParagraphFont"/>
    <w:link w:val="BodyText"/>
    <w:uiPriority w:val="99"/>
    <w:semiHidden/>
    <w:rsid w:val="00115033"/>
    <w:rPr>
      <w:sz w:val="20"/>
      <w:szCs w:val="20"/>
      <w:lang w:val="nl-NL" w:eastAsia="nl-NL"/>
    </w:rPr>
  </w:style>
  <w:style w:type="paragraph" w:styleId="BodyTextIndent">
    <w:name w:val="Body Text Indent"/>
    <w:basedOn w:val="Normal"/>
    <w:link w:val="BodyTextIndentChar"/>
    <w:uiPriority w:val="99"/>
    <w:rsid w:val="00521241"/>
    <w:pPr>
      <w:ind w:left="709"/>
    </w:pPr>
    <w:rPr>
      <w:sz w:val="24"/>
    </w:rPr>
  </w:style>
  <w:style w:type="character" w:customStyle="1" w:styleId="BodyTextIndentChar">
    <w:name w:val="Body Text Indent Char"/>
    <w:basedOn w:val="DefaultParagraphFont"/>
    <w:link w:val="BodyTextIndent"/>
    <w:uiPriority w:val="99"/>
    <w:semiHidden/>
    <w:rsid w:val="00115033"/>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115033"/>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115033"/>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15033"/>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115033"/>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2D4D49"/>
    <w:pPr>
      <w:spacing w:before="100" w:beforeAutospacing="1" w:after="100" w:afterAutospacing="1"/>
    </w:pPr>
    <w:rPr>
      <w:sz w:val="24"/>
      <w:szCs w:val="24"/>
    </w:rPr>
  </w:style>
  <w:style w:type="paragraph" w:customStyle="1" w:styleId="Lijstalinea1">
    <w:name w:val="Lijstalinea1"/>
    <w:basedOn w:val="Normal"/>
    <w:uiPriority w:val="99"/>
    <w:rsid w:val="0026577C"/>
    <w:pPr>
      <w:ind w:left="708"/>
    </w:pPr>
    <w:rPr>
      <w:sz w:val="24"/>
      <w:szCs w:val="24"/>
    </w:rPr>
  </w:style>
  <w:style w:type="paragraph" w:styleId="ListParagraph">
    <w:name w:val="List Paragraph"/>
    <w:basedOn w:val="Normal"/>
    <w:uiPriority w:val="99"/>
    <w:qFormat/>
    <w:rsid w:val="00C527D9"/>
    <w:pPr>
      <w:ind w:left="708"/>
    </w:pPr>
  </w:style>
</w:styles>
</file>

<file path=word/webSettings.xml><?xml version="1.0" encoding="utf-8"?>
<w:webSettings xmlns:r="http://schemas.openxmlformats.org/officeDocument/2006/relationships" xmlns:w="http://schemas.openxmlformats.org/wordprocessingml/2006/main">
  <w:divs>
    <w:div w:id="85200841">
      <w:marLeft w:val="225"/>
      <w:marRight w:val="0"/>
      <w:marTop w:val="0"/>
      <w:marBottom w:val="450"/>
      <w:divBdr>
        <w:top w:val="none" w:sz="0" w:space="0" w:color="auto"/>
        <w:left w:val="none" w:sz="0" w:space="0" w:color="auto"/>
        <w:bottom w:val="none" w:sz="0" w:space="0" w:color="auto"/>
        <w:right w:val="none" w:sz="0" w:space="0" w:color="auto"/>
      </w:divBdr>
      <w:divsChild>
        <w:div w:id="85200851">
          <w:marLeft w:val="720"/>
          <w:marRight w:val="0"/>
          <w:marTop w:val="100"/>
          <w:marBottom w:val="100"/>
          <w:divBdr>
            <w:top w:val="none" w:sz="0" w:space="0" w:color="auto"/>
            <w:left w:val="none" w:sz="0" w:space="0" w:color="auto"/>
            <w:bottom w:val="none" w:sz="0" w:space="0" w:color="auto"/>
            <w:right w:val="none" w:sz="0" w:space="0" w:color="auto"/>
          </w:divBdr>
        </w:div>
      </w:divsChild>
    </w:div>
    <w:div w:id="85200843">
      <w:marLeft w:val="0"/>
      <w:marRight w:val="0"/>
      <w:marTop w:val="0"/>
      <w:marBottom w:val="0"/>
      <w:divBdr>
        <w:top w:val="none" w:sz="0" w:space="0" w:color="auto"/>
        <w:left w:val="none" w:sz="0" w:space="0" w:color="auto"/>
        <w:bottom w:val="none" w:sz="0" w:space="0" w:color="auto"/>
        <w:right w:val="none" w:sz="0" w:space="0" w:color="auto"/>
      </w:divBdr>
    </w:div>
    <w:div w:id="85200844">
      <w:marLeft w:val="0"/>
      <w:marRight w:val="0"/>
      <w:marTop w:val="0"/>
      <w:marBottom w:val="0"/>
      <w:divBdr>
        <w:top w:val="none" w:sz="0" w:space="0" w:color="auto"/>
        <w:left w:val="none" w:sz="0" w:space="0" w:color="auto"/>
        <w:bottom w:val="none" w:sz="0" w:space="0" w:color="auto"/>
        <w:right w:val="none" w:sz="0" w:space="0" w:color="auto"/>
      </w:divBdr>
    </w:div>
    <w:div w:id="85200845">
      <w:marLeft w:val="0"/>
      <w:marRight w:val="0"/>
      <w:marTop w:val="0"/>
      <w:marBottom w:val="0"/>
      <w:divBdr>
        <w:top w:val="none" w:sz="0" w:space="0" w:color="auto"/>
        <w:left w:val="none" w:sz="0" w:space="0" w:color="auto"/>
        <w:bottom w:val="none" w:sz="0" w:space="0" w:color="auto"/>
        <w:right w:val="none" w:sz="0" w:space="0" w:color="auto"/>
      </w:divBdr>
      <w:divsChild>
        <w:div w:id="85200842">
          <w:marLeft w:val="0"/>
          <w:marRight w:val="0"/>
          <w:marTop w:val="0"/>
          <w:marBottom w:val="0"/>
          <w:divBdr>
            <w:top w:val="none" w:sz="0" w:space="0" w:color="auto"/>
            <w:left w:val="none" w:sz="0" w:space="0" w:color="auto"/>
            <w:bottom w:val="none" w:sz="0" w:space="0" w:color="auto"/>
            <w:right w:val="none" w:sz="0" w:space="0" w:color="auto"/>
          </w:divBdr>
        </w:div>
      </w:divsChild>
    </w:div>
    <w:div w:id="85200846">
      <w:marLeft w:val="0"/>
      <w:marRight w:val="0"/>
      <w:marTop w:val="0"/>
      <w:marBottom w:val="0"/>
      <w:divBdr>
        <w:top w:val="none" w:sz="0" w:space="0" w:color="auto"/>
        <w:left w:val="none" w:sz="0" w:space="0" w:color="auto"/>
        <w:bottom w:val="none" w:sz="0" w:space="0" w:color="auto"/>
        <w:right w:val="none" w:sz="0" w:space="0" w:color="auto"/>
      </w:divBdr>
      <w:divsChild>
        <w:div w:id="85200857">
          <w:marLeft w:val="0"/>
          <w:marRight w:val="0"/>
          <w:marTop w:val="0"/>
          <w:marBottom w:val="0"/>
          <w:divBdr>
            <w:top w:val="none" w:sz="0" w:space="0" w:color="auto"/>
            <w:left w:val="none" w:sz="0" w:space="0" w:color="auto"/>
            <w:bottom w:val="none" w:sz="0" w:space="0" w:color="auto"/>
            <w:right w:val="none" w:sz="0" w:space="0" w:color="auto"/>
          </w:divBdr>
        </w:div>
      </w:divsChild>
    </w:div>
    <w:div w:id="85200847">
      <w:marLeft w:val="0"/>
      <w:marRight w:val="0"/>
      <w:marTop w:val="0"/>
      <w:marBottom w:val="0"/>
      <w:divBdr>
        <w:top w:val="none" w:sz="0" w:space="0" w:color="auto"/>
        <w:left w:val="none" w:sz="0" w:space="0" w:color="auto"/>
        <w:bottom w:val="none" w:sz="0" w:space="0" w:color="auto"/>
        <w:right w:val="none" w:sz="0" w:space="0" w:color="auto"/>
      </w:divBdr>
    </w:div>
    <w:div w:id="85200849">
      <w:marLeft w:val="0"/>
      <w:marRight w:val="0"/>
      <w:marTop w:val="0"/>
      <w:marBottom w:val="0"/>
      <w:divBdr>
        <w:top w:val="none" w:sz="0" w:space="0" w:color="auto"/>
        <w:left w:val="none" w:sz="0" w:space="0" w:color="auto"/>
        <w:bottom w:val="none" w:sz="0" w:space="0" w:color="auto"/>
        <w:right w:val="none" w:sz="0" w:space="0" w:color="auto"/>
      </w:divBdr>
      <w:divsChild>
        <w:div w:id="85200848">
          <w:marLeft w:val="0"/>
          <w:marRight w:val="0"/>
          <w:marTop w:val="0"/>
          <w:marBottom w:val="0"/>
          <w:divBdr>
            <w:top w:val="none" w:sz="0" w:space="0" w:color="auto"/>
            <w:left w:val="none" w:sz="0" w:space="0" w:color="auto"/>
            <w:bottom w:val="none" w:sz="0" w:space="0" w:color="auto"/>
            <w:right w:val="none" w:sz="0" w:space="0" w:color="auto"/>
          </w:divBdr>
        </w:div>
      </w:divsChild>
    </w:div>
    <w:div w:id="85200850">
      <w:marLeft w:val="0"/>
      <w:marRight w:val="0"/>
      <w:marTop w:val="0"/>
      <w:marBottom w:val="0"/>
      <w:divBdr>
        <w:top w:val="none" w:sz="0" w:space="0" w:color="auto"/>
        <w:left w:val="none" w:sz="0" w:space="0" w:color="auto"/>
        <w:bottom w:val="none" w:sz="0" w:space="0" w:color="auto"/>
        <w:right w:val="none" w:sz="0" w:space="0" w:color="auto"/>
      </w:divBdr>
    </w:div>
    <w:div w:id="85200852">
      <w:marLeft w:val="0"/>
      <w:marRight w:val="0"/>
      <w:marTop w:val="0"/>
      <w:marBottom w:val="0"/>
      <w:divBdr>
        <w:top w:val="none" w:sz="0" w:space="0" w:color="auto"/>
        <w:left w:val="none" w:sz="0" w:space="0" w:color="auto"/>
        <w:bottom w:val="none" w:sz="0" w:space="0" w:color="auto"/>
        <w:right w:val="none" w:sz="0" w:space="0" w:color="auto"/>
      </w:divBdr>
    </w:div>
    <w:div w:id="85200853">
      <w:marLeft w:val="0"/>
      <w:marRight w:val="0"/>
      <w:marTop w:val="0"/>
      <w:marBottom w:val="0"/>
      <w:divBdr>
        <w:top w:val="none" w:sz="0" w:space="0" w:color="auto"/>
        <w:left w:val="none" w:sz="0" w:space="0" w:color="auto"/>
        <w:bottom w:val="none" w:sz="0" w:space="0" w:color="auto"/>
        <w:right w:val="none" w:sz="0" w:space="0" w:color="auto"/>
      </w:divBdr>
    </w:div>
    <w:div w:id="85200854">
      <w:marLeft w:val="0"/>
      <w:marRight w:val="0"/>
      <w:marTop w:val="0"/>
      <w:marBottom w:val="0"/>
      <w:divBdr>
        <w:top w:val="none" w:sz="0" w:space="0" w:color="auto"/>
        <w:left w:val="none" w:sz="0" w:space="0" w:color="auto"/>
        <w:bottom w:val="none" w:sz="0" w:space="0" w:color="auto"/>
        <w:right w:val="none" w:sz="0" w:space="0" w:color="auto"/>
      </w:divBdr>
    </w:div>
    <w:div w:id="85200855">
      <w:marLeft w:val="0"/>
      <w:marRight w:val="0"/>
      <w:marTop w:val="0"/>
      <w:marBottom w:val="0"/>
      <w:divBdr>
        <w:top w:val="none" w:sz="0" w:space="0" w:color="auto"/>
        <w:left w:val="none" w:sz="0" w:space="0" w:color="auto"/>
        <w:bottom w:val="none" w:sz="0" w:space="0" w:color="auto"/>
        <w:right w:val="none" w:sz="0" w:space="0" w:color="auto"/>
      </w:divBdr>
    </w:div>
    <w:div w:id="85200856">
      <w:marLeft w:val="0"/>
      <w:marRight w:val="0"/>
      <w:marTop w:val="0"/>
      <w:marBottom w:val="0"/>
      <w:divBdr>
        <w:top w:val="none" w:sz="0" w:space="0" w:color="auto"/>
        <w:left w:val="none" w:sz="0" w:space="0" w:color="auto"/>
        <w:bottom w:val="none" w:sz="0" w:space="0" w:color="auto"/>
        <w:right w:val="none" w:sz="0" w:space="0" w:color="auto"/>
      </w:divBdr>
    </w:div>
    <w:div w:id="85200858">
      <w:marLeft w:val="0"/>
      <w:marRight w:val="0"/>
      <w:marTop w:val="0"/>
      <w:marBottom w:val="0"/>
      <w:divBdr>
        <w:top w:val="none" w:sz="0" w:space="0" w:color="auto"/>
        <w:left w:val="none" w:sz="0" w:space="0" w:color="auto"/>
        <w:bottom w:val="none" w:sz="0" w:space="0" w:color="auto"/>
        <w:right w:val="none" w:sz="0" w:space="0" w:color="auto"/>
      </w:divBdr>
    </w:div>
    <w:div w:id="85200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5</TotalTime>
  <Pages>7</Pages>
  <Words>2685</Words>
  <Characters>14768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Nathalie De Keyzer</cp:lastModifiedBy>
  <cp:revision>4</cp:revision>
  <cp:lastPrinted>2011-03-25T15:25:00Z</cp:lastPrinted>
  <dcterms:created xsi:type="dcterms:W3CDTF">2011-03-30T08:21:00Z</dcterms:created>
  <dcterms:modified xsi:type="dcterms:W3CDTF">2011-03-31T13:59:00Z</dcterms:modified>
</cp:coreProperties>
</file>