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E2421" w:rsidRPr="00DD4121" w:rsidRDefault="003E2421"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3E2421" w:rsidRPr="00015BF7" w:rsidRDefault="003E2421"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3E2421" w:rsidRPr="00015BF7" w:rsidRDefault="003E2421" w:rsidP="000976E9">
      <w:pPr>
        <w:rPr>
          <w:szCs w:val="22"/>
        </w:rPr>
      </w:pPr>
    </w:p>
    <w:p w:rsidR="003E2421" w:rsidRPr="00DB41C0" w:rsidRDefault="003E2421" w:rsidP="000976E9">
      <w:pPr>
        <w:pStyle w:val="A-Lijn"/>
      </w:pPr>
    </w:p>
    <w:p w:rsidR="003E2421" w:rsidRDefault="003E2421" w:rsidP="000976E9">
      <w:pPr>
        <w:pStyle w:val="A-Type"/>
        <w:sectPr w:rsidR="003E2421">
          <w:pgSz w:w="11906" w:h="16838"/>
          <w:pgMar w:top="1417" w:right="1417" w:bottom="1417" w:left="1417" w:header="708" w:footer="708" w:gutter="0"/>
          <w:cols w:space="708"/>
          <w:rtlGutter/>
          <w:docGrid w:linePitch="360"/>
        </w:sectPr>
      </w:pPr>
    </w:p>
    <w:p w:rsidR="003E2421" w:rsidRDefault="003E2421" w:rsidP="000976E9">
      <w:pPr>
        <w:pStyle w:val="A-Type"/>
        <w:sectPr w:rsidR="003E2421" w:rsidSect="000976E9">
          <w:type w:val="continuous"/>
          <w:pgSz w:w="11906" w:h="16838"/>
          <w:pgMar w:top="1417" w:right="1417" w:bottom="1417" w:left="1417" w:header="708" w:footer="708" w:gutter="0"/>
          <w:cols w:space="708"/>
          <w:formProt w:val="0"/>
          <w:docGrid w:linePitch="360"/>
        </w:sectPr>
      </w:pPr>
      <w:r>
        <w:t>gecoördineerd a</w:t>
      </w:r>
      <w:r w:rsidRPr="00E31F4D">
        <w:t>ntwoord</w:t>
      </w:r>
      <w:r>
        <w:t xml:space="preserve"> </w:t>
      </w:r>
    </w:p>
    <w:p w:rsidR="003E2421" w:rsidRPr="00326A58" w:rsidRDefault="003E2421"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186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3E2421" w:rsidRDefault="003E2421"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filip watteeuw</w:t>
      </w:r>
      <w:r w:rsidRPr="009D7043">
        <w:rPr>
          <w:rStyle w:val="AntwoordNaamMinisterChar"/>
          <w:sz w:val="22"/>
        </w:rPr>
        <w:fldChar w:fldCharType="end"/>
      </w:r>
    </w:p>
    <w:p w:rsidR="003E2421" w:rsidRPr="00015BF7" w:rsidRDefault="003E2421" w:rsidP="000976E9">
      <w:pPr>
        <w:rPr>
          <w:szCs w:val="22"/>
        </w:rPr>
      </w:pPr>
    </w:p>
    <w:p w:rsidR="003E2421" w:rsidRPr="00DB41C0" w:rsidRDefault="003E2421" w:rsidP="000976E9">
      <w:pPr>
        <w:pStyle w:val="A-Lijn"/>
      </w:pPr>
    </w:p>
    <w:p w:rsidR="003E2421" w:rsidRPr="00DB41C0" w:rsidRDefault="003E2421" w:rsidP="000976E9">
      <w:pPr>
        <w:pStyle w:val="A-Lijn"/>
      </w:pPr>
    </w:p>
    <w:p w:rsidR="003E2421" w:rsidRDefault="003E2421" w:rsidP="00DB41C0">
      <w:pPr>
        <w:sectPr w:rsidR="003E2421" w:rsidSect="000976E9">
          <w:type w:val="continuous"/>
          <w:pgSz w:w="11906" w:h="16838"/>
          <w:pgMar w:top="1417" w:right="1417" w:bottom="1417" w:left="1417" w:header="708" w:footer="708" w:gutter="0"/>
          <w:cols w:space="708"/>
          <w:rtlGutter/>
          <w:docGrid w:linePitch="360"/>
        </w:sectPr>
      </w:pPr>
    </w:p>
    <w:p w:rsidR="003E2421" w:rsidRPr="0070247D" w:rsidRDefault="003E2421" w:rsidP="00012446">
      <w:pPr>
        <w:tabs>
          <w:tab w:val="left" w:pos="360"/>
        </w:tabs>
        <w:jc w:val="both"/>
        <w:rPr>
          <w:b/>
          <w:i/>
          <w:szCs w:val="22"/>
        </w:rPr>
      </w:pPr>
      <w:r w:rsidRPr="0070247D">
        <w:rPr>
          <w:b/>
          <w:i/>
          <w:szCs w:val="22"/>
        </w:rPr>
        <w:t xml:space="preserve">Vlaams minister-president </w:t>
      </w:r>
      <w:smartTag w:uri="urn:schemas-microsoft-com:office:smarttags" w:element="PersonName">
        <w:smartTagPr>
          <w:attr w:name="ProductID" w:val="Kris Peeters"/>
        </w:smartTagPr>
        <w:r w:rsidRPr="0070247D">
          <w:rPr>
            <w:b/>
            <w:i/>
            <w:szCs w:val="22"/>
          </w:rPr>
          <w:t>Kris Peeters</w:t>
        </w:r>
      </w:smartTag>
    </w:p>
    <w:p w:rsidR="003E2421" w:rsidRDefault="003E2421" w:rsidP="00FD5BF4">
      <w:pPr>
        <w:rPr>
          <w:lang w:val="nl-BE"/>
        </w:rPr>
      </w:pPr>
    </w:p>
    <w:p w:rsidR="003E2421" w:rsidRDefault="003E2421" w:rsidP="006B0D0E">
      <w:pPr>
        <w:numPr>
          <w:ilvl w:val="0"/>
          <w:numId w:val="10"/>
        </w:numPr>
        <w:autoSpaceDE w:val="0"/>
        <w:autoSpaceDN w:val="0"/>
        <w:adjustRightInd w:val="0"/>
        <w:jc w:val="both"/>
        <w:rPr>
          <w:szCs w:val="22"/>
        </w:rPr>
      </w:pPr>
      <w:r w:rsidRPr="00A55919">
        <w:rPr>
          <w:iCs/>
          <w:szCs w:val="22"/>
        </w:rPr>
        <w:t>Bij de be</w:t>
      </w:r>
      <w:r w:rsidRPr="00A55919">
        <w:rPr>
          <w:szCs w:val="22"/>
        </w:rPr>
        <w:t xml:space="preserve">spreking van de motie in 2010 kondigde ik aan dat de Studiedienst van de Vlaamse Regering tegen eind 2010 nieuwe bevolkings- en huishoudensprojecties tot op het gemeentelijke niveau zou voorbereiden. Dit is ook zo uitgevoerd. Op 2 en 3 maart 2011 werden de werkwijze en de resultaten bekend gemaakt en sinds 2 maart 2011 kan iedereen de projecties voor elk van de 308 gemeenten, voor ieder jaar vanaf 2009 tot en met 2030, per leeftijdsklasse en geslacht, consulteren op de </w:t>
      </w:r>
      <w:hyperlink r:id="rId5" w:history="1">
        <w:r w:rsidRPr="00A55919">
          <w:rPr>
            <w:rStyle w:val="Hyperlink"/>
            <w:szCs w:val="22"/>
          </w:rPr>
          <w:t>website</w:t>
        </w:r>
      </w:hyperlink>
      <w:r w:rsidRPr="00A55919">
        <w:rPr>
          <w:szCs w:val="22"/>
        </w:rPr>
        <w:t xml:space="preserve"> van de Studiedienst van de Vlaamse Regering</w:t>
      </w:r>
      <w:r>
        <w:rPr>
          <w:szCs w:val="22"/>
        </w:rPr>
        <w:t>.</w:t>
      </w:r>
    </w:p>
    <w:p w:rsidR="003E2421" w:rsidRPr="00563D50" w:rsidRDefault="003E2421" w:rsidP="00017AFD">
      <w:pPr>
        <w:pStyle w:val="SVTitel"/>
        <w:ind w:left="567"/>
        <w:rPr>
          <w:i w:val="0"/>
          <w:szCs w:val="22"/>
        </w:rPr>
      </w:pPr>
    </w:p>
    <w:p w:rsidR="003E2421" w:rsidRDefault="003E2421" w:rsidP="006B0D0E">
      <w:pPr>
        <w:pStyle w:val="SVTitel"/>
        <w:ind w:left="360"/>
        <w:rPr>
          <w:i w:val="0"/>
          <w:szCs w:val="22"/>
        </w:rPr>
      </w:pPr>
      <w:r w:rsidRPr="00563D50">
        <w:rPr>
          <w:i w:val="0"/>
          <w:szCs w:val="22"/>
        </w:rPr>
        <w:t>Deze projecties leren ons dat de bevolking van het Vlaamse Gewest zou stijgen tot 6,5 miljoen inwoners tegen 2020 en tot 6,6 miljoen tegen 2030. Dit is een stijging met 6% tot 2020 en met 7% tegen het einde van de projectieperiode (referentiejaar</w:t>
      </w:r>
      <w:r>
        <w:rPr>
          <w:i w:val="0"/>
          <w:szCs w:val="22"/>
        </w:rPr>
        <w:t xml:space="preserve"> </w:t>
      </w:r>
      <w:r w:rsidRPr="00563D50">
        <w:rPr>
          <w:i w:val="0"/>
          <w:szCs w:val="22"/>
        </w:rPr>
        <w:t>=</w:t>
      </w:r>
      <w:r>
        <w:rPr>
          <w:i w:val="0"/>
          <w:szCs w:val="22"/>
        </w:rPr>
        <w:t xml:space="preserve"> </w:t>
      </w:r>
      <w:r w:rsidRPr="00563D50">
        <w:rPr>
          <w:i w:val="0"/>
          <w:szCs w:val="22"/>
        </w:rPr>
        <w:t>2008).</w:t>
      </w:r>
    </w:p>
    <w:p w:rsidR="003E2421" w:rsidRPr="00563D50" w:rsidRDefault="003E2421" w:rsidP="006B0D0E">
      <w:pPr>
        <w:pStyle w:val="SVTitel"/>
        <w:ind w:left="360"/>
        <w:rPr>
          <w:i w:val="0"/>
          <w:szCs w:val="22"/>
        </w:rPr>
      </w:pPr>
      <w:r w:rsidRPr="00563D50">
        <w:rPr>
          <w:i w:val="0"/>
          <w:szCs w:val="22"/>
        </w:rPr>
        <w:t xml:space="preserve">In 9 van de 10 gemeenten zou de totale bevolking aangroeien tussen nu en </w:t>
      </w:r>
      <w:smartTag w:uri="urn:schemas-microsoft-com:office:smarttags" w:element="metricconverter">
        <w:smartTagPr>
          <w:attr w:name="ProductID" w:val="2030. In"/>
        </w:smartTagPr>
        <w:r w:rsidRPr="00563D50">
          <w:rPr>
            <w:i w:val="0"/>
            <w:szCs w:val="22"/>
          </w:rPr>
          <w:t>2030. In</w:t>
        </w:r>
      </w:smartTag>
      <w:r w:rsidRPr="00563D50">
        <w:rPr>
          <w:i w:val="0"/>
          <w:szCs w:val="22"/>
        </w:rPr>
        <w:t xml:space="preserve"> het eerste deel van de projectieperiode (2008 tot 2018) zouden 24 gemeenten ontvolken, in het tweede deel van de projectieperiode (2018-2028) zouden 68 gemeenten een negatieve evolutie kennen. Deze gemeenten liggen verspreid over het gewest.</w:t>
      </w:r>
    </w:p>
    <w:p w:rsidR="003E2421" w:rsidRPr="00017AFD" w:rsidRDefault="003E2421" w:rsidP="006B0D0E">
      <w:pPr>
        <w:pStyle w:val="SVTitel"/>
        <w:ind w:left="360"/>
        <w:rPr>
          <w:i w:val="0"/>
          <w:szCs w:val="22"/>
        </w:rPr>
      </w:pPr>
      <w:r w:rsidRPr="00563D50">
        <w:rPr>
          <w:i w:val="0"/>
          <w:szCs w:val="22"/>
        </w:rPr>
        <w:t>Het aandeel van de jongeren (0-17j) zou eerst nog stabiel blijven rond 19,6% en nadien dalen tot 19,1% in 2028. Het aandeel</w:t>
      </w:r>
      <w:r w:rsidRPr="00017AFD">
        <w:rPr>
          <w:i w:val="0"/>
          <w:szCs w:val="22"/>
        </w:rPr>
        <w:t xml:space="preserve"> van de bevolking op beroepsactieve leeftijd (18-64j) zou een opmerkelijke daling kennen. Hun aandeel zou van 62,4% in 2008 verder dalen tot 60,5% in 2018 en 57,7% in 2028. Complementair daaraan wordt de groep van ouderen (</w:t>
      </w:r>
      <w:r>
        <w:rPr>
          <w:i w:val="0"/>
          <w:szCs w:val="22"/>
        </w:rPr>
        <w:t>+</w:t>
      </w:r>
      <w:r w:rsidRPr="00017AFD">
        <w:rPr>
          <w:i w:val="0"/>
          <w:szCs w:val="22"/>
        </w:rPr>
        <w:t>65j) steeds groter. Tegen 2018 zouden ze 19,</w:t>
      </w:r>
      <w:r>
        <w:rPr>
          <w:i w:val="0"/>
          <w:szCs w:val="22"/>
        </w:rPr>
        <w:t xml:space="preserve"> </w:t>
      </w:r>
      <w:r w:rsidRPr="00017AFD">
        <w:rPr>
          <w:i w:val="0"/>
          <w:szCs w:val="22"/>
        </w:rPr>
        <w:t>% van de bevolking vertegenwoordigen en tegen 2028 neemt hun aandeel toe tot 23,2%. Tegen 2028 worden 1,5 miljoen 65+ers verwacht, dit zouden er ruim 430.000 meer zijn dan in 2008.</w:t>
      </w:r>
    </w:p>
    <w:p w:rsidR="003E2421" w:rsidRPr="00017AFD" w:rsidRDefault="003E2421" w:rsidP="00017AFD">
      <w:pPr>
        <w:pStyle w:val="SVTitel"/>
        <w:ind w:left="567"/>
        <w:rPr>
          <w:i w:val="0"/>
          <w:szCs w:val="22"/>
        </w:rPr>
      </w:pPr>
    </w:p>
    <w:p w:rsidR="003E2421" w:rsidRDefault="003E2421" w:rsidP="006B0D0E">
      <w:pPr>
        <w:pStyle w:val="SVTitel"/>
        <w:ind w:left="360"/>
        <w:rPr>
          <w:i w:val="0"/>
          <w:szCs w:val="22"/>
        </w:rPr>
      </w:pPr>
      <w:r w:rsidRPr="00017AFD">
        <w:rPr>
          <w:i w:val="0"/>
          <w:szCs w:val="22"/>
        </w:rPr>
        <w:t xml:space="preserve">Volgens de SVR-projecties zou het aantal private huishoudens toenemen van 2,58 miljoen in 2008 naar 2,8 miljoen in 2018 en 2,9 miljoen in 2028. Dit is een stijging met 8% voor de eerste deelperiode en met 12% voor de tweede deelperiode. Het hogere groeiritme van het aantal huishoudens in vergelijking met de bevolkingsgroei kan verklaard worden door de gezinsverdunning. Er wordt verwacht dat de gemiddelde huishoudgrootte zal dalen van 2,36 personen per huishouden in 2008 naar 2,30 tegen 2018 en 2,26 tegen </w:t>
      </w:r>
      <w:smartTag w:uri="urn:schemas-microsoft-com:office:smarttags" w:element="metricconverter">
        <w:smartTagPr>
          <w:attr w:name="ProductID" w:val="2028. In"/>
        </w:smartTagPr>
        <w:r w:rsidRPr="00017AFD">
          <w:rPr>
            <w:i w:val="0"/>
            <w:szCs w:val="22"/>
          </w:rPr>
          <w:t>2028. In</w:t>
        </w:r>
      </w:smartTag>
      <w:r w:rsidRPr="00017AFD">
        <w:rPr>
          <w:i w:val="0"/>
          <w:szCs w:val="22"/>
        </w:rPr>
        <w:t xml:space="preserve"> de meeste gemeenten zou het aantal huishoudens toenemen. </w:t>
      </w:r>
    </w:p>
    <w:p w:rsidR="003E2421" w:rsidRDefault="003E2421" w:rsidP="006B0D0E">
      <w:pPr>
        <w:pStyle w:val="SVTitel"/>
        <w:ind w:left="360"/>
        <w:rPr>
          <w:i w:val="0"/>
          <w:szCs w:val="22"/>
        </w:rPr>
      </w:pPr>
      <w:r w:rsidRPr="00017AFD">
        <w:rPr>
          <w:i w:val="0"/>
          <w:szCs w:val="22"/>
        </w:rPr>
        <w:t>In het eerste deel van de projectieperiode zou in 89 gemeenten het aantal huishoudens met meer dan 10% stijgen, in 42 gemeenten zou het aantal huishoudens dalen, zij het in lichte mate (niet meer dan 5%).In het tweede deel van de projectieperiode (2018-2028) verwachten we een afzwakking van de aangroei</w:t>
      </w:r>
      <w:r>
        <w:rPr>
          <w:i w:val="0"/>
          <w:szCs w:val="22"/>
        </w:rPr>
        <w:t xml:space="preserve">; </w:t>
      </w:r>
      <w:r w:rsidRPr="00017AFD">
        <w:rPr>
          <w:i w:val="0"/>
          <w:szCs w:val="22"/>
        </w:rPr>
        <w:t>in 17 gemeenten zou het a</w:t>
      </w:r>
      <w:r>
        <w:rPr>
          <w:i w:val="0"/>
          <w:szCs w:val="22"/>
        </w:rPr>
        <w:t>antal huishoudens verder dalen.</w:t>
      </w:r>
    </w:p>
    <w:p w:rsidR="003E2421" w:rsidRPr="00017AFD" w:rsidRDefault="003E2421" w:rsidP="006B0D0E">
      <w:pPr>
        <w:pStyle w:val="SVTitel"/>
        <w:ind w:left="360"/>
        <w:rPr>
          <w:i w:val="0"/>
          <w:szCs w:val="22"/>
        </w:rPr>
      </w:pPr>
      <w:r w:rsidRPr="00017AFD">
        <w:rPr>
          <w:i w:val="0"/>
          <w:szCs w:val="22"/>
        </w:rPr>
        <w:t>Er zou een verschuiving optreden in het relatief belang van de verschillende huishoudtypes. Er wordt vooral een sterke toename van het aantal één- en tweepersoonshuishoudens verwacht. Het aantal vier- en meerpersoonshuishoudens zou dalen</w:t>
      </w:r>
      <w:r>
        <w:rPr>
          <w:i w:val="0"/>
          <w:szCs w:val="22"/>
        </w:rPr>
        <w:t>,</w:t>
      </w:r>
      <w:r w:rsidRPr="00017AFD">
        <w:rPr>
          <w:i w:val="0"/>
          <w:szCs w:val="22"/>
        </w:rPr>
        <w:t xml:space="preserve"> zowel in de eerste als de tweede projectieperiode. Het aantal één- en tweepersoonshuishoudens zou tussen 2008 en 2018 respectievelijk met 13% en 12% stijgen. Tegen 2018 worden 872.000 éénpersoonhuishoudens verwacht, dit is een toename met 102.000 alleenwonenden.</w:t>
      </w:r>
    </w:p>
    <w:p w:rsidR="003E2421" w:rsidRPr="00017AFD" w:rsidRDefault="003E2421" w:rsidP="00017AFD">
      <w:pPr>
        <w:pStyle w:val="SVTitel"/>
        <w:ind w:left="567"/>
        <w:rPr>
          <w:i w:val="0"/>
          <w:szCs w:val="22"/>
        </w:rPr>
      </w:pPr>
    </w:p>
    <w:p w:rsidR="003E2421" w:rsidRPr="00017AFD" w:rsidRDefault="003E2421" w:rsidP="006B0D0E">
      <w:pPr>
        <w:pStyle w:val="SVTitel"/>
        <w:ind w:left="360"/>
        <w:rPr>
          <w:i w:val="0"/>
          <w:szCs w:val="22"/>
        </w:rPr>
      </w:pPr>
      <w:r w:rsidRPr="00017AFD">
        <w:rPr>
          <w:i w:val="0"/>
          <w:szCs w:val="22"/>
        </w:rPr>
        <w:t>Het is aan de gemeentebesturen om deze cijfers verder te analyseren en hieruit conclusies te trekken voor de komende legislatuur. De beleidsverantwoordelijken voor verschillende beleidsdomeinen kunnen in deze databank basis</w:t>
      </w:r>
      <w:smartTag w:uri="urn:schemas-microsoft-com:office:smarttags" w:element="PersonName">
        <w:r w:rsidRPr="00017AFD">
          <w:rPr>
            <w:i w:val="0"/>
            <w:szCs w:val="22"/>
          </w:rPr>
          <w:t>info</w:t>
        </w:r>
      </w:smartTag>
      <w:r w:rsidRPr="00017AFD">
        <w:rPr>
          <w:i w:val="0"/>
          <w:szCs w:val="22"/>
        </w:rPr>
        <w:t xml:space="preserve">rmatie vinden door te selecteren op bevolkingsgroepen naar leeftijd en geslacht of op deelgebieden. De Studiedienst </w:t>
      </w:r>
      <w:r>
        <w:rPr>
          <w:i w:val="0"/>
          <w:szCs w:val="22"/>
        </w:rPr>
        <w:t xml:space="preserve">van de Vlaamse Regering (SVR) </w:t>
      </w:r>
      <w:r w:rsidRPr="00017AFD">
        <w:rPr>
          <w:i w:val="0"/>
          <w:szCs w:val="22"/>
        </w:rPr>
        <w:t>stelt zijn expertise ter beschikking van de verschillende beleidsdomeinen die gebruik willen maken van deze projecties voor het vooruit berekenen van hun sectorale behoeften. SVR stelt het datamodel ter beschikking zodat samen met geïnteresseerde domeinen een aantal alternatieve ontwikkelingen kunnen gesimuleerd worden</w:t>
      </w:r>
      <w:r>
        <w:rPr>
          <w:i w:val="0"/>
          <w:szCs w:val="22"/>
        </w:rPr>
        <w:t xml:space="preserve">, en de </w:t>
      </w:r>
      <w:r w:rsidRPr="00017AFD">
        <w:rPr>
          <w:i w:val="0"/>
          <w:szCs w:val="22"/>
        </w:rPr>
        <w:t xml:space="preserve">gevolgen van nieuwe maatregelen of gewenste ontwikkelingen ex ante kunnen berekend worden. Door middel van aggregatie van verschillende gemeenten kan deze databank ook interessante </w:t>
      </w:r>
      <w:smartTag w:uri="urn:schemas-microsoft-com:office:smarttags" w:element="PersonName">
        <w:r w:rsidRPr="00017AFD">
          <w:rPr>
            <w:i w:val="0"/>
            <w:szCs w:val="22"/>
          </w:rPr>
          <w:t>info</w:t>
        </w:r>
      </w:smartTag>
      <w:r w:rsidRPr="00017AFD">
        <w:rPr>
          <w:i w:val="0"/>
          <w:szCs w:val="22"/>
        </w:rPr>
        <w:t>rmatie bieden voor subregionale beleidsplannen (</w:t>
      </w:r>
      <w:r>
        <w:rPr>
          <w:i w:val="0"/>
          <w:szCs w:val="22"/>
        </w:rPr>
        <w:t>b</w:t>
      </w:r>
      <w:r w:rsidRPr="00017AFD">
        <w:rPr>
          <w:i w:val="0"/>
          <w:szCs w:val="22"/>
        </w:rPr>
        <w:t>vb. streekpacten) of samenwerkingsinitiatieven.</w:t>
      </w:r>
    </w:p>
    <w:p w:rsidR="003E2421" w:rsidRPr="00017AFD" w:rsidRDefault="003E2421" w:rsidP="00017AFD">
      <w:pPr>
        <w:pStyle w:val="SVTitel"/>
        <w:ind w:left="567"/>
        <w:rPr>
          <w:i w:val="0"/>
          <w:szCs w:val="22"/>
        </w:rPr>
      </w:pPr>
    </w:p>
    <w:p w:rsidR="003E2421" w:rsidRPr="00017AFD" w:rsidRDefault="003E2421" w:rsidP="006B0D0E">
      <w:pPr>
        <w:pStyle w:val="SVTitel"/>
        <w:ind w:left="360"/>
        <w:rPr>
          <w:i w:val="0"/>
          <w:szCs w:val="22"/>
        </w:rPr>
      </w:pPr>
      <w:r w:rsidRPr="00017AFD">
        <w:rPr>
          <w:i w:val="0"/>
          <w:szCs w:val="22"/>
        </w:rPr>
        <w:t>Men moet echter voorzichtig blijven bij het interpreteren van projecties: ze dragen altijd een marge van onzekerheid in zich. Onvoorziene ontwikkelingen in de geopolitiek (met eventueel een impact op de buitenlandse immigratie) of nieuwe ontwikkelingen op het lokale niveau (</w:t>
      </w:r>
      <w:r>
        <w:rPr>
          <w:i w:val="0"/>
          <w:szCs w:val="22"/>
        </w:rPr>
        <w:t>b</w:t>
      </w:r>
      <w:r w:rsidRPr="00017AFD">
        <w:rPr>
          <w:i w:val="0"/>
          <w:szCs w:val="22"/>
        </w:rPr>
        <w:t xml:space="preserve">vb. </w:t>
      </w:r>
      <w:r>
        <w:rPr>
          <w:i w:val="0"/>
          <w:szCs w:val="22"/>
        </w:rPr>
        <w:t xml:space="preserve">de </w:t>
      </w:r>
      <w:r w:rsidRPr="00017AFD">
        <w:rPr>
          <w:i w:val="0"/>
          <w:szCs w:val="22"/>
        </w:rPr>
        <w:t>realisatie van nieuwe grote woonwijk) kunnen niet voor elk van de 308 gemeenten afzonderlijk worden voorspeld. Daarom zal de Studiedienst van de Vlaamse Regering de projecties om de vijf jaar actualiseren.</w:t>
      </w:r>
    </w:p>
    <w:p w:rsidR="003E2421" w:rsidRDefault="003E2421" w:rsidP="00017AFD">
      <w:pPr>
        <w:tabs>
          <w:tab w:val="num" w:pos="567"/>
        </w:tabs>
        <w:autoSpaceDE w:val="0"/>
        <w:autoSpaceDN w:val="0"/>
        <w:adjustRightInd w:val="0"/>
        <w:ind w:left="567" w:hanging="567"/>
        <w:rPr>
          <w:iCs/>
          <w:szCs w:val="22"/>
        </w:rPr>
      </w:pPr>
    </w:p>
    <w:p w:rsidR="003E2421" w:rsidRPr="009D0587" w:rsidRDefault="003E2421" w:rsidP="006B0D0E">
      <w:pPr>
        <w:numPr>
          <w:ilvl w:val="0"/>
          <w:numId w:val="10"/>
        </w:numPr>
        <w:autoSpaceDE w:val="0"/>
        <w:autoSpaceDN w:val="0"/>
        <w:adjustRightInd w:val="0"/>
        <w:jc w:val="both"/>
        <w:rPr>
          <w:iCs/>
          <w:szCs w:val="22"/>
        </w:rPr>
      </w:pPr>
      <w:r w:rsidRPr="009D0587">
        <w:rPr>
          <w:iCs/>
          <w:szCs w:val="22"/>
        </w:rPr>
        <w:t>De Studiedienst van de Vlaamse Regering heeft in het vooruitzicht van de nieuwe bevolkings</w:t>
      </w:r>
      <w:r>
        <w:rPr>
          <w:iCs/>
          <w:szCs w:val="22"/>
        </w:rPr>
        <w:softHyphen/>
      </w:r>
      <w:r w:rsidRPr="009D0587">
        <w:rPr>
          <w:iCs/>
          <w:szCs w:val="22"/>
        </w:rPr>
        <w:t xml:space="preserve">projecties een aantal conjunctuuranalyses gemaakt over de evolutie van de sterfte, de geboorte en vruchtbaarheid, en de grootte van de huishoudens. De resultaten hiervan werden gepubliceerd in de reeks SVR-Webartikels. In 2010 werd eveneens een studie gemaakt over de mogelijke gevolgen van de bevolkingsevolutie op de welvaart in Vlaanderen. Dit SVR-rapport is gebaseerd op de bevolkingsprojecties van het Planbureau 2007-2050 om een vergelijking te kunnen maken met de andere gewesten. </w:t>
      </w:r>
      <w:r>
        <w:rPr>
          <w:iCs/>
          <w:szCs w:val="22"/>
        </w:rPr>
        <w:t>He</w:t>
      </w:r>
      <w:r w:rsidRPr="009D0587">
        <w:rPr>
          <w:iCs/>
          <w:szCs w:val="22"/>
        </w:rPr>
        <w:t>t rapport toont aan dat de creatie van jobs door Vlaamse ondernemingen op de limieten van het beschikbare arbeidsaanbod zal stuiten</w:t>
      </w:r>
      <w:r>
        <w:rPr>
          <w:iCs/>
          <w:szCs w:val="22"/>
        </w:rPr>
        <w:t>,</w:t>
      </w:r>
      <w:r w:rsidRPr="009D0587">
        <w:rPr>
          <w:iCs/>
          <w:szCs w:val="22"/>
        </w:rPr>
        <w:t xml:space="preserve"> omdat de omvang van de potentiële beroepsbevolking (20-64j) onvoldoende zal aangroeien om de latere instroom van jongeren op de arbeidsmarkt en de vervroegde uittreding door oudere werknemers (boven 60j) te compenseren.</w:t>
      </w:r>
    </w:p>
    <w:p w:rsidR="003E2421" w:rsidRPr="00563D50" w:rsidRDefault="003E2421" w:rsidP="006B0D0E">
      <w:pPr>
        <w:pStyle w:val="SVTitel"/>
        <w:ind w:left="360"/>
        <w:rPr>
          <w:i w:val="0"/>
        </w:rPr>
      </w:pPr>
      <w:r w:rsidRPr="00563D50">
        <w:rPr>
          <w:i w:val="0"/>
        </w:rPr>
        <w:t>De Studiedienst van de Vlaamse Regering zal in 2011 een Studierapport publiceren waarin de methode van de nieuwe gemeentelijke projecties en de belangrijkste resultaten worden voorgesteld. De publicatiedatum is mede afhankelijk van de beschikbaarheid van recente cijfers over de loop van de bevolking. Daarnaast zullen enkele toepassingsmogelijkheden worden geïllustreerd.</w:t>
      </w:r>
    </w:p>
    <w:p w:rsidR="003E2421" w:rsidRPr="009D0587" w:rsidRDefault="003E2421" w:rsidP="00017AFD">
      <w:pPr>
        <w:pStyle w:val="SVTitel"/>
        <w:rPr>
          <w:i w:val="0"/>
        </w:rPr>
      </w:pPr>
    </w:p>
    <w:p w:rsidR="003E2421" w:rsidRPr="00563D50" w:rsidRDefault="003E2421" w:rsidP="006B0D0E">
      <w:pPr>
        <w:numPr>
          <w:ilvl w:val="0"/>
          <w:numId w:val="10"/>
        </w:numPr>
        <w:autoSpaceDE w:val="0"/>
        <w:autoSpaceDN w:val="0"/>
        <w:adjustRightInd w:val="0"/>
        <w:jc w:val="both"/>
      </w:pPr>
      <w:r w:rsidRPr="00563D50">
        <w:t>De resultaten van de bevolking</w:t>
      </w:r>
      <w:r>
        <w:t>s</w:t>
      </w:r>
      <w:r w:rsidRPr="00563D50">
        <w:t>- en huishouden</w:t>
      </w:r>
      <w:r>
        <w:t>s</w:t>
      </w:r>
      <w:r w:rsidRPr="00563D50">
        <w:t xml:space="preserve">projecties zijn online beschikbaar via de website van de Studiedienst van de Vlaamse Regering. Dit geldt ook voor alle publicaties van deze Studiedienst. Men kan inschrijven op een elektronische nieuwsbrief zodat men wekelijks op de hoogte wordt gebracht van nieuwe producten. Iedere publicatie wordt daarenboven in gedrukte vorm gratis ter beschikking gesteld van de secretariaten van de politieke fracties in het Vlaamse Parlement, de studiediensten van de politieke partijen en wordt verzonden naar alle Vlaamse openbare bibliotheken. Publicaties kunnen gratis besteld worden via het unieke loket van </w:t>
      </w:r>
      <w:hyperlink r:id="rId6" w:history="1">
        <w:r w:rsidRPr="00563D50">
          <w:rPr>
            <w:rStyle w:val="Hyperlink"/>
          </w:rPr>
          <w:t>publicaties@vlaanderen.be</w:t>
        </w:r>
      </w:hyperlink>
      <w:r>
        <w:t>.</w:t>
      </w:r>
    </w:p>
    <w:p w:rsidR="003E2421" w:rsidRPr="00563D50" w:rsidRDefault="003E2421" w:rsidP="00933D8D">
      <w:pPr>
        <w:pStyle w:val="SVTitel"/>
        <w:rPr>
          <w:i w:val="0"/>
        </w:rPr>
      </w:pPr>
    </w:p>
    <w:p w:rsidR="003E2421" w:rsidRDefault="003E2421" w:rsidP="00FD5BF4">
      <w:pPr>
        <w:rPr>
          <w:lang w:val="nl-BE"/>
        </w:rPr>
      </w:pPr>
    </w:p>
    <w:p w:rsidR="003E2421" w:rsidRPr="0070247D" w:rsidRDefault="003E2421" w:rsidP="00012446">
      <w:pPr>
        <w:pStyle w:val="StandaardSV"/>
        <w:tabs>
          <w:tab w:val="center" w:pos="4253"/>
          <w:tab w:val="right" w:pos="8278"/>
        </w:tabs>
        <w:rPr>
          <w:b/>
          <w:i/>
          <w:spacing w:val="-3"/>
        </w:rPr>
      </w:pPr>
      <w:r w:rsidRPr="0070247D">
        <w:rPr>
          <w:b/>
          <w:i/>
          <w:spacing w:val="-3"/>
        </w:rPr>
        <w:t xml:space="preserve">Vlaams minister </w:t>
      </w:r>
      <w:r>
        <w:rPr>
          <w:b/>
          <w:i/>
          <w:spacing w:val="-3"/>
        </w:rPr>
        <w:t>Jo Vandeurzen</w:t>
      </w:r>
    </w:p>
    <w:p w:rsidR="003E2421" w:rsidRDefault="003E2421" w:rsidP="007F75C7">
      <w:pPr>
        <w:tabs>
          <w:tab w:val="left" w:pos="709"/>
        </w:tabs>
        <w:rPr>
          <w:lang w:val="nl-BE"/>
        </w:rPr>
      </w:pPr>
    </w:p>
    <w:p w:rsidR="003E2421" w:rsidRDefault="003E2421" w:rsidP="006B0D0E">
      <w:pPr>
        <w:pStyle w:val="ListParagraph"/>
        <w:numPr>
          <w:ilvl w:val="0"/>
          <w:numId w:val="12"/>
        </w:numPr>
        <w:tabs>
          <w:tab w:val="left" w:pos="709"/>
        </w:tabs>
        <w:jc w:val="both"/>
      </w:pPr>
      <w:r>
        <w:t>Naar aanleiding van de vraag rond onderzoek naar demografische ontwikkelingen is het aangewezen om niet alleen te verwijzen naar wetenschappelijk onderzoek maar ook naar de continue monitoring door de agentschappen van de demografische evolutie die de basis vormt voor hun beleidsevaluerend en beleidsvoorbereidend werk.</w:t>
      </w:r>
    </w:p>
    <w:p w:rsidR="003E2421" w:rsidRDefault="003E2421" w:rsidP="007F75C7">
      <w:pPr>
        <w:pStyle w:val="ListParagraph"/>
        <w:tabs>
          <w:tab w:val="left" w:pos="709"/>
        </w:tabs>
        <w:ind w:left="567"/>
        <w:jc w:val="both"/>
      </w:pPr>
    </w:p>
    <w:p w:rsidR="003E2421" w:rsidRDefault="003E2421" w:rsidP="006B0D0E">
      <w:pPr>
        <w:pStyle w:val="ListParagraph"/>
        <w:tabs>
          <w:tab w:val="left" w:pos="709"/>
        </w:tabs>
        <w:ind w:left="360"/>
        <w:jc w:val="both"/>
      </w:pPr>
      <w:r>
        <w:t>In dit kader moet verwezen worden naar de actualisering van de programmatiecriteria die worden gehanteerd in de regelgeving met betrekking tot de woonzorg en de contingentberekening binnen Kind en Gezin, naar de uitgebreide meerjarenanalyse gemaakt door het Vlaams Agentschap voor Personen met een Handicap (VAPH) en naar het Vlaams ouderenbeleidsplan 2010-2014.</w:t>
      </w:r>
    </w:p>
    <w:p w:rsidR="003E2421" w:rsidRDefault="003E2421" w:rsidP="007F75C7">
      <w:pPr>
        <w:tabs>
          <w:tab w:val="left" w:pos="709"/>
        </w:tabs>
        <w:ind w:left="567"/>
        <w:jc w:val="both"/>
      </w:pPr>
    </w:p>
    <w:p w:rsidR="003E2421" w:rsidRDefault="003E2421" w:rsidP="006B0D0E">
      <w:pPr>
        <w:tabs>
          <w:tab w:val="left" w:pos="709"/>
        </w:tabs>
        <w:ind w:left="360"/>
        <w:jc w:val="both"/>
      </w:pPr>
      <w:r>
        <w:t xml:space="preserve">De </w:t>
      </w:r>
      <w:r>
        <w:rPr>
          <w:i/>
        </w:rPr>
        <w:t xml:space="preserve">programmatiecriteria </w:t>
      </w:r>
      <w:r>
        <w:t>voor een aantal ouderenvoorzieningen (woonzorgcentra, serviceflats, centra voor kort verblijf, dagverzorgingscentra, …) zijn gebaseerd op bevolkingscijfers en bepaalde leeftijdscategorieën. Dit betekent dat in de mate dat de programmatie wordt ingevuld er rekening wordt gehouden met de demografische ontwikkelingen.</w:t>
      </w:r>
    </w:p>
    <w:p w:rsidR="003E2421" w:rsidRDefault="003E2421" w:rsidP="007F75C7">
      <w:pPr>
        <w:tabs>
          <w:tab w:val="left" w:pos="709"/>
        </w:tabs>
        <w:ind w:left="567"/>
        <w:jc w:val="both"/>
      </w:pPr>
    </w:p>
    <w:p w:rsidR="003E2421" w:rsidRDefault="003E2421" w:rsidP="006B0D0E">
      <w:pPr>
        <w:tabs>
          <w:tab w:val="left" w:pos="709"/>
        </w:tabs>
        <w:ind w:left="360"/>
        <w:jc w:val="both"/>
      </w:pPr>
      <w:r>
        <w:t xml:space="preserve">Het </w:t>
      </w:r>
      <w:r>
        <w:rPr>
          <w:i/>
        </w:rPr>
        <w:t xml:space="preserve">Vlaams ouderenbeleidsplan 2010-2014 </w:t>
      </w:r>
      <w:r>
        <w:t>verenigt de intenties en maatregelen die in het regeerakkoord werden aangegaan en hun concretisering vonden in de onderscheiden beleidsbrieven en -nota’s. Het bundelt de op stapel staande beleidsacties op een consistente manier, thematisch geclusterd, en dat tegen de achtergrond van een duidende omgevingsanalyse.</w:t>
      </w:r>
    </w:p>
    <w:p w:rsidR="003E2421" w:rsidRDefault="003E2421" w:rsidP="006B0D0E">
      <w:pPr>
        <w:tabs>
          <w:tab w:val="left" w:pos="851"/>
        </w:tabs>
        <w:spacing w:after="120"/>
        <w:ind w:left="360"/>
        <w:jc w:val="both"/>
      </w:pPr>
      <w:r>
        <w:t>Het ouderenbeleidsplan brengt 8 voor ouderen relevante thema’s in kaart:</w:t>
      </w:r>
    </w:p>
    <w:p w:rsidR="003E2421" w:rsidRDefault="003E2421" w:rsidP="007F75C7">
      <w:pPr>
        <w:tabs>
          <w:tab w:val="left" w:pos="851"/>
        </w:tabs>
        <w:ind w:left="567"/>
        <w:jc w:val="both"/>
      </w:pPr>
      <w:r>
        <w:t>-</w:t>
      </w:r>
      <w:r>
        <w:tab/>
        <w:t>informatie, inspraak en participatie</w:t>
      </w:r>
    </w:p>
    <w:p w:rsidR="003E2421" w:rsidRDefault="003E2421" w:rsidP="007F75C7">
      <w:pPr>
        <w:tabs>
          <w:tab w:val="left" w:pos="851"/>
        </w:tabs>
        <w:ind w:left="567"/>
        <w:jc w:val="both"/>
      </w:pPr>
      <w:r>
        <w:t>-</w:t>
      </w:r>
      <w:r>
        <w:tab/>
        <w:t>armoede en sociale bescherming</w:t>
      </w:r>
    </w:p>
    <w:p w:rsidR="003E2421" w:rsidRDefault="003E2421" w:rsidP="007F75C7">
      <w:pPr>
        <w:tabs>
          <w:tab w:val="left" w:pos="851"/>
        </w:tabs>
        <w:ind w:left="567"/>
        <w:jc w:val="both"/>
      </w:pPr>
      <w:r>
        <w:t>-</w:t>
      </w:r>
      <w:r>
        <w:tab/>
        <w:t>diversiteit en discriminatie</w:t>
      </w:r>
    </w:p>
    <w:p w:rsidR="003E2421" w:rsidRDefault="003E2421" w:rsidP="007F75C7">
      <w:pPr>
        <w:tabs>
          <w:tab w:val="left" w:pos="851"/>
        </w:tabs>
        <w:ind w:left="567"/>
        <w:jc w:val="both"/>
      </w:pPr>
      <w:r>
        <w:t>-</w:t>
      </w:r>
      <w:r>
        <w:tab/>
        <w:t>gezondheid, sport en welzijn</w:t>
      </w:r>
    </w:p>
    <w:p w:rsidR="003E2421" w:rsidRDefault="003E2421" w:rsidP="007F75C7">
      <w:pPr>
        <w:tabs>
          <w:tab w:val="left" w:pos="851"/>
        </w:tabs>
        <w:ind w:left="567"/>
        <w:jc w:val="both"/>
      </w:pPr>
      <w:r>
        <w:t>-</w:t>
      </w:r>
      <w:r>
        <w:tab/>
        <w:t>actief en productief ouder worden</w:t>
      </w:r>
    </w:p>
    <w:p w:rsidR="003E2421" w:rsidRDefault="003E2421" w:rsidP="007F75C7">
      <w:pPr>
        <w:tabs>
          <w:tab w:val="left" w:pos="851"/>
        </w:tabs>
        <w:ind w:left="567"/>
        <w:jc w:val="both"/>
      </w:pPr>
      <w:r>
        <w:t>-</w:t>
      </w:r>
      <w:r>
        <w:tab/>
        <w:t>wonen en energie</w:t>
      </w:r>
    </w:p>
    <w:p w:rsidR="003E2421" w:rsidRDefault="003E2421" w:rsidP="007F75C7">
      <w:pPr>
        <w:tabs>
          <w:tab w:val="left" w:pos="851"/>
        </w:tabs>
        <w:ind w:left="567"/>
        <w:jc w:val="both"/>
      </w:pPr>
      <w:r>
        <w:t>-</w:t>
      </w:r>
      <w:r>
        <w:tab/>
        <w:t>mobiliteit, toegankelijkheid en veiligheid</w:t>
      </w:r>
    </w:p>
    <w:p w:rsidR="003E2421" w:rsidRDefault="003E2421" w:rsidP="007F75C7">
      <w:pPr>
        <w:tabs>
          <w:tab w:val="left" w:pos="851"/>
        </w:tabs>
        <w:ind w:left="567"/>
        <w:jc w:val="both"/>
      </w:pPr>
      <w:r>
        <w:t>-</w:t>
      </w:r>
      <w:r>
        <w:tab/>
        <w:t>cultuur, verenigingsleven, levenslang leren, toerisme en media.</w:t>
      </w:r>
    </w:p>
    <w:p w:rsidR="003E2421" w:rsidRDefault="003E2421" w:rsidP="007F75C7">
      <w:pPr>
        <w:tabs>
          <w:tab w:val="left" w:pos="851"/>
        </w:tabs>
        <w:ind w:left="567"/>
        <w:jc w:val="both"/>
      </w:pPr>
    </w:p>
    <w:p w:rsidR="003E2421" w:rsidRDefault="003E2421" w:rsidP="006B0D0E">
      <w:pPr>
        <w:tabs>
          <w:tab w:val="left" w:pos="709"/>
        </w:tabs>
        <w:ind w:left="360"/>
        <w:jc w:val="both"/>
      </w:pPr>
      <w:r>
        <w:t>De monitoring van de doelstellingen en acties uit het ouderenbeleidsplan 2010-2014 zal opgenomen worden door een werkgroep van aandachtsambtenaren inzake ouderen. Jaarlijks rapporteert deze werkgroep in het najaar over de voortgang van het plan en wordt de interkabinettenwerkgroep ouderenbeleidsplan hierover geïnformeerd of, indien nodig, hiervoor samengeroepen.</w:t>
      </w:r>
    </w:p>
    <w:p w:rsidR="003E2421" w:rsidRDefault="003E2421" w:rsidP="007F75C7">
      <w:pPr>
        <w:tabs>
          <w:tab w:val="left" w:pos="709"/>
        </w:tabs>
        <w:ind w:left="567"/>
        <w:jc w:val="both"/>
      </w:pPr>
    </w:p>
    <w:p w:rsidR="003E2421" w:rsidRDefault="003E2421" w:rsidP="006B0D0E">
      <w:pPr>
        <w:tabs>
          <w:tab w:val="left" w:pos="709"/>
        </w:tabs>
        <w:ind w:left="360"/>
        <w:jc w:val="both"/>
      </w:pPr>
      <w:r>
        <w:t>In 2014 is een globale evaluatie van het Vlaams ouderenbeleidsplan 2010-2014 voorzien, wat op haar beurt voeding zal geven aan het volgende Vlaams ouderenbeleidsplan.</w:t>
      </w:r>
    </w:p>
    <w:p w:rsidR="003E2421" w:rsidRDefault="003E2421" w:rsidP="007F75C7">
      <w:pPr>
        <w:tabs>
          <w:tab w:val="left" w:pos="709"/>
        </w:tabs>
        <w:ind w:left="567"/>
        <w:jc w:val="both"/>
      </w:pPr>
    </w:p>
    <w:p w:rsidR="003E2421" w:rsidRDefault="003E2421" w:rsidP="006B0D0E">
      <w:pPr>
        <w:tabs>
          <w:tab w:val="left" w:pos="709"/>
        </w:tabs>
        <w:ind w:left="360"/>
        <w:jc w:val="both"/>
      </w:pPr>
      <w:r>
        <w:t xml:space="preserve">Voor het Vlaams beleid m.b.t. de </w:t>
      </w:r>
      <w:r>
        <w:rPr>
          <w:i/>
        </w:rPr>
        <w:t>ondersteuning van personen met een handicap</w:t>
      </w:r>
      <w:r>
        <w:t xml:space="preserve"> werd in de aanloop van de Vlaamse verkiezingen in 2009 een uitgebreide meerjarenanalyse gemaakt door het Vlaams Agentschap voor Personen met een Handicap (VAPH). Hierin worden de belangrijke evoluties weergegeven m.b.t. de ondersteuning voor personen met een handicap in de periode 2004-2009. Tevens wordt ook een verklaring gegeven voor het feit dat het aantal geregistreerde wachtenden blijft groeien ondanks de investeringen die in deze sector gedaan werden. In de meerjarenanalyse wordt ook vooruitgekeken naar de periode 2009-2014. Hier wordt onder andere een verdere aangroei voorzien van het aantal personen met een handicap dat een beroep zal wensen te doen op VAPH-ondersteuning. Dit heeft onder andere te maken met de stijgende levensverwachting van personen met een handicap, met de beperkte uitstroom uit de VAPH-voorzieningen, …</w:t>
      </w:r>
    </w:p>
    <w:p w:rsidR="003E2421" w:rsidRDefault="003E2421" w:rsidP="007F75C7">
      <w:pPr>
        <w:tabs>
          <w:tab w:val="left" w:pos="709"/>
        </w:tabs>
        <w:ind w:left="567"/>
        <w:jc w:val="both"/>
      </w:pPr>
    </w:p>
    <w:p w:rsidR="003E2421" w:rsidRDefault="003E2421" w:rsidP="006B0D0E">
      <w:pPr>
        <w:tabs>
          <w:tab w:val="left" w:pos="709"/>
        </w:tabs>
        <w:ind w:left="360"/>
        <w:jc w:val="both"/>
      </w:pPr>
      <w:r>
        <w:t>In juli 2010 stelde ik mijn beleidsnota ‘Perspectief 2020’ voor m.b.t. de toekomstige ondersteuning voor personen met een handicap. Hierin worden de lijnen uitgezet voor het toekomstig beleid. Naast belangrijke inhoudelijke beleidskeuzes, die zullen leiden tot een grondige zorgvernieuwing op basis van het zogenaamde burgerschapsparadigma en inclusief samenlevingsmodel, bevat de perspectiefnota ook de intentie om bijkomende investeringen te realiseren en zo tegemoet te komen aan het tekort aan opvang en ondersteuning en aan de te verwachten groei aan zorgvragen. Hiertoe worden in 2011 bijkomende middelen in de VAPH-sector geïnvesteerd en zal voor de jaren 2012-2014 een concrete meerjarenplanning uitgewerkt worden in overleg met de betrokken actoren in de sector.</w:t>
      </w:r>
    </w:p>
    <w:p w:rsidR="003E2421" w:rsidRDefault="003E2421" w:rsidP="007F75C7">
      <w:pPr>
        <w:tabs>
          <w:tab w:val="left" w:pos="709"/>
        </w:tabs>
        <w:ind w:left="567" w:hanging="567"/>
        <w:jc w:val="both"/>
      </w:pPr>
    </w:p>
    <w:p w:rsidR="003E2421" w:rsidRDefault="003E2421" w:rsidP="006B0D0E">
      <w:pPr>
        <w:pStyle w:val="ListParagraph"/>
        <w:numPr>
          <w:ilvl w:val="0"/>
          <w:numId w:val="12"/>
        </w:numPr>
        <w:tabs>
          <w:tab w:val="left" w:pos="709"/>
        </w:tabs>
        <w:jc w:val="both"/>
      </w:pPr>
      <w:r>
        <w:t>Er wordt binnen het beleidsdomein WVG bij de verwerking en analyse van gegevens, die in het kader van de recurrente opdrachten worden verzameld, systematisch aandacht besteed aan de gevolgen van de verwachte demografische ontwikkelingen op het vlak van gezondheid en welzijn.</w:t>
      </w:r>
    </w:p>
    <w:p w:rsidR="003E2421" w:rsidRDefault="003E2421" w:rsidP="007F75C7">
      <w:pPr>
        <w:tabs>
          <w:tab w:val="left" w:pos="709"/>
        </w:tabs>
        <w:ind w:left="567"/>
        <w:jc w:val="both"/>
      </w:pPr>
    </w:p>
    <w:p w:rsidR="003E2421" w:rsidRDefault="003E2421" w:rsidP="006B0D0E">
      <w:pPr>
        <w:tabs>
          <w:tab w:val="left" w:pos="709"/>
        </w:tabs>
        <w:ind w:left="360"/>
        <w:jc w:val="both"/>
      </w:pPr>
      <w:r>
        <w:t>Er is de jaarlijkse analyse van sterfte- en geboortecijfers: epidemiologie van sterfte, doodsoorzaken en geboorten in Vlaanderen met de opvolging van bepaalde gezondheids-doelstellingen. De gegevens worden jaarlijks gepubliceerd op de website (</w:t>
      </w:r>
      <w:hyperlink r:id="rId7" w:history="1">
        <w:r w:rsidRPr="002041D7">
          <w:rPr>
            <w:rStyle w:val="Hyperlink"/>
          </w:rPr>
          <w:t>http://www.zorg-en-gezondheid.be/Cijfers/Cijfers-over-sterfte/</w:t>
        </w:r>
      </w:hyperlink>
      <w:r>
        <w:t>) en gedeeltelijk in VRIND.</w:t>
      </w:r>
    </w:p>
    <w:p w:rsidR="003E2421" w:rsidRDefault="003E2421" w:rsidP="007F75C7">
      <w:pPr>
        <w:tabs>
          <w:tab w:val="left" w:pos="709"/>
        </w:tabs>
        <w:ind w:left="567"/>
        <w:jc w:val="both"/>
      </w:pPr>
    </w:p>
    <w:p w:rsidR="003E2421" w:rsidRDefault="003E2421" w:rsidP="006B0D0E">
      <w:pPr>
        <w:tabs>
          <w:tab w:val="left" w:pos="709"/>
        </w:tabs>
        <w:ind w:left="360"/>
        <w:jc w:val="both"/>
      </w:pPr>
      <w:r>
        <w:t>Ook wordt gevraagd om in onderzoeken of enquêtes die met middelen van de Vlaamse overheid worden georganiseerd, extra analyses te doen naar de problematiek van de demografische ontwikkelingen.</w:t>
      </w:r>
    </w:p>
    <w:p w:rsidR="003E2421" w:rsidRDefault="003E2421" w:rsidP="006B0D0E">
      <w:pPr>
        <w:tabs>
          <w:tab w:val="left" w:pos="709"/>
        </w:tabs>
        <w:ind w:left="360"/>
        <w:jc w:val="both"/>
      </w:pPr>
      <w:r>
        <w:t>Zo werd op basis van de Gezondheidsenquête een inschatting gemaakt van de evolutie van 'het langdurig, ernstig verminderd zelfzorgvermogen' volgens de Gezondheidsenquête van het Wetenschappelijk Instituut Volksgezondheid (WIV).</w:t>
      </w:r>
    </w:p>
    <w:p w:rsidR="003E2421" w:rsidRDefault="003E2421" w:rsidP="007F75C7">
      <w:pPr>
        <w:tabs>
          <w:tab w:val="left" w:pos="709"/>
        </w:tabs>
        <w:ind w:left="567"/>
        <w:jc w:val="both"/>
      </w:pPr>
    </w:p>
    <w:p w:rsidR="003E2421" w:rsidRDefault="003E2421" w:rsidP="006B0D0E">
      <w:pPr>
        <w:tabs>
          <w:tab w:val="left" w:pos="709"/>
        </w:tabs>
        <w:ind w:left="360"/>
        <w:jc w:val="both"/>
      </w:pPr>
      <w:r>
        <w:t>Er werd aan het WIV gevraagd om eveneens op basis van data van de Gezondheidsenquête voor Vlaanderen gezondheidsverwachtingsindicatoren te bepalen en de levensverwachting in goede gezondheid.</w:t>
      </w:r>
    </w:p>
    <w:p w:rsidR="003E2421" w:rsidRDefault="003E2421" w:rsidP="006B0D0E">
      <w:pPr>
        <w:tabs>
          <w:tab w:val="left" w:pos="709"/>
        </w:tabs>
        <w:ind w:left="360"/>
        <w:jc w:val="both"/>
      </w:pPr>
      <w:r>
        <w:t>Deze opdracht werd uitgebreid met een onderzoek naar de relatie met de socio-economische status.</w:t>
      </w:r>
    </w:p>
    <w:p w:rsidR="003E2421" w:rsidRDefault="003E2421" w:rsidP="007F75C7">
      <w:pPr>
        <w:tabs>
          <w:tab w:val="left" w:pos="709"/>
        </w:tabs>
        <w:ind w:left="567"/>
        <w:jc w:val="both"/>
      </w:pPr>
    </w:p>
    <w:p w:rsidR="003E2421" w:rsidRDefault="003E2421" w:rsidP="006B0D0E">
      <w:pPr>
        <w:tabs>
          <w:tab w:val="left" w:pos="709"/>
        </w:tabs>
        <w:ind w:left="360"/>
        <w:jc w:val="both"/>
      </w:pPr>
      <w:r>
        <w:t>Kind en Gezin heeft thans geen apart onderzoek lopen over de gevolgen van de demografische evoluties. Wel volgt Kind en Gezin de evolutie van het aantal geboorten van zeer nabij op, aan de hand van de databank Mirage (voorheen Ikaros). De resultaten van deze constante monitoring liggen mee aan de basis van de uitbreidingen in de kinderopvang en worden ook gebruikt voor de contingentberekening van de veldmedewerkers in de preventieve gezins-ondersteuning.</w:t>
      </w:r>
    </w:p>
    <w:p w:rsidR="003E2421" w:rsidRDefault="003E2421" w:rsidP="007F75C7">
      <w:pPr>
        <w:tabs>
          <w:tab w:val="left" w:pos="709"/>
        </w:tabs>
        <w:ind w:left="567"/>
        <w:jc w:val="both"/>
      </w:pPr>
    </w:p>
    <w:p w:rsidR="003E2421" w:rsidRDefault="003E2421" w:rsidP="006B0D0E">
      <w:pPr>
        <w:pStyle w:val="ListParagraph"/>
        <w:tabs>
          <w:tab w:val="left" w:pos="709"/>
        </w:tabs>
        <w:ind w:left="360"/>
        <w:jc w:val="both"/>
      </w:pPr>
      <w:r>
        <w:t xml:space="preserve">In het kader van het Woonzorgdecreet werd een studie uitbesteed aan de professoren Pacolet, Breda, Hedebouw en Vogels. Deze studie </w:t>
      </w:r>
      <w:r>
        <w:rPr>
          <w:i/>
        </w:rPr>
        <w:t xml:space="preserve">“Programmatie thuiszorg- en ouderenvoorzieningen” </w:t>
      </w:r>
      <w:r>
        <w:t>werd opgeleverd in januari 2010. Op dit ogenblik wordt de laatste hand gelegd aan een discussienota over de behoefte aan (woon)zorg in de toekomst in Vlaanderen.</w:t>
      </w:r>
    </w:p>
    <w:p w:rsidR="003E2421" w:rsidRDefault="003E2421" w:rsidP="006B0D0E">
      <w:pPr>
        <w:pStyle w:val="ListParagraph"/>
        <w:tabs>
          <w:tab w:val="left" w:pos="709"/>
        </w:tabs>
        <w:ind w:left="360"/>
        <w:jc w:val="both"/>
      </w:pPr>
      <w:r>
        <w:t xml:space="preserve">Een gegeven daarbij is dat een louter lineair extrapoleren van huidige gebruiksgegevens over het (woon)zorgaanbod niet volstaat om de toekomstige behoefte aan (woon)zorg in te schatten. Er dient rekening gehouden te worden met hoe het (woon)zorgaanbod zal evolueren naar aanleiding van wijzigende omgevingsfactoren, zoals de politieke beleidskeuze voor een meer inclusief beleid, het wijzigende profiel van de senior, het promoten van de vermaatschap-pelijking van de zorg en het geleidelijk aan beschikbaar komen van assistieve technologieën. Met de discussienota programmatie wordt hierover informatie verstrekt, geen standpunt ingenomen, maar wel het debat over het toekomstige aanbod aan woonzorg geopend. De discussienota programmatie baseert zich ook op de recent verschenen studie van de </w:t>
      </w:r>
      <w:r w:rsidRPr="002F2DEA">
        <w:rPr>
          <w:i/>
        </w:rPr>
        <w:t>Studiedienst van de Vlaamse Regering</w:t>
      </w:r>
      <w:r>
        <w:t xml:space="preserve"> over de projecties van de bevolking en de huishoudens voor Vlaamse steden en gemeenten, 2009-2030.</w:t>
      </w:r>
    </w:p>
    <w:p w:rsidR="003E2421" w:rsidRPr="00D80112" w:rsidRDefault="003E2421" w:rsidP="006B0D0E">
      <w:pPr>
        <w:tabs>
          <w:tab w:val="left" w:pos="709"/>
        </w:tabs>
        <w:ind w:left="360"/>
        <w:jc w:val="both"/>
      </w:pPr>
      <w:r>
        <w:t>Uit deze studie blijkt dat h</w:t>
      </w:r>
      <w:r w:rsidRPr="00D80112">
        <w:t xml:space="preserve">et aantal 65-plussers in het Vlaams Gewest naar verwachting </w:t>
      </w:r>
      <w:r>
        <w:t xml:space="preserve">zal </w:t>
      </w:r>
      <w:r w:rsidRPr="00D80112">
        <w:t>toenemen van 1,10 miljoen in 2008 over 1,34 miljoen in 2020 naar 1,58 miljoen in 2030 (+</w:t>
      </w:r>
      <w:r>
        <w:t xml:space="preserve"> </w:t>
      </w:r>
      <w:r w:rsidRPr="00D80112">
        <w:t xml:space="preserve">44%). In alle gemeenten wordt een toename verwacht. </w:t>
      </w:r>
      <w:r>
        <w:t xml:space="preserve">In de grote steden </w:t>
      </w:r>
      <w:r w:rsidRPr="00D80112">
        <w:t>Antwerpen en Gent wordt een eerder lichte stijging verwacht.</w:t>
      </w:r>
    </w:p>
    <w:p w:rsidR="003E2421" w:rsidRPr="00D80112" w:rsidRDefault="003E2421" w:rsidP="006B0D0E">
      <w:pPr>
        <w:tabs>
          <w:tab w:val="left" w:pos="709"/>
        </w:tabs>
        <w:ind w:left="360"/>
        <w:jc w:val="both"/>
      </w:pPr>
      <w:r w:rsidRPr="00755A36">
        <w:t>In het bijzonder wordt een sterke toename van het aantal oudste ouderen (bevolking van 80 jaar en ouder) verwacht. De grootsteden Antwerpen en Gent vertonen naar verwachting een bescheiden aangroei van het aantal 80-plussers.</w:t>
      </w:r>
    </w:p>
    <w:p w:rsidR="003E2421" w:rsidRDefault="003E2421" w:rsidP="007F75C7">
      <w:pPr>
        <w:tabs>
          <w:tab w:val="left" w:pos="709"/>
        </w:tabs>
        <w:ind w:left="567" w:hanging="567"/>
        <w:jc w:val="both"/>
      </w:pPr>
    </w:p>
    <w:p w:rsidR="003E2421" w:rsidRDefault="003E2421" w:rsidP="006B0D0E">
      <w:pPr>
        <w:pStyle w:val="StandaardSV"/>
        <w:numPr>
          <w:ilvl w:val="0"/>
          <w:numId w:val="12"/>
        </w:numPr>
        <w:tabs>
          <w:tab w:val="left" w:pos="567"/>
          <w:tab w:val="left" w:pos="709"/>
        </w:tabs>
      </w:pPr>
      <w:r>
        <w:t>Er wordt thans de laatste hand gelegd aan een nota over de programmatie van woonzorg</w:t>
      </w:r>
      <w:r>
        <w:softHyphen/>
        <w:t>voorzieningen die ik over enkele maanden zal voorstellen aan de commissie.</w:t>
      </w:r>
    </w:p>
    <w:p w:rsidR="003E2421" w:rsidRDefault="003E2421" w:rsidP="007F75C7">
      <w:pPr>
        <w:tabs>
          <w:tab w:val="left" w:pos="709"/>
        </w:tabs>
        <w:rPr>
          <w:lang w:val="nl-BE"/>
        </w:rPr>
      </w:pPr>
    </w:p>
    <w:p w:rsidR="003E2421" w:rsidRDefault="003E2421" w:rsidP="007F75C7">
      <w:pPr>
        <w:tabs>
          <w:tab w:val="left" w:pos="709"/>
        </w:tabs>
        <w:rPr>
          <w:lang w:val="nl-BE"/>
        </w:rPr>
      </w:pPr>
    </w:p>
    <w:p w:rsidR="003E2421" w:rsidRPr="0070247D" w:rsidRDefault="003E2421" w:rsidP="00012446">
      <w:pPr>
        <w:pStyle w:val="StandaardSV"/>
        <w:tabs>
          <w:tab w:val="center" w:pos="4253"/>
          <w:tab w:val="right" w:pos="8278"/>
        </w:tabs>
        <w:rPr>
          <w:b/>
          <w:i/>
          <w:spacing w:val="-3"/>
        </w:rPr>
      </w:pPr>
      <w:r w:rsidRPr="0070247D">
        <w:rPr>
          <w:b/>
          <w:i/>
          <w:spacing w:val="-3"/>
        </w:rPr>
        <w:t>Vlaams minister Hilde Crevits</w:t>
      </w:r>
    </w:p>
    <w:p w:rsidR="003E2421" w:rsidRPr="0070247D" w:rsidRDefault="003E2421" w:rsidP="00012446">
      <w:pPr>
        <w:pStyle w:val="StandaardSV"/>
        <w:tabs>
          <w:tab w:val="center" w:pos="4253"/>
          <w:tab w:val="right" w:pos="8278"/>
        </w:tabs>
        <w:rPr>
          <w:spacing w:val="-3"/>
        </w:rPr>
      </w:pPr>
    </w:p>
    <w:p w:rsidR="003E2421" w:rsidRPr="009D0587" w:rsidRDefault="003E2421" w:rsidP="006B0D0E">
      <w:pPr>
        <w:pStyle w:val="StandaardSV"/>
        <w:numPr>
          <w:ilvl w:val="0"/>
          <w:numId w:val="13"/>
        </w:numPr>
        <w:tabs>
          <w:tab w:val="left" w:pos="567"/>
        </w:tabs>
      </w:pPr>
      <w:r w:rsidRPr="009D0587">
        <w:t>De impact van demografische wijzigingen op de uitbouw en de werking van het mobiliteitssysteem wordt onderzocht in het in opmaak zijnde Mobiliteitsplan Vlaanderen. Zo wordt bij het uitwerken van prognoses en scenario’s (toekomstverkenningen) uitgegaan van de recentste demografische vooruitzichten voor Vlaanderen voor de komende decennia. Hierbij werd uitgegaan van de bevolkingsprognoses van het Federaal Planbureau die op regelmatige basis worden geactualiseerd.</w:t>
      </w:r>
    </w:p>
    <w:p w:rsidR="003E2421" w:rsidRPr="00044B4F" w:rsidRDefault="003E2421" w:rsidP="006B0D0E">
      <w:pPr>
        <w:pStyle w:val="StandaardSV"/>
        <w:tabs>
          <w:tab w:val="left" w:pos="360"/>
        </w:tabs>
        <w:ind w:left="360"/>
        <w:rPr>
          <w:iCs/>
          <w:szCs w:val="22"/>
        </w:rPr>
      </w:pPr>
      <w:r w:rsidRPr="00044B4F">
        <w:rPr>
          <w:iCs/>
          <w:szCs w:val="22"/>
        </w:rPr>
        <w:t>Recent werden deze prognoses aangevuld met de prognoses van de Studiedienst van de Vlaamse regering voor 2030. De Studiedienst van de Vlaamse regering is lid van de gewestelijke planningscommissie die de opmaak van het Mobiliteitsplan Vlaanderen voorbereidt. De ontwerpteksten van het informatieve deel van het Mobiliteitsplan zijn inmiddels aangepast aan deze recente cijfers. Bij de verdere uitwerking van het Mobiliteitsplan (beleidsplan) zal uiteraard met deze problematiek rekening worden gehouden.</w:t>
      </w:r>
    </w:p>
    <w:p w:rsidR="003E2421" w:rsidRDefault="003E2421" w:rsidP="00742ACF">
      <w:pPr>
        <w:tabs>
          <w:tab w:val="num" w:pos="567"/>
        </w:tabs>
        <w:autoSpaceDE w:val="0"/>
        <w:autoSpaceDN w:val="0"/>
        <w:adjustRightInd w:val="0"/>
        <w:ind w:left="567" w:hanging="567"/>
        <w:jc w:val="both"/>
        <w:rPr>
          <w:iCs/>
          <w:szCs w:val="22"/>
        </w:rPr>
      </w:pPr>
    </w:p>
    <w:p w:rsidR="003E2421" w:rsidRDefault="003E2421" w:rsidP="006B0D0E">
      <w:pPr>
        <w:tabs>
          <w:tab w:val="num" w:pos="360"/>
        </w:tabs>
        <w:autoSpaceDE w:val="0"/>
        <w:autoSpaceDN w:val="0"/>
        <w:adjustRightInd w:val="0"/>
        <w:ind w:left="360"/>
        <w:jc w:val="both"/>
        <w:rPr>
          <w:iCs/>
          <w:szCs w:val="22"/>
        </w:rPr>
      </w:pPr>
      <w:r>
        <w:rPr>
          <w:iCs/>
          <w:szCs w:val="22"/>
        </w:rPr>
        <w:t xml:space="preserve">Inzake openbaar vervoer worden, in </w:t>
      </w:r>
      <w:r w:rsidRPr="000C0C7F">
        <w:rPr>
          <w:iCs/>
          <w:szCs w:val="22"/>
        </w:rPr>
        <w:t>overeen</w:t>
      </w:r>
      <w:r>
        <w:rPr>
          <w:iCs/>
          <w:szCs w:val="22"/>
        </w:rPr>
        <w:t xml:space="preserve">stemming </w:t>
      </w:r>
      <w:r w:rsidRPr="000C0C7F">
        <w:rPr>
          <w:iCs/>
          <w:szCs w:val="22"/>
        </w:rPr>
        <w:t>met het regeerakkoord en de doelstellingen van het Pact 2020</w:t>
      </w:r>
      <w:r>
        <w:rPr>
          <w:iCs/>
          <w:szCs w:val="22"/>
        </w:rPr>
        <w:t>,</w:t>
      </w:r>
      <w:r w:rsidRPr="000C0C7F">
        <w:rPr>
          <w:iCs/>
          <w:szCs w:val="22"/>
        </w:rPr>
        <w:t xml:space="preserve"> in Vlaanderen de nodige accenten gelegd op het vraagvolgende karakter van de verdere netuitbouw</w:t>
      </w:r>
      <w:r>
        <w:rPr>
          <w:iCs/>
          <w:szCs w:val="22"/>
        </w:rPr>
        <w:t xml:space="preserve"> van het geregeld stads- en streekvervoer</w:t>
      </w:r>
      <w:r w:rsidRPr="000C0C7F">
        <w:rPr>
          <w:iCs/>
          <w:szCs w:val="22"/>
        </w:rPr>
        <w:t>.</w:t>
      </w:r>
      <w:r>
        <w:rPr>
          <w:iCs/>
          <w:szCs w:val="22"/>
        </w:rPr>
        <w:t xml:space="preserve"> Ik verwijs hiervoor naar de door de Vlaamse Regering goedgekeurde beheersovereenkomst 2011-2015 van De Lijn en de besprekingen in de Commissie voor Mobiliteit en Openbare Werken van 13 januari 2011 (</w:t>
      </w:r>
      <w:r w:rsidRPr="008973D9">
        <w:rPr>
          <w:iCs/>
          <w:szCs w:val="22"/>
        </w:rPr>
        <w:t>Stuk 878 (2010-2011) - Nr 1)</w:t>
      </w:r>
      <w:r>
        <w:rPr>
          <w:iCs/>
          <w:szCs w:val="22"/>
        </w:rPr>
        <w:t>.</w:t>
      </w:r>
    </w:p>
    <w:p w:rsidR="003E2421" w:rsidRDefault="003E2421" w:rsidP="00742ACF">
      <w:pPr>
        <w:tabs>
          <w:tab w:val="num" w:pos="567"/>
        </w:tabs>
        <w:autoSpaceDE w:val="0"/>
        <w:autoSpaceDN w:val="0"/>
        <w:adjustRightInd w:val="0"/>
        <w:ind w:left="567" w:hanging="567"/>
        <w:rPr>
          <w:iCs/>
          <w:szCs w:val="22"/>
        </w:rPr>
      </w:pPr>
    </w:p>
    <w:p w:rsidR="003E2421" w:rsidRPr="009D0587" w:rsidRDefault="003E2421" w:rsidP="006B0D0E">
      <w:pPr>
        <w:pStyle w:val="StandaardSV"/>
        <w:numPr>
          <w:ilvl w:val="0"/>
          <w:numId w:val="13"/>
        </w:numPr>
        <w:tabs>
          <w:tab w:val="left" w:pos="567"/>
        </w:tabs>
      </w:pPr>
      <w:r w:rsidRPr="009D0587">
        <w:t>Binnen het in opmaak zijnde Mobiliteitsplan Vlaanderen komen de te verwachten demografische ontwikkelingen aan bod. In het kader van deze planning zullen concrete doelstellingen worden gehanteerd en zullen de gepaste maatregelen worden ontwikkeld</w:t>
      </w:r>
      <w:r>
        <w:t>,</w:t>
      </w:r>
      <w:r w:rsidRPr="009D0587">
        <w:t xml:space="preserve"> waarbij specifiek aandacht zal uitgaan naar de situatie in de steden.</w:t>
      </w:r>
    </w:p>
    <w:p w:rsidR="003E2421" w:rsidRDefault="003E2421" w:rsidP="00742ACF">
      <w:pPr>
        <w:pStyle w:val="StandaardSV"/>
        <w:tabs>
          <w:tab w:val="num" w:pos="567"/>
        </w:tabs>
        <w:ind w:left="567" w:hanging="567"/>
      </w:pPr>
    </w:p>
    <w:p w:rsidR="003E2421" w:rsidRPr="009D0587" w:rsidRDefault="003E2421" w:rsidP="006B0D0E">
      <w:pPr>
        <w:pStyle w:val="StandaardSV"/>
        <w:numPr>
          <w:ilvl w:val="0"/>
          <w:numId w:val="13"/>
        </w:numPr>
        <w:tabs>
          <w:tab w:val="left" w:pos="567"/>
        </w:tabs>
      </w:pPr>
      <w:r w:rsidRPr="009D0587">
        <w:t>Hierover zal in de bevoegde commissie van het Vlaams Parlement worden gerapporteerd bij de bespreking van het ontwerp</w:t>
      </w:r>
      <w:r>
        <w:t>-</w:t>
      </w:r>
      <w:r w:rsidRPr="009D0587">
        <w:t>Mobiliteitsplan Vlaanderen.</w:t>
      </w:r>
    </w:p>
    <w:p w:rsidR="003E2421" w:rsidRDefault="003E2421" w:rsidP="00742ACF">
      <w:pPr>
        <w:tabs>
          <w:tab w:val="num" w:pos="567"/>
        </w:tabs>
        <w:ind w:left="567" w:hanging="567"/>
        <w:rPr>
          <w:szCs w:val="22"/>
          <w:u w:val="single"/>
        </w:rPr>
      </w:pPr>
    </w:p>
    <w:p w:rsidR="003E2421" w:rsidRDefault="003E2421" w:rsidP="00012446">
      <w:pPr>
        <w:pStyle w:val="StandaardSV"/>
        <w:tabs>
          <w:tab w:val="center" w:pos="4253"/>
          <w:tab w:val="right" w:pos="8278"/>
        </w:tabs>
        <w:rPr>
          <w:spacing w:val="-3"/>
        </w:rPr>
      </w:pPr>
    </w:p>
    <w:p w:rsidR="003E2421" w:rsidRPr="002F1E81" w:rsidRDefault="003E2421" w:rsidP="00012446">
      <w:pPr>
        <w:pStyle w:val="StandaardSV"/>
        <w:tabs>
          <w:tab w:val="center" w:pos="4253"/>
          <w:tab w:val="right" w:pos="8278"/>
        </w:tabs>
        <w:rPr>
          <w:b/>
          <w:i/>
          <w:spacing w:val="-3"/>
        </w:rPr>
      </w:pPr>
      <w:r w:rsidRPr="002F1E81">
        <w:rPr>
          <w:b/>
          <w:i/>
          <w:spacing w:val="-3"/>
        </w:rPr>
        <w:t xml:space="preserve">Vlaams minister Freya Van den Bossche </w:t>
      </w:r>
    </w:p>
    <w:p w:rsidR="003E2421" w:rsidRPr="006F0959" w:rsidRDefault="003E2421" w:rsidP="00FD5BF4">
      <w:pPr>
        <w:rPr>
          <w:lang w:val="nl-BE"/>
        </w:rPr>
      </w:pPr>
    </w:p>
    <w:p w:rsidR="003E2421" w:rsidRPr="006F0959" w:rsidRDefault="003E2421" w:rsidP="00FD5BF4">
      <w:pPr>
        <w:rPr>
          <w:i/>
          <w:u w:val="single"/>
          <w:lang w:val="nl-BE"/>
        </w:rPr>
      </w:pPr>
      <w:r w:rsidRPr="006F0959">
        <w:rPr>
          <w:i/>
          <w:u w:val="single"/>
          <w:lang w:val="nl-BE"/>
        </w:rPr>
        <w:t>Wonen</w:t>
      </w:r>
    </w:p>
    <w:p w:rsidR="003E2421" w:rsidRPr="006F0959" w:rsidRDefault="003E2421" w:rsidP="00FD5BF4">
      <w:pPr>
        <w:rPr>
          <w:lang w:val="nl-BE"/>
        </w:rPr>
      </w:pPr>
    </w:p>
    <w:p w:rsidR="003E2421" w:rsidRPr="006F0959" w:rsidRDefault="003E2421" w:rsidP="006B0D0E">
      <w:pPr>
        <w:numPr>
          <w:ilvl w:val="0"/>
          <w:numId w:val="14"/>
        </w:numPr>
        <w:jc w:val="both"/>
      </w:pPr>
      <w:r w:rsidRPr="006F0959">
        <w:t>De impact van demografische ontwikkelingen op wonen en woonbeleid is vanzelfsprekend een belangrijk thema. Dit thema werd dan ook opgenomen binnen de onderzoeksopdracht van het Steunpunt Ruimte en Wonen (2007-2011), luik 'wonen'. Meer specifiek is de impact van demografische ontwikkelingen een belangrijke (zelfs cruciale) factor bij de ontwikkeling van zowel het Vlaamse, als het regionale woningmarktmodel.</w:t>
      </w:r>
    </w:p>
    <w:p w:rsidR="003E2421" w:rsidRPr="006F0959" w:rsidRDefault="003E2421" w:rsidP="00742ACF">
      <w:pPr>
        <w:tabs>
          <w:tab w:val="num" w:pos="567"/>
        </w:tabs>
        <w:ind w:left="567" w:hanging="567"/>
        <w:jc w:val="both"/>
      </w:pPr>
    </w:p>
    <w:p w:rsidR="003E2421" w:rsidRPr="006F0959" w:rsidRDefault="003E2421" w:rsidP="006B0D0E">
      <w:pPr>
        <w:numPr>
          <w:ilvl w:val="0"/>
          <w:numId w:val="14"/>
        </w:numPr>
        <w:jc w:val="both"/>
      </w:pPr>
      <w:r w:rsidRPr="006F0959">
        <w:t>Het Vlaamse woningmarktmodel, dat ontwikkeld werd binnen het Steunpunt Ruimte en Wonen, maakt een onderbouwde schatting van de toekomstige woningbehoefte in Vlaanderen. Met een beeld hierover kunnen we ook een inschatting maken van de toekomstige ruimtebehoefte voor wonen. Vanzelfsprekend hebben demografische evoluties (en dan vooral evoluties in huishoudens) een belangrijke invloed op deze toekomstige woningbehoefte.</w:t>
      </w:r>
    </w:p>
    <w:p w:rsidR="003E2421" w:rsidRPr="006F0959" w:rsidRDefault="003E2421" w:rsidP="006B0D0E">
      <w:pPr>
        <w:ind w:left="360"/>
        <w:jc w:val="both"/>
      </w:pPr>
      <w:r w:rsidRPr="006F0959">
        <w:t>Huishoudensprognoses, en ook andere (economische) elementen, zijn dan ook opgenomen als variabelen van het model. De relaties tussen de verschillende variabelen worden bepaald in het model en kunnen niet zomaar gewijzigd worden. De input voor het model kan daarentegen wel telkens aangepast worden aan de meest recente cijfers en bevindingen. Zo is het mogelijk om het model te laten lopen met de meest recente huishoudensprognoses om het effect hiervan op de toekomstige woningbehoefte na te gaan. Op deze manier kunnen onder andere ook de prognoses van het Federaal Planbureau ingegeven worden in het Vlaams woningmarktmodel.</w:t>
      </w:r>
    </w:p>
    <w:p w:rsidR="003E2421" w:rsidRPr="006F0959" w:rsidRDefault="003E2421" w:rsidP="006B0D0E">
      <w:pPr>
        <w:tabs>
          <w:tab w:val="num" w:pos="360"/>
        </w:tabs>
        <w:ind w:left="360"/>
        <w:jc w:val="both"/>
      </w:pPr>
      <w:r w:rsidRPr="006F0959">
        <w:t>Het Vlaamse woningmarktmodel geeft een inschatting van het aantal woningen waaraan nood zal zijn in de toekomst. Dit geeft echter nog geen inzicht in welke types woningen nodig zijn en waar deze woningen moeten gelegen zijn. Om ook hier meer zicht op te krijgen zijn de onderzoekers van het Steunpunt ook gestart met de ontwikkeling van een regionaal woningmarktmodel. Dit model zal als instrument dienen om in te zoomen op de demografische impact op de woningbehoefte per gemeente (met differentiaties naar woningtypologie). Op deze manier kan specifiek gekeken worden naar de toekomstige woningbehoefte in de steden. Net zoals het Vlaams woningmarktmodel, biedt het regionaal woningmarktmodel de mogelijkheid om scenario’s te ontwikkelen met verschillende regionale huishoudensprognoses. Maar op dit ogenblik bestaan in Vlaanderen op het niveau van de gemeente enkel de huishoudensprognoses die zijn opgesteld door de Studiedienst van de Vlaamse Regering. De prognoses van het Federaal Planbureau worden tot op het niveau van het gewest opgemaakt, en zijn dus voorlopig niet bruikbaar in het regionaal woningmarktmodel.</w:t>
      </w:r>
    </w:p>
    <w:p w:rsidR="003E2421" w:rsidRPr="006F0959" w:rsidRDefault="003E2421" w:rsidP="006B0D0E">
      <w:pPr>
        <w:tabs>
          <w:tab w:val="num" w:pos="360"/>
        </w:tabs>
        <w:ind w:left="360"/>
        <w:jc w:val="both"/>
      </w:pPr>
      <w:r w:rsidRPr="006F0959">
        <w:t>Momenteel zijn zowel het Vlaamse als het regionale woningmarktmodel nog niet gefinaliseerd. Onderzoeksresultaten voor beide studies worden in de loop van 2011 verwacht.</w:t>
      </w:r>
    </w:p>
    <w:p w:rsidR="003E2421" w:rsidRPr="006F0959" w:rsidRDefault="003E2421" w:rsidP="00742ACF">
      <w:pPr>
        <w:tabs>
          <w:tab w:val="num" w:pos="567"/>
        </w:tabs>
        <w:ind w:left="567" w:hanging="567"/>
        <w:jc w:val="both"/>
      </w:pPr>
    </w:p>
    <w:p w:rsidR="003E2421" w:rsidRPr="006F0959" w:rsidRDefault="003E2421" w:rsidP="006B0D0E">
      <w:pPr>
        <w:numPr>
          <w:ilvl w:val="0"/>
          <w:numId w:val="14"/>
        </w:numPr>
        <w:jc w:val="both"/>
      </w:pPr>
      <w:r w:rsidRPr="006F0959">
        <w:t>Over beide onderzoeken is momenteel geen rapportering aan de commissie gepland.</w:t>
      </w:r>
    </w:p>
    <w:p w:rsidR="003E2421" w:rsidRDefault="003E2421" w:rsidP="00742ACF">
      <w:pPr>
        <w:tabs>
          <w:tab w:val="num" w:pos="567"/>
        </w:tabs>
        <w:ind w:left="567" w:hanging="567"/>
        <w:rPr>
          <w:lang w:val="nl-BE"/>
        </w:rPr>
      </w:pPr>
    </w:p>
    <w:p w:rsidR="003E2421" w:rsidRPr="002F1E81" w:rsidRDefault="003E2421" w:rsidP="00742ACF">
      <w:pPr>
        <w:rPr>
          <w:lang w:val="nl-BE"/>
        </w:rPr>
      </w:pPr>
    </w:p>
    <w:p w:rsidR="003E2421" w:rsidRPr="002F1E81" w:rsidRDefault="003E2421" w:rsidP="00742ACF">
      <w:pPr>
        <w:rPr>
          <w:i/>
          <w:u w:val="single"/>
          <w:lang w:val="nl-BE"/>
        </w:rPr>
      </w:pPr>
      <w:r w:rsidRPr="002F1E81">
        <w:rPr>
          <w:i/>
          <w:u w:val="single"/>
          <w:lang w:val="nl-BE"/>
        </w:rPr>
        <w:t>Stedenbeleid</w:t>
      </w:r>
    </w:p>
    <w:p w:rsidR="003E2421" w:rsidRDefault="003E2421" w:rsidP="00AA71C0">
      <w:pPr>
        <w:jc w:val="both"/>
        <w:rPr>
          <w:lang w:val="nl-BE"/>
        </w:rPr>
      </w:pPr>
    </w:p>
    <w:p w:rsidR="003E2421" w:rsidRDefault="003E2421" w:rsidP="006B0D0E">
      <w:pPr>
        <w:pStyle w:val="StandaardSV"/>
        <w:numPr>
          <w:ilvl w:val="0"/>
          <w:numId w:val="18"/>
        </w:numPr>
      </w:pPr>
      <w:r>
        <w:t>Samen met de Studiedienst van de Vlaamse Regering, mijn administratie, het Kenniscentrum Vlaamse Steden, en de studiediensten van de steden is in 2010 een traject opgezet om met bevolkings- en huishoudensprognoses om te gaan.</w:t>
      </w:r>
    </w:p>
    <w:p w:rsidR="003E2421" w:rsidRDefault="003E2421" w:rsidP="00AA71C0">
      <w:pPr>
        <w:pStyle w:val="StandaardSV"/>
        <w:ind w:left="567"/>
      </w:pPr>
    </w:p>
    <w:p w:rsidR="003E2421" w:rsidRDefault="003E2421" w:rsidP="006B0D0E">
      <w:pPr>
        <w:tabs>
          <w:tab w:val="left" w:pos="567"/>
        </w:tabs>
        <w:ind w:firstLine="360"/>
        <w:jc w:val="both"/>
        <w:rPr>
          <w:szCs w:val="22"/>
        </w:rPr>
      </w:pPr>
      <w:r w:rsidRPr="00B85DEE">
        <w:rPr>
          <w:szCs w:val="22"/>
        </w:rPr>
        <w:t xml:space="preserve">Voor het stedenbeleid zijn diverse aspecten binnen dit </w:t>
      </w:r>
      <w:r>
        <w:rPr>
          <w:szCs w:val="22"/>
        </w:rPr>
        <w:t>traject belangrijk.</w:t>
      </w:r>
    </w:p>
    <w:p w:rsidR="003E2421" w:rsidRDefault="003E2421" w:rsidP="006B0D0E">
      <w:pPr>
        <w:tabs>
          <w:tab w:val="left" w:pos="567"/>
        </w:tabs>
        <w:ind w:left="925" w:hanging="565"/>
        <w:jc w:val="both"/>
        <w:rPr>
          <w:szCs w:val="22"/>
        </w:rPr>
      </w:pPr>
      <w:r>
        <w:rPr>
          <w:szCs w:val="22"/>
        </w:rPr>
        <w:t>(1)</w:t>
      </w:r>
      <w:r>
        <w:rPr>
          <w:szCs w:val="22"/>
        </w:rPr>
        <w:tab/>
      </w:r>
      <w:r w:rsidRPr="00B85DEE">
        <w:rPr>
          <w:szCs w:val="22"/>
        </w:rPr>
        <w:t>Bevolkings</w:t>
      </w:r>
      <w:r>
        <w:rPr>
          <w:szCs w:val="22"/>
        </w:rPr>
        <w:t>- en huishoudens</w:t>
      </w:r>
      <w:r w:rsidRPr="00B85DEE">
        <w:rPr>
          <w:szCs w:val="22"/>
        </w:rPr>
        <w:t xml:space="preserve">prognoses </w:t>
      </w:r>
      <w:r>
        <w:rPr>
          <w:szCs w:val="22"/>
        </w:rPr>
        <w:t>2009-2030</w:t>
      </w:r>
      <w:r w:rsidRPr="00B85DEE">
        <w:rPr>
          <w:szCs w:val="22"/>
        </w:rPr>
        <w:t xml:space="preserve"> voor de 13 centrumsteden, naar leeftijdscategorieën</w:t>
      </w:r>
      <w:r>
        <w:rPr>
          <w:szCs w:val="22"/>
        </w:rPr>
        <w:t>.</w:t>
      </w:r>
    </w:p>
    <w:p w:rsidR="003E2421" w:rsidRDefault="003E2421" w:rsidP="006B0D0E">
      <w:pPr>
        <w:tabs>
          <w:tab w:val="left" w:pos="567"/>
        </w:tabs>
        <w:ind w:left="925" w:hanging="565"/>
        <w:jc w:val="both"/>
        <w:rPr>
          <w:szCs w:val="22"/>
        </w:rPr>
      </w:pPr>
      <w:r>
        <w:rPr>
          <w:szCs w:val="22"/>
        </w:rPr>
        <w:t>(2)</w:t>
      </w:r>
      <w:r>
        <w:rPr>
          <w:szCs w:val="22"/>
        </w:rPr>
        <w:tab/>
      </w:r>
      <w:r w:rsidRPr="00DE2E4A">
        <w:rPr>
          <w:szCs w:val="22"/>
        </w:rPr>
        <w:t>Impactanalys</w:t>
      </w:r>
      <w:r>
        <w:rPr>
          <w:szCs w:val="22"/>
        </w:rPr>
        <w:t>es van de bevolkingsprognoses m.b.t.</w:t>
      </w:r>
      <w:r w:rsidRPr="00DE2E4A">
        <w:rPr>
          <w:szCs w:val="22"/>
        </w:rPr>
        <w:t xml:space="preserve"> noden kinderopvang, kleuter- en lager onderwijs, woonbehoeften, ouderenzorg in de centrumsteden. Dit is van belang om proactief in te kunnen spelen op uitdagingen die voor de steden van cruciaal belang zijn. Het Kenniscentrum Vla</w:t>
      </w:r>
      <w:r>
        <w:rPr>
          <w:szCs w:val="22"/>
        </w:rPr>
        <w:t>amse S</w:t>
      </w:r>
      <w:r w:rsidRPr="00DE2E4A">
        <w:rPr>
          <w:szCs w:val="22"/>
        </w:rPr>
        <w:t xml:space="preserve">teden </w:t>
      </w:r>
      <w:r>
        <w:rPr>
          <w:szCs w:val="22"/>
        </w:rPr>
        <w:t xml:space="preserve">heeft in oktober 2010 voor de 13 centrumsteden nagegaan voor </w:t>
      </w:r>
      <w:r w:rsidRPr="00DE2E4A">
        <w:rPr>
          <w:szCs w:val="22"/>
        </w:rPr>
        <w:t>welke vo</w:t>
      </w:r>
      <w:r>
        <w:rPr>
          <w:szCs w:val="22"/>
        </w:rPr>
        <w:t>orzieningen/</w:t>
      </w:r>
      <w:r w:rsidRPr="00DE2E4A">
        <w:rPr>
          <w:szCs w:val="22"/>
        </w:rPr>
        <w:t>beleidsdomeinen een impact</w:t>
      </w:r>
      <w:r>
        <w:rPr>
          <w:szCs w:val="22"/>
        </w:rPr>
        <w:t>-</w:t>
      </w:r>
      <w:r w:rsidRPr="00DE2E4A">
        <w:rPr>
          <w:szCs w:val="22"/>
        </w:rPr>
        <w:t>analyse wenselijk is ingevolge de verwachte demografische transities.</w:t>
      </w:r>
    </w:p>
    <w:p w:rsidR="003E2421" w:rsidRDefault="003E2421" w:rsidP="006B0D0E">
      <w:pPr>
        <w:tabs>
          <w:tab w:val="left" w:pos="567"/>
        </w:tabs>
        <w:ind w:left="925" w:hanging="565"/>
        <w:jc w:val="both"/>
        <w:rPr>
          <w:szCs w:val="22"/>
        </w:rPr>
      </w:pPr>
      <w:r>
        <w:rPr>
          <w:szCs w:val="22"/>
        </w:rPr>
        <w:t>(3)</w:t>
      </w:r>
      <w:r>
        <w:rPr>
          <w:szCs w:val="22"/>
        </w:rPr>
        <w:tab/>
        <w:t>Traject met steden en bevoegde beleidsdomeinen</w:t>
      </w:r>
      <w:r w:rsidRPr="00B85DEE">
        <w:rPr>
          <w:szCs w:val="22"/>
        </w:rPr>
        <w:t xml:space="preserve">: </w:t>
      </w:r>
      <w:r>
        <w:rPr>
          <w:szCs w:val="22"/>
        </w:rPr>
        <w:t>door steden en bevoegde beleids-domeinen samen te brengen ontstaat een constructief debat over de noden en uitdagingen op basis van de prognoses ‘</w:t>
      </w:r>
      <w:r w:rsidRPr="00AA71C0">
        <w:rPr>
          <w:i/>
          <w:szCs w:val="22"/>
        </w:rPr>
        <w:t>wat zijn de concrete uitdagingen, hoe en tegen wanneer zullen cijfers verwerkt worden in programmacijfers, hoe kunnen de Vlaamse overheid en steden elkaar versterken</w:t>
      </w:r>
      <w:r>
        <w:rPr>
          <w:i/>
          <w:szCs w:val="22"/>
        </w:rPr>
        <w:t xml:space="preserve"> ?</w:t>
      </w:r>
      <w:r>
        <w:rPr>
          <w:szCs w:val="22"/>
        </w:rPr>
        <w:t>’.</w:t>
      </w:r>
    </w:p>
    <w:p w:rsidR="003E2421" w:rsidRDefault="003E2421" w:rsidP="006B0D0E">
      <w:pPr>
        <w:tabs>
          <w:tab w:val="left" w:pos="567"/>
        </w:tabs>
        <w:ind w:left="925" w:hanging="565"/>
        <w:jc w:val="both"/>
      </w:pPr>
      <w:r>
        <w:rPr>
          <w:szCs w:val="22"/>
        </w:rPr>
        <w:t>(4)</w:t>
      </w:r>
      <w:r>
        <w:rPr>
          <w:szCs w:val="22"/>
        </w:rPr>
        <w:tab/>
      </w:r>
      <w:r w:rsidRPr="00B85DEE">
        <w:t xml:space="preserve">Als laatste element lijkt het ook interessant </w:t>
      </w:r>
      <w:r>
        <w:t>dat de Studiedienst van de Vlaamse Regering</w:t>
      </w:r>
      <w:r w:rsidRPr="00B85DEE">
        <w:t xml:space="preserve"> een soort procesarchitectuur </w:t>
      </w:r>
      <w:r>
        <w:t>opzet</w:t>
      </w:r>
      <w:r w:rsidRPr="00B85DEE">
        <w:t xml:space="preserve"> om met bevolkingsprognoses om te gaan. Er is wellicht nood aan een soort knipperlichtsysteem wanneer de prognoses beginnen af te wijken van de reële cijfers. Wanneer trends sterker zijn dan prognoses</w:t>
      </w:r>
      <w:r>
        <w:t>,</w:t>
      </w:r>
      <w:r w:rsidRPr="00B85DEE">
        <w:t xml:space="preserve"> of wanneer trends keren</w:t>
      </w:r>
      <w:r>
        <w:t>,</w:t>
      </w:r>
      <w:r w:rsidRPr="00B85DEE">
        <w:t xml:space="preserve"> </w:t>
      </w:r>
      <w:r>
        <w:t>moet dit snel</w:t>
      </w:r>
      <w:r w:rsidRPr="00B85DEE">
        <w:t xml:space="preserve"> kunnen op</w:t>
      </w:r>
      <w:r>
        <w:t>ge</w:t>
      </w:r>
      <w:r w:rsidRPr="00B85DEE">
        <w:t xml:space="preserve">vangen </w:t>
      </w:r>
      <w:r>
        <w:t xml:space="preserve">worden </w:t>
      </w:r>
      <w:r w:rsidRPr="00B85DEE">
        <w:t>om he</w:t>
      </w:r>
      <w:r>
        <w:t>t beleid op maat vorm te geven.</w:t>
      </w:r>
    </w:p>
    <w:p w:rsidR="003E2421" w:rsidRDefault="003E2421" w:rsidP="00AA71C0">
      <w:pPr>
        <w:tabs>
          <w:tab w:val="left" w:pos="567"/>
        </w:tabs>
        <w:jc w:val="both"/>
      </w:pPr>
      <w:r>
        <w:tab/>
      </w:r>
    </w:p>
    <w:p w:rsidR="003E2421" w:rsidRDefault="003E2421" w:rsidP="006B0D0E">
      <w:pPr>
        <w:pStyle w:val="StandaardSV"/>
        <w:tabs>
          <w:tab w:val="left" w:pos="567"/>
        </w:tabs>
        <w:ind w:left="360"/>
      </w:pPr>
      <w:r>
        <w:t>De Studiedienst van de Vlaamse Regering presenteerde op 2 en 3 maart 2011 de projecties van de bevolking en de huishoudens voor Vlaamse steden en gemeenten 2009-2030.</w:t>
      </w:r>
    </w:p>
    <w:p w:rsidR="003E2421" w:rsidRDefault="003E2421" w:rsidP="00AA71C0">
      <w:pPr>
        <w:pStyle w:val="StandaardSV"/>
        <w:tabs>
          <w:tab w:val="left" w:pos="567"/>
        </w:tabs>
        <w:ind w:firstLine="567"/>
      </w:pPr>
    </w:p>
    <w:p w:rsidR="003E2421" w:rsidRDefault="003E2421" w:rsidP="006B0D0E">
      <w:pPr>
        <w:pStyle w:val="StandaardSV"/>
        <w:ind w:left="360"/>
      </w:pPr>
      <w:r>
        <w:t>Als Vlaams minister van Steden verkies ik de cijfers van de Studiedienst van de Vlaamse Regering te gebruiken omdat er enkele nadelen zijn aan de cijfers van het Federaal Planbureau.</w:t>
      </w:r>
    </w:p>
    <w:p w:rsidR="003E2421" w:rsidRPr="002F1E81" w:rsidRDefault="003E2421" w:rsidP="006B0D0E">
      <w:pPr>
        <w:pStyle w:val="StandaardSV"/>
        <w:tabs>
          <w:tab w:val="left" w:pos="1418"/>
        </w:tabs>
        <w:ind w:left="927" w:hanging="567"/>
        <w:rPr>
          <w:szCs w:val="22"/>
        </w:rPr>
      </w:pPr>
      <w:r>
        <w:t>(</w:t>
      </w:r>
      <w:r w:rsidRPr="002F1E81">
        <w:rPr>
          <w:szCs w:val="22"/>
        </w:rPr>
        <w:t>1)</w:t>
      </w:r>
      <w:r w:rsidRPr="002F1E81">
        <w:rPr>
          <w:szCs w:val="22"/>
        </w:rPr>
        <w:tab/>
        <w:t>Het Federaal Planbureau analyseert de gegevens niet tot op huishoudensniveau. Dit is erg belangrijk</w:t>
      </w:r>
      <w:r>
        <w:rPr>
          <w:szCs w:val="22"/>
        </w:rPr>
        <w:t xml:space="preserve">, bijvoorbeeld </w:t>
      </w:r>
      <w:r w:rsidRPr="002F1E81">
        <w:rPr>
          <w:szCs w:val="22"/>
        </w:rPr>
        <w:t>inzake gezinsverdunning en impact op woonnoden.</w:t>
      </w:r>
    </w:p>
    <w:p w:rsidR="003E2421" w:rsidRPr="002F1E81" w:rsidRDefault="003E2421" w:rsidP="006B0D0E">
      <w:pPr>
        <w:pStyle w:val="StandaardSV"/>
        <w:tabs>
          <w:tab w:val="left" w:pos="1418"/>
        </w:tabs>
        <w:ind w:left="927" w:hanging="567"/>
      </w:pPr>
      <w:r w:rsidRPr="002F1E81">
        <w:t>(2)</w:t>
      </w:r>
      <w:r w:rsidRPr="002F1E81">
        <w:tab/>
        <w:t>Het Federaal Planbureau gebruikt bij de vruchtbaarheidshypothese geen longitudinale methodiek, maar een dwarsdoorsnede. Hierdoor brengen zij het uitstel- en inhaal</w:t>
      </w:r>
      <w:r>
        <w:t>-</w:t>
      </w:r>
      <w:r w:rsidRPr="002F1E81">
        <w:t>gedrag m.b.t. het krijgen van kinderen niet in beeld wat voor vertekening zorgt in de projecties.</w:t>
      </w:r>
    </w:p>
    <w:p w:rsidR="003E2421" w:rsidRPr="002F1E81" w:rsidRDefault="003E2421" w:rsidP="006B0D0E">
      <w:pPr>
        <w:pStyle w:val="StandaardSV"/>
        <w:tabs>
          <w:tab w:val="left" w:pos="1418"/>
        </w:tabs>
        <w:ind w:left="927" w:hanging="567"/>
      </w:pPr>
      <w:r w:rsidRPr="002F1E81">
        <w:t>(3)</w:t>
      </w:r>
      <w:r w:rsidRPr="002F1E81">
        <w:tab/>
        <w:t>Ook de methodiek omtrent de migratiehypothese verschilt (leeftijdsspecifieke migratiesaldi versus migratievolumes).</w:t>
      </w:r>
    </w:p>
    <w:p w:rsidR="003E2421" w:rsidRDefault="003E2421" w:rsidP="00AA71C0">
      <w:pPr>
        <w:pStyle w:val="StandaardSV"/>
        <w:ind w:left="567"/>
        <w:rPr>
          <w:szCs w:val="22"/>
        </w:rPr>
      </w:pPr>
    </w:p>
    <w:p w:rsidR="003E2421" w:rsidRDefault="003E2421" w:rsidP="006B0D0E">
      <w:pPr>
        <w:pStyle w:val="StandaardSV"/>
        <w:ind w:left="360"/>
        <w:rPr>
          <w:szCs w:val="22"/>
        </w:rPr>
      </w:pPr>
      <w:r>
        <w:rPr>
          <w:szCs w:val="22"/>
        </w:rPr>
        <w:t>De methodologische aanpak van de Studiedienst van de Vlaamse Regering werd tijdens de studiedagen van 2 en 3 maart toegelicht. Sindsdien zijn de cijfers, per gemeente beschikbaar,</w:t>
      </w:r>
      <w:r w:rsidRPr="00AA71C0">
        <w:rPr>
          <w:szCs w:val="22"/>
        </w:rPr>
        <w:t xml:space="preserve"> </w:t>
      </w:r>
      <w:r>
        <w:rPr>
          <w:szCs w:val="22"/>
        </w:rPr>
        <w:t>gecommuniceerd.</w:t>
      </w:r>
    </w:p>
    <w:p w:rsidR="003E2421" w:rsidRPr="0091799C" w:rsidRDefault="003E2421" w:rsidP="00AA71C0">
      <w:pPr>
        <w:pStyle w:val="StandaardSV"/>
        <w:rPr>
          <w:szCs w:val="22"/>
        </w:rPr>
      </w:pPr>
    </w:p>
    <w:p w:rsidR="003E2421" w:rsidRPr="00AD3F40" w:rsidRDefault="003E2421" w:rsidP="006B0D0E">
      <w:pPr>
        <w:pStyle w:val="StandaardSV"/>
        <w:numPr>
          <w:ilvl w:val="0"/>
          <w:numId w:val="18"/>
        </w:numPr>
      </w:pPr>
      <w:r>
        <w:rPr>
          <w:szCs w:val="22"/>
        </w:rPr>
        <w:t>Er is nagegaan voor de 13 centrumsteden voor welke voorzieningen/</w:t>
      </w:r>
      <w:r w:rsidRPr="00DE2E4A">
        <w:rPr>
          <w:szCs w:val="22"/>
        </w:rPr>
        <w:t>beleidsdomeinen een impactanalyse wenselijk is ingevolge de verwachte demografische transities.</w:t>
      </w:r>
      <w:r>
        <w:rPr>
          <w:szCs w:val="22"/>
        </w:rPr>
        <w:t xml:space="preserve"> Deze nota is gecommuniceerd aan de Studiedienst van de Vlaamse Regering.</w:t>
      </w:r>
    </w:p>
    <w:p w:rsidR="003E2421" w:rsidRDefault="003E2421" w:rsidP="00AA71C0">
      <w:pPr>
        <w:pStyle w:val="StandaardSV"/>
        <w:tabs>
          <w:tab w:val="num" w:pos="567"/>
        </w:tabs>
        <w:ind w:left="567" w:hanging="567"/>
        <w:rPr>
          <w:szCs w:val="22"/>
        </w:rPr>
      </w:pPr>
      <w:r>
        <w:rPr>
          <w:szCs w:val="22"/>
        </w:rPr>
        <w:tab/>
      </w:r>
    </w:p>
    <w:p w:rsidR="003E2421" w:rsidRDefault="003E2421" w:rsidP="006B0D0E">
      <w:pPr>
        <w:pStyle w:val="StandaardSV"/>
        <w:tabs>
          <w:tab w:val="num" w:pos="360"/>
        </w:tabs>
        <w:ind w:left="360"/>
        <w:rPr>
          <w:szCs w:val="22"/>
        </w:rPr>
      </w:pPr>
      <w:r>
        <w:rPr>
          <w:szCs w:val="22"/>
        </w:rPr>
        <w:t>In het onderzoek ‘vastgoedprijzen en -aanbod in de centrumsteden’ zullen de onderzoekers Frank Vastmans en Michael Ryckaert van de KUL de bevolkingsprojecties gebruiken om de woonnoden/woonoppervlakte in kaart te brengen. Dit komt aan bod in de eerste fase van het onderzoek en zal tegen zomer 2011 voorgesteld worden aan de stuurgroep voor dit onderzoek. Daarna kunnen deze resultaten ook aan bod komen tijdens de Commissie voor Stedelijk Beleid van het Vlaams Parlement.</w:t>
      </w:r>
    </w:p>
    <w:p w:rsidR="003E2421" w:rsidRDefault="003E2421" w:rsidP="00AA71C0">
      <w:pPr>
        <w:pStyle w:val="StandaardSV"/>
        <w:tabs>
          <w:tab w:val="num" w:pos="567"/>
        </w:tabs>
        <w:ind w:left="567" w:hanging="567"/>
        <w:rPr>
          <w:szCs w:val="22"/>
        </w:rPr>
      </w:pPr>
      <w:r>
        <w:rPr>
          <w:szCs w:val="22"/>
        </w:rPr>
        <w:tab/>
      </w:r>
    </w:p>
    <w:p w:rsidR="003E2421" w:rsidRDefault="003E2421" w:rsidP="006B0D0E">
      <w:pPr>
        <w:pStyle w:val="StandaardSV"/>
        <w:tabs>
          <w:tab w:val="num" w:pos="360"/>
        </w:tabs>
        <w:ind w:left="360"/>
        <w:rPr>
          <w:szCs w:val="22"/>
        </w:rPr>
      </w:pPr>
      <w:r w:rsidRPr="00016484">
        <w:rPr>
          <w:szCs w:val="22"/>
        </w:rPr>
        <w:t xml:space="preserve">Op 20 januari </w:t>
      </w:r>
      <w:r>
        <w:rPr>
          <w:szCs w:val="22"/>
        </w:rPr>
        <w:t xml:space="preserve">2011 </w:t>
      </w:r>
      <w:r w:rsidRPr="00016484">
        <w:rPr>
          <w:szCs w:val="22"/>
        </w:rPr>
        <w:t xml:space="preserve">is er een overleg geweest met mijn administratie, de studiediensten van de grootsteden, het Kenniscentrum Vlaamse </w:t>
      </w:r>
      <w:r>
        <w:rPr>
          <w:szCs w:val="22"/>
        </w:rPr>
        <w:t>S</w:t>
      </w:r>
      <w:r w:rsidRPr="00016484">
        <w:rPr>
          <w:szCs w:val="22"/>
        </w:rPr>
        <w:t>teden</w:t>
      </w:r>
      <w:r>
        <w:rPr>
          <w:szCs w:val="22"/>
        </w:rPr>
        <w:t>,</w:t>
      </w:r>
      <w:r w:rsidRPr="00016484">
        <w:rPr>
          <w:szCs w:val="22"/>
        </w:rPr>
        <w:t xml:space="preserve"> en de Studiedienst van de Vlaamse Regering. De Studiedienst van de Vlaamse Regering </w:t>
      </w:r>
      <w:r>
        <w:rPr>
          <w:szCs w:val="22"/>
        </w:rPr>
        <w:t>heeft een toelichting ge</w:t>
      </w:r>
      <w:r w:rsidRPr="00016484">
        <w:rPr>
          <w:szCs w:val="22"/>
        </w:rPr>
        <w:t>geven omtrent de gebruikte hypothesen en basisdata voor geboorten, sterftes en migraties. Dit was een methodologisch uitwisselingsmoment. De studiedienst van de stad Antwerpen heeft bijvoorbeeld eigen bevolkings</w:t>
      </w:r>
      <w:r>
        <w:rPr>
          <w:szCs w:val="22"/>
        </w:rPr>
        <w:softHyphen/>
      </w:r>
      <w:r w:rsidRPr="00016484">
        <w:rPr>
          <w:szCs w:val="22"/>
        </w:rPr>
        <w:t xml:space="preserve">prognoses gemaakt (met 3 alternatieve scenario’s). De grootsteden maken deze eigen prognoses op basis van het eigen bevolkingsregister. Hierdoor beschikken ze over recentere data. Waar Vlaanderen enkel beschikt over geconsolideerde cijfers t.e.m. 2008 (1.1.2008), werken de steden op cijfers van het voorgaande jaar. De vertraagde terbeschikkingstelling van ADSEI </w:t>
      </w:r>
      <w:r w:rsidRPr="00AA71C0">
        <w:t xml:space="preserve">(de Algemene Directie Statistiek en Economische Informatie op het federale beleidsniveau) </w:t>
      </w:r>
      <w:r w:rsidRPr="00AA71C0">
        <w:rPr>
          <w:szCs w:val="22"/>
        </w:rPr>
        <w:t>zorgt</w:t>
      </w:r>
      <w:r w:rsidRPr="00016484">
        <w:rPr>
          <w:szCs w:val="22"/>
        </w:rPr>
        <w:t xml:space="preserve"> ervoor dat de Studiedienst van de Vlaamse Regering geen gebruik kan maken van recentere gegevens.</w:t>
      </w:r>
      <w:r>
        <w:rPr>
          <w:szCs w:val="22"/>
        </w:rPr>
        <w:t xml:space="preserve"> Op Vlaams niveau gebruik maken van cijfergegevens van de steden is op dit moment niet aan de orde omdat niet alle centrumsteden de cijfers op een gelijkaardig methodologische manier zouden kunnen aanreiken.</w:t>
      </w:r>
    </w:p>
    <w:p w:rsidR="003E2421" w:rsidRDefault="003E2421" w:rsidP="00AA71C0">
      <w:pPr>
        <w:pStyle w:val="StandaardSV"/>
        <w:tabs>
          <w:tab w:val="num" w:pos="567"/>
        </w:tabs>
        <w:ind w:left="567" w:hanging="567"/>
        <w:rPr>
          <w:szCs w:val="22"/>
        </w:rPr>
      </w:pPr>
      <w:r>
        <w:rPr>
          <w:szCs w:val="22"/>
        </w:rPr>
        <w:tab/>
      </w:r>
    </w:p>
    <w:p w:rsidR="003E2421" w:rsidRPr="00016484" w:rsidRDefault="003E2421" w:rsidP="006B0D0E">
      <w:pPr>
        <w:pStyle w:val="StandaardSV"/>
        <w:tabs>
          <w:tab w:val="num" w:pos="360"/>
        </w:tabs>
        <w:ind w:left="360"/>
        <w:rPr>
          <w:szCs w:val="22"/>
        </w:rPr>
      </w:pPr>
      <w:r>
        <w:rPr>
          <w:szCs w:val="22"/>
        </w:rPr>
        <w:t>Intussen beschikt de Studiedienst van de Vlaamse Regering over de bevolkingsgegevens op 1 januari 2010. Het opzet is dat aan de hand van deze nieuwe cijfers de bevolkingsprognoses voor de 13 centrumsteden geactualiseerd worden.</w:t>
      </w:r>
    </w:p>
    <w:p w:rsidR="003E2421" w:rsidRDefault="003E2421" w:rsidP="00AA71C0">
      <w:pPr>
        <w:pStyle w:val="StandaardSV"/>
        <w:tabs>
          <w:tab w:val="num" w:pos="567"/>
        </w:tabs>
        <w:ind w:left="567" w:hanging="567"/>
        <w:rPr>
          <w:szCs w:val="22"/>
        </w:rPr>
      </w:pPr>
      <w:r>
        <w:rPr>
          <w:szCs w:val="22"/>
        </w:rPr>
        <w:tab/>
      </w:r>
    </w:p>
    <w:p w:rsidR="003E2421" w:rsidRDefault="003E2421" w:rsidP="006B0D0E">
      <w:pPr>
        <w:tabs>
          <w:tab w:val="num" w:pos="360"/>
        </w:tabs>
        <w:ind w:left="360"/>
        <w:jc w:val="both"/>
      </w:pPr>
      <w:r w:rsidRPr="007B28B4">
        <w:t xml:space="preserve">Kort na </w:t>
      </w:r>
      <w:r>
        <w:t>2-3</w:t>
      </w:r>
      <w:r w:rsidRPr="007B28B4">
        <w:t xml:space="preserve"> maart</w:t>
      </w:r>
      <w:r>
        <w:t>,</w:t>
      </w:r>
      <w:r w:rsidRPr="007B28B4">
        <w:t xml:space="preserve"> wanneer de bevolkings- en huishoudensprognoses van de Studiedienst van de Vlaamse Regering gecommuniceerd zijn</w:t>
      </w:r>
      <w:r>
        <w:t>,</w:t>
      </w:r>
      <w:r w:rsidRPr="007B28B4">
        <w:t xml:space="preserve"> plan ik een overlegmoment tussen de centrumsteden en </w:t>
      </w:r>
      <w:r>
        <w:t xml:space="preserve">de </w:t>
      </w:r>
      <w:r w:rsidRPr="007B28B4">
        <w:t>bevoegde Vlaamse administraties (</w:t>
      </w:r>
      <w:r>
        <w:t>K</w:t>
      </w:r>
      <w:r w:rsidRPr="007B28B4">
        <w:t xml:space="preserve">ind </w:t>
      </w:r>
      <w:r>
        <w:t>en</w:t>
      </w:r>
      <w:r w:rsidRPr="007B28B4">
        <w:t xml:space="preserve"> </w:t>
      </w:r>
      <w:r>
        <w:t>G</w:t>
      </w:r>
      <w:r w:rsidRPr="007B28B4">
        <w:t xml:space="preserve">ezin, departement </w:t>
      </w:r>
      <w:r>
        <w:t>O</w:t>
      </w:r>
      <w:r w:rsidRPr="007B28B4">
        <w:t xml:space="preserve">nderwijs en </w:t>
      </w:r>
      <w:r>
        <w:t>V</w:t>
      </w:r>
      <w:r w:rsidRPr="007B28B4">
        <w:t xml:space="preserve">orming, afdeling </w:t>
      </w:r>
      <w:r>
        <w:t>W</w:t>
      </w:r>
      <w:r w:rsidRPr="007B28B4">
        <w:t>onen, ag</w:t>
      </w:r>
      <w:r>
        <w:t>entschap Zorg en Gezondheid, …</w:t>
      </w:r>
      <w:r w:rsidRPr="007B28B4">
        <w:t>) met het oog op een leer- en uitwisselings</w:t>
      </w:r>
      <w:r>
        <w:softHyphen/>
      </w:r>
      <w:r w:rsidRPr="007B28B4">
        <w:t>moment omtrent deze prognoses (</w:t>
      </w:r>
      <w:r>
        <w:t xml:space="preserve">verdere </w:t>
      </w:r>
      <w:r w:rsidRPr="007B28B4">
        <w:t xml:space="preserve">aanpak, </w:t>
      </w:r>
      <w:r>
        <w:t xml:space="preserve">impactanalyse, </w:t>
      </w:r>
      <w:r w:rsidRPr="007B28B4">
        <w:t>vertaling in programmacijfers en beleid, aandachtspunten, e.d</w:t>
      </w:r>
      <w:r>
        <w:t>. ; ten behoeve van dit overleg heeft de Studiedienst van de Vlaamse Regering een synthesenota met de resultaten van de bevolkings-projecties voor de 13 centrumsteden opgesteld</w:t>
      </w:r>
      <w:r w:rsidRPr="007B28B4">
        <w:t xml:space="preserve">). </w:t>
      </w:r>
      <w:r>
        <w:t>Belangrijk is dat de bevoegde administraties ook aanwezig zijn tijdens de studiedagen van 2 en 3 maart.</w:t>
      </w:r>
    </w:p>
    <w:p w:rsidR="003E2421" w:rsidRDefault="003E2421" w:rsidP="00AA71C0">
      <w:pPr>
        <w:tabs>
          <w:tab w:val="num" w:pos="567"/>
        </w:tabs>
        <w:ind w:left="567" w:hanging="567"/>
        <w:jc w:val="both"/>
      </w:pPr>
    </w:p>
    <w:p w:rsidR="003E2421" w:rsidRPr="0069646E" w:rsidRDefault="003E2421" w:rsidP="006B0D0E">
      <w:pPr>
        <w:tabs>
          <w:tab w:val="num" w:pos="360"/>
        </w:tabs>
        <w:ind w:left="360"/>
        <w:jc w:val="both"/>
      </w:pPr>
      <w:r w:rsidRPr="0069646E">
        <w:t>In december 2011 wordt de nieuwe editie van de stadsmonitor gepubliceerd. Daarna zal de Studiedienst van de Vlaamse Regering in 2012</w:t>
      </w:r>
      <w:r>
        <w:t>,</w:t>
      </w:r>
      <w:r w:rsidRPr="0069646E">
        <w:t xml:space="preserve"> in samenwerking met het team stedenbeleid</w:t>
      </w:r>
      <w:r>
        <w:t>,</w:t>
      </w:r>
      <w:r w:rsidRPr="0069646E">
        <w:t xml:space="preserve"> aan de slag gaan met de vele data van de Stadsmonitor, deze verder analyseren en op zoek gaan naar verklaringen en verbanden voor vastgestelde verschillen. Dit mondt uit in een tweede versie van ‘</w:t>
      </w:r>
      <w:r w:rsidRPr="00AA71C0">
        <w:rPr>
          <w:i/>
        </w:rPr>
        <w:t>de stad maakt het verschil!</w:t>
      </w:r>
      <w:r w:rsidRPr="0069646E">
        <w:t xml:space="preserve">’, een bundeling van analyses op de Stadsmonitor. In de vorige editie werd dieper ingegaan op enkele demografische fenomenen, zoals de veranderende leefvormen en de groeiende etnische culturele diversiteit in de steden. </w:t>
      </w:r>
      <w:r>
        <w:t>I</w:t>
      </w:r>
      <w:r w:rsidRPr="0069646E">
        <w:t>n de nieuwe editie zullen de nieuwe bevolkings- en huishoudensprognoses aan bod komen.</w:t>
      </w:r>
    </w:p>
    <w:p w:rsidR="003E2421" w:rsidRDefault="003E2421" w:rsidP="00AA71C0">
      <w:pPr>
        <w:pStyle w:val="StandaardSV"/>
      </w:pPr>
    </w:p>
    <w:p w:rsidR="003E2421" w:rsidRDefault="003E2421" w:rsidP="006B0D0E">
      <w:pPr>
        <w:pStyle w:val="StandaardSV"/>
        <w:numPr>
          <w:ilvl w:val="0"/>
          <w:numId w:val="18"/>
        </w:numPr>
      </w:pPr>
      <w:r>
        <w:t xml:space="preserve">Er kan, indien gewenst, een speciaal voorstellingsmoment komen voor de Commissie voor Stedelijk Beleid omtrent de bevolkings- en huishoudensprognoses specifiek voor de centrum-steden. </w:t>
      </w:r>
    </w:p>
    <w:p w:rsidR="003E2421" w:rsidRDefault="003E2421" w:rsidP="00AA71C0">
      <w:pPr>
        <w:pStyle w:val="StandaardSV"/>
        <w:tabs>
          <w:tab w:val="num" w:pos="567"/>
        </w:tabs>
        <w:ind w:left="567" w:hanging="567"/>
      </w:pPr>
      <w:r>
        <w:tab/>
      </w:r>
    </w:p>
    <w:p w:rsidR="003E2421" w:rsidRDefault="003E2421" w:rsidP="006B0D0E">
      <w:pPr>
        <w:pStyle w:val="StandaardSV"/>
        <w:tabs>
          <w:tab w:val="num" w:pos="360"/>
        </w:tabs>
        <w:ind w:left="360"/>
      </w:pPr>
      <w:r>
        <w:t>Naargelang van de voortgang van de thematische onderdelen van de impactanalyse en de implementatie van de prognoses binnen horizontale beleidsdomeinen zal gefaseerd gecommuniceerd worden. Voor elk van de thematische onderdelen is de respectievelijk bevoegde Vlaamse minister met zijn of haar diensten verantwoordelijk voor de analyse, de conclusies en de communicatie.</w:t>
      </w:r>
    </w:p>
    <w:p w:rsidR="003E2421" w:rsidRPr="00742ACF" w:rsidRDefault="003E2421" w:rsidP="00AA71C0">
      <w:pPr>
        <w:pStyle w:val="StandaardSV"/>
        <w:rPr>
          <w:szCs w:val="22"/>
          <w:highlight w:val="yellow"/>
        </w:rPr>
      </w:pPr>
    </w:p>
    <w:p w:rsidR="003E2421" w:rsidRDefault="003E2421" w:rsidP="00AA71C0">
      <w:pPr>
        <w:jc w:val="both"/>
        <w:rPr>
          <w:lang w:val="nl-BE"/>
        </w:rPr>
      </w:pPr>
    </w:p>
    <w:p w:rsidR="003E2421" w:rsidRDefault="003E2421" w:rsidP="004A2D28">
      <w:pPr>
        <w:pStyle w:val="StandaardSV"/>
        <w:tabs>
          <w:tab w:val="center" w:pos="4253"/>
          <w:tab w:val="right" w:pos="8278"/>
        </w:tabs>
        <w:rPr>
          <w:b/>
          <w:i/>
          <w:spacing w:val="-3"/>
        </w:rPr>
      </w:pPr>
      <w:r w:rsidRPr="0070247D">
        <w:rPr>
          <w:b/>
          <w:i/>
          <w:spacing w:val="-3"/>
        </w:rPr>
        <w:t>Vlaams minister Pascal Smet</w:t>
      </w:r>
    </w:p>
    <w:p w:rsidR="003E2421" w:rsidRDefault="003E2421" w:rsidP="004859C9">
      <w:pPr>
        <w:rPr>
          <w:lang w:val="nl-BE"/>
        </w:rPr>
      </w:pPr>
    </w:p>
    <w:p w:rsidR="003E2421" w:rsidRPr="00725800" w:rsidRDefault="003E2421" w:rsidP="00E43A36">
      <w:pPr>
        <w:pStyle w:val="BodyText"/>
        <w:spacing w:after="0"/>
        <w:jc w:val="both"/>
        <w:rPr>
          <w:rFonts w:cs="Times New Roman"/>
          <w:sz w:val="22"/>
          <w:szCs w:val="22"/>
        </w:rPr>
      </w:pPr>
      <w:r w:rsidRPr="00725800">
        <w:rPr>
          <w:rFonts w:cs="Times New Roman"/>
          <w:sz w:val="22"/>
          <w:szCs w:val="22"/>
        </w:rPr>
        <w:t xml:space="preserve">Vooreerst wil ik even aangeven dat het beleidsdomein Onderwijs &amp; Vorming reeds voor </w:t>
      </w:r>
      <w:r>
        <w:rPr>
          <w:rFonts w:cs="Times New Roman"/>
          <w:sz w:val="22"/>
          <w:szCs w:val="22"/>
        </w:rPr>
        <w:t>d</w:t>
      </w:r>
      <w:r w:rsidRPr="00725800">
        <w:rPr>
          <w:rFonts w:cs="Times New Roman"/>
          <w:sz w:val="22"/>
          <w:szCs w:val="22"/>
        </w:rPr>
        <w:t>e</w:t>
      </w:r>
      <w:r>
        <w:rPr>
          <w:rFonts w:cs="Times New Roman"/>
          <w:sz w:val="22"/>
          <w:szCs w:val="22"/>
        </w:rPr>
        <w:t xml:space="preserve"> </w:t>
      </w:r>
      <w:r w:rsidRPr="00725800">
        <w:rPr>
          <w:rFonts w:cs="Times New Roman"/>
          <w:sz w:val="22"/>
          <w:szCs w:val="22"/>
        </w:rPr>
        <w:t>demografische vooruitzichten</w:t>
      </w:r>
      <w:r>
        <w:rPr>
          <w:rFonts w:cs="Times New Roman"/>
          <w:sz w:val="22"/>
          <w:szCs w:val="22"/>
        </w:rPr>
        <w:t xml:space="preserve"> </w:t>
      </w:r>
      <w:r w:rsidRPr="00725800">
        <w:rPr>
          <w:rFonts w:cs="Times New Roman"/>
          <w:sz w:val="22"/>
          <w:szCs w:val="22"/>
        </w:rPr>
        <w:t>van de</w:t>
      </w:r>
      <w:r>
        <w:rPr>
          <w:rFonts w:cs="Times New Roman"/>
          <w:sz w:val="22"/>
          <w:szCs w:val="22"/>
        </w:rPr>
        <w:t xml:space="preserve"> </w:t>
      </w:r>
      <w:r w:rsidRPr="00725800">
        <w:rPr>
          <w:rFonts w:cs="Times New Roman"/>
          <w:sz w:val="22"/>
          <w:szCs w:val="22"/>
        </w:rPr>
        <w:t>Studied</w:t>
      </w:r>
      <w:r>
        <w:rPr>
          <w:rFonts w:cs="Times New Roman"/>
          <w:sz w:val="22"/>
          <w:szCs w:val="22"/>
        </w:rPr>
        <w:t>i</w:t>
      </w:r>
      <w:r w:rsidRPr="00725800">
        <w:rPr>
          <w:rFonts w:cs="Times New Roman"/>
          <w:sz w:val="22"/>
          <w:szCs w:val="22"/>
        </w:rPr>
        <w:t>enst van de Vlaamse Regering (SVR), geconfronteerd werd met deze problematiek.</w:t>
      </w:r>
      <w:r>
        <w:rPr>
          <w:rFonts w:cs="Times New Roman"/>
          <w:sz w:val="22"/>
          <w:szCs w:val="22"/>
        </w:rPr>
        <w:t xml:space="preserve"> </w:t>
      </w:r>
      <w:r w:rsidRPr="00725800">
        <w:rPr>
          <w:rFonts w:cs="Times New Roman"/>
          <w:sz w:val="22"/>
          <w:szCs w:val="22"/>
        </w:rPr>
        <w:t xml:space="preserve">Door de recente demografische evoluties </w:t>
      </w:r>
      <w:r>
        <w:rPr>
          <w:rFonts w:cs="Times New Roman"/>
          <w:sz w:val="22"/>
          <w:szCs w:val="22"/>
        </w:rPr>
        <w:t xml:space="preserve">ontstond er </w:t>
      </w:r>
      <w:r w:rsidRPr="00725800">
        <w:rPr>
          <w:rFonts w:cs="Times New Roman"/>
          <w:sz w:val="22"/>
          <w:szCs w:val="22"/>
        </w:rPr>
        <w:t>vorig jaar een nijpend tekort aan onderwijsinfrastructuur in Antwerpen en het begin van ernstige problemen in een aantal andere steden.</w:t>
      </w:r>
    </w:p>
    <w:p w:rsidR="003E2421" w:rsidRDefault="003E2421" w:rsidP="00E43A36">
      <w:pPr>
        <w:jc w:val="both"/>
        <w:outlineLvl w:val="0"/>
        <w:rPr>
          <w:szCs w:val="22"/>
        </w:rPr>
      </w:pPr>
      <w:r w:rsidRPr="00725800">
        <w:rPr>
          <w:szCs w:val="22"/>
        </w:rPr>
        <w:t>Er werd dadelijk een taskforce opgestart om de problematiek en de noden van de schoolinfrastructuur in kaart te brengen op korte en lange termijn en samen met de lokale besturen oplossingen uit te werken. Op deze manier werd</w:t>
      </w:r>
      <w:r>
        <w:rPr>
          <w:szCs w:val="22"/>
        </w:rPr>
        <w:t>en</w:t>
      </w:r>
      <w:r w:rsidRPr="00725800">
        <w:rPr>
          <w:szCs w:val="22"/>
        </w:rPr>
        <w:t xml:space="preserve"> in Antwerpen, Gent, Halle, Vilvoorde en Brussel (in samenwerking met de VGC) met succes de meest acute problemen opgelost.</w:t>
      </w:r>
    </w:p>
    <w:p w:rsidR="003E2421" w:rsidRPr="00725800" w:rsidRDefault="003E2421" w:rsidP="00E43A36">
      <w:pPr>
        <w:jc w:val="both"/>
        <w:outlineLvl w:val="0"/>
        <w:rPr>
          <w:szCs w:val="22"/>
        </w:rPr>
      </w:pPr>
      <w:r w:rsidRPr="00725800">
        <w:rPr>
          <w:szCs w:val="22"/>
        </w:rPr>
        <w:t>Tegelijk werden er wetgevende initiatieven genomen om in dichtbevolkte gebieden de passende maatregelen te kunnen nemen en werd het nodige budget vrijgemaakt.</w:t>
      </w:r>
    </w:p>
    <w:p w:rsidR="003E2421" w:rsidRDefault="003E2421" w:rsidP="00E43A36">
      <w:pPr>
        <w:jc w:val="both"/>
        <w:outlineLvl w:val="0"/>
        <w:rPr>
          <w:szCs w:val="22"/>
        </w:rPr>
      </w:pPr>
      <w:r w:rsidRPr="00725800">
        <w:rPr>
          <w:szCs w:val="22"/>
        </w:rPr>
        <w:t>Eveneens vorig jaar werd proactief gewerkt om eventuele capaciteitsproblemen in andere steden op te sporen vooraleer ze zich daadwerkelijk stellen.</w:t>
      </w:r>
      <w:r>
        <w:rPr>
          <w:szCs w:val="22"/>
        </w:rPr>
        <w:t xml:space="preserve"> </w:t>
      </w:r>
      <w:r w:rsidRPr="00725800">
        <w:rPr>
          <w:szCs w:val="22"/>
        </w:rPr>
        <w:t>Op basis van een aantal parameters (gebaseerd op een stijgend aantal kleuters) werden 24 steden en gemeenten aangeschreven</w:t>
      </w:r>
      <w:r>
        <w:rPr>
          <w:szCs w:val="22"/>
        </w:rPr>
        <w:t>,</w:t>
      </w:r>
      <w:r w:rsidRPr="00725800">
        <w:rPr>
          <w:szCs w:val="22"/>
        </w:rPr>
        <w:t xml:space="preserve"> en werd hen gevraagd om een door het departement </w:t>
      </w:r>
      <w:r>
        <w:rPr>
          <w:szCs w:val="22"/>
        </w:rPr>
        <w:t>O</w:t>
      </w:r>
      <w:r w:rsidRPr="00725800">
        <w:rPr>
          <w:szCs w:val="22"/>
        </w:rPr>
        <w:t>nderwijs ontwikkelde sleuteldataset verder aan te vullen om te kunnen oordelen of de oprichting van een taskforce met alle lokale onderwijsverstrekkers noodzakelijk, wenselijk</w:t>
      </w:r>
      <w:r>
        <w:rPr>
          <w:szCs w:val="22"/>
        </w:rPr>
        <w:t>,</w:t>
      </w:r>
      <w:r w:rsidRPr="00725800">
        <w:rPr>
          <w:szCs w:val="22"/>
        </w:rPr>
        <w:t xml:space="preserve"> dan wel voorbarig zou zijn.</w:t>
      </w:r>
    </w:p>
    <w:p w:rsidR="003E2421" w:rsidRPr="00725800" w:rsidRDefault="003E2421" w:rsidP="00E43A36">
      <w:pPr>
        <w:jc w:val="both"/>
        <w:outlineLvl w:val="0"/>
        <w:rPr>
          <w:szCs w:val="22"/>
        </w:rPr>
      </w:pPr>
      <w:r>
        <w:rPr>
          <w:szCs w:val="22"/>
        </w:rPr>
        <w:t>Van al deze initiatieven werd reeds meermaals verslag uitgebracht in de Commissie Onderwijs.</w:t>
      </w:r>
    </w:p>
    <w:p w:rsidR="003E2421" w:rsidRPr="00725800" w:rsidRDefault="003E2421" w:rsidP="00E43A36">
      <w:pPr>
        <w:pStyle w:val="BodyText"/>
        <w:spacing w:after="0"/>
        <w:jc w:val="both"/>
        <w:rPr>
          <w:rFonts w:cs="Times New Roman"/>
          <w:sz w:val="22"/>
          <w:szCs w:val="22"/>
        </w:rPr>
      </w:pPr>
    </w:p>
    <w:p w:rsidR="003E2421" w:rsidRPr="00725800" w:rsidRDefault="003E2421" w:rsidP="00E43A36">
      <w:pPr>
        <w:pStyle w:val="BodyText"/>
        <w:spacing w:after="0"/>
        <w:jc w:val="both"/>
        <w:rPr>
          <w:rFonts w:cs="Times New Roman"/>
          <w:sz w:val="22"/>
          <w:szCs w:val="22"/>
        </w:rPr>
      </w:pPr>
      <w:r>
        <w:rPr>
          <w:rFonts w:cs="Times New Roman"/>
          <w:sz w:val="22"/>
          <w:szCs w:val="22"/>
        </w:rPr>
        <w:t>Verder</w:t>
      </w:r>
      <w:r w:rsidRPr="00725800">
        <w:rPr>
          <w:rFonts w:cs="Times New Roman"/>
          <w:sz w:val="22"/>
          <w:szCs w:val="22"/>
        </w:rPr>
        <w:t xml:space="preserve"> kan ik zeggen dat binnen het beleidsdomein Onderwijs </w:t>
      </w:r>
      <w:r>
        <w:rPr>
          <w:rFonts w:cs="Times New Roman"/>
          <w:sz w:val="22"/>
          <w:szCs w:val="22"/>
        </w:rPr>
        <w:t>en</w:t>
      </w:r>
      <w:r w:rsidRPr="00725800">
        <w:rPr>
          <w:rFonts w:cs="Times New Roman"/>
          <w:sz w:val="22"/>
          <w:szCs w:val="22"/>
        </w:rPr>
        <w:t xml:space="preserve"> Vorming de bevolkingsprognoses van het Planbureau een bijkomend en noodzakelijk element zijn om na te denken over mogelijke capaciteitsproblemen in de onderwijsinstellingen en de meest adequate reactie hierop. Tot nu toe is wat betreft bevolkingsevoluties steeds achterom gekeken in de tijd.</w:t>
      </w:r>
      <w:r>
        <w:rPr>
          <w:rFonts w:cs="Times New Roman"/>
          <w:sz w:val="22"/>
          <w:szCs w:val="22"/>
        </w:rPr>
        <w:t xml:space="preserve"> </w:t>
      </w:r>
      <w:r w:rsidRPr="00725800">
        <w:rPr>
          <w:rFonts w:cs="Times New Roman"/>
          <w:sz w:val="22"/>
          <w:szCs w:val="22"/>
        </w:rPr>
        <w:t>De</w:t>
      </w:r>
      <w:r>
        <w:rPr>
          <w:rFonts w:cs="Times New Roman"/>
          <w:sz w:val="22"/>
          <w:szCs w:val="22"/>
        </w:rPr>
        <w:t xml:space="preserve"> </w:t>
      </w:r>
      <w:r w:rsidRPr="00725800">
        <w:rPr>
          <w:rFonts w:cs="Times New Roman"/>
          <w:sz w:val="22"/>
          <w:szCs w:val="22"/>
        </w:rPr>
        <w:t>demografische vooruitzichten</w:t>
      </w:r>
      <w:r>
        <w:rPr>
          <w:rFonts w:cs="Times New Roman"/>
          <w:sz w:val="22"/>
          <w:szCs w:val="22"/>
        </w:rPr>
        <w:t xml:space="preserve"> </w:t>
      </w:r>
      <w:r w:rsidRPr="00725800">
        <w:rPr>
          <w:rFonts w:cs="Times New Roman"/>
          <w:sz w:val="22"/>
          <w:szCs w:val="22"/>
        </w:rPr>
        <w:t>van de</w:t>
      </w:r>
      <w:r>
        <w:rPr>
          <w:rFonts w:cs="Times New Roman"/>
          <w:sz w:val="22"/>
          <w:szCs w:val="22"/>
        </w:rPr>
        <w:t xml:space="preserve"> </w:t>
      </w:r>
      <w:r w:rsidRPr="00725800">
        <w:rPr>
          <w:rFonts w:cs="Times New Roman"/>
          <w:sz w:val="22"/>
          <w:szCs w:val="22"/>
        </w:rPr>
        <w:t>Studied</w:t>
      </w:r>
      <w:r>
        <w:rPr>
          <w:rFonts w:cs="Times New Roman"/>
          <w:sz w:val="22"/>
          <w:szCs w:val="22"/>
        </w:rPr>
        <w:t>i</w:t>
      </w:r>
      <w:r w:rsidRPr="00725800">
        <w:rPr>
          <w:rFonts w:cs="Times New Roman"/>
          <w:sz w:val="22"/>
          <w:szCs w:val="22"/>
        </w:rPr>
        <w:t>enst van de Vlaamse Regering (SVR) laten toe vooruit te kijken op gemeenteniveau en zijn dus zeker een meerwaarde.</w:t>
      </w:r>
      <w:r>
        <w:rPr>
          <w:rFonts w:cs="Times New Roman"/>
          <w:sz w:val="22"/>
          <w:szCs w:val="22"/>
        </w:rPr>
        <w:t xml:space="preserve"> </w:t>
      </w:r>
      <w:r w:rsidRPr="00725800">
        <w:rPr>
          <w:rFonts w:cs="Times New Roman"/>
          <w:sz w:val="22"/>
          <w:szCs w:val="22"/>
        </w:rPr>
        <w:t>Het is nu meer</w:t>
      </w:r>
      <w:r>
        <w:rPr>
          <w:rFonts w:cs="Times New Roman"/>
          <w:sz w:val="22"/>
          <w:szCs w:val="22"/>
        </w:rPr>
        <w:t xml:space="preserve"> </w:t>
      </w:r>
      <w:r w:rsidRPr="00725800">
        <w:rPr>
          <w:rFonts w:cs="Times New Roman"/>
          <w:sz w:val="22"/>
          <w:szCs w:val="22"/>
        </w:rPr>
        <w:t>haalbaar voor het</w:t>
      </w:r>
      <w:r>
        <w:rPr>
          <w:rFonts w:cs="Times New Roman"/>
          <w:sz w:val="22"/>
          <w:szCs w:val="22"/>
        </w:rPr>
        <w:t xml:space="preserve"> </w:t>
      </w:r>
      <w:r w:rsidRPr="00725800">
        <w:rPr>
          <w:rFonts w:cs="Times New Roman"/>
          <w:sz w:val="22"/>
          <w:szCs w:val="22"/>
        </w:rPr>
        <w:t>beleid en de betrokken gemeenten</w:t>
      </w:r>
      <w:r>
        <w:rPr>
          <w:rFonts w:cs="Times New Roman"/>
          <w:sz w:val="22"/>
          <w:szCs w:val="22"/>
        </w:rPr>
        <w:t xml:space="preserve"> </w:t>
      </w:r>
      <w:r w:rsidRPr="00725800">
        <w:rPr>
          <w:rFonts w:cs="Times New Roman"/>
          <w:sz w:val="22"/>
          <w:szCs w:val="22"/>
        </w:rPr>
        <w:t>om toch minimaal rekening te houden met</w:t>
      </w:r>
      <w:r>
        <w:rPr>
          <w:rFonts w:cs="Times New Roman"/>
          <w:sz w:val="22"/>
          <w:szCs w:val="22"/>
        </w:rPr>
        <w:t xml:space="preserve"> </w:t>
      </w:r>
      <w:r w:rsidRPr="00725800">
        <w:rPr>
          <w:rFonts w:cs="Times New Roman"/>
          <w:sz w:val="22"/>
          <w:szCs w:val="22"/>
        </w:rPr>
        <w:t>de golfbeweging die zich zou aftekenen in de periode 2008-2030 en</w:t>
      </w:r>
      <w:r>
        <w:rPr>
          <w:rFonts w:cs="Times New Roman"/>
          <w:sz w:val="22"/>
          <w:szCs w:val="22"/>
        </w:rPr>
        <w:t xml:space="preserve"> </w:t>
      </w:r>
      <w:r w:rsidRPr="00725800">
        <w:rPr>
          <w:rFonts w:cs="Times New Roman"/>
          <w:sz w:val="22"/>
          <w:szCs w:val="22"/>
        </w:rPr>
        <w:t>waarbij in 2030 opnieuw het niveau van 2008 zou gehaald worden. Tot 2017</w:t>
      </w:r>
      <w:r>
        <w:rPr>
          <w:rFonts w:cs="Times New Roman"/>
          <w:sz w:val="22"/>
          <w:szCs w:val="22"/>
        </w:rPr>
        <w:t xml:space="preserve"> </w:t>
      </w:r>
      <w:r w:rsidRPr="00725800">
        <w:rPr>
          <w:rFonts w:cs="Times New Roman"/>
          <w:sz w:val="22"/>
          <w:szCs w:val="22"/>
        </w:rPr>
        <w:t>zou er</w:t>
      </w:r>
      <w:r>
        <w:rPr>
          <w:rFonts w:cs="Times New Roman"/>
          <w:sz w:val="22"/>
          <w:szCs w:val="22"/>
        </w:rPr>
        <w:t xml:space="preserve"> </w:t>
      </w:r>
      <w:r w:rsidRPr="00725800">
        <w:rPr>
          <w:rFonts w:cs="Times New Roman"/>
          <w:sz w:val="22"/>
          <w:szCs w:val="22"/>
        </w:rPr>
        <w:t>(op basis van de prognoses)</w:t>
      </w:r>
      <w:r>
        <w:rPr>
          <w:rFonts w:cs="Times New Roman"/>
          <w:sz w:val="22"/>
          <w:szCs w:val="22"/>
        </w:rPr>
        <w:t xml:space="preserve"> </w:t>
      </w:r>
      <w:r w:rsidRPr="00725800">
        <w:rPr>
          <w:rFonts w:cs="Times New Roman"/>
          <w:sz w:val="22"/>
          <w:szCs w:val="22"/>
        </w:rPr>
        <w:t>blijvende aandacht nodig zijn voor s</w:t>
      </w:r>
      <w:r>
        <w:rPr>
          <w:rFonts w:cs="Times New Roman"/>
          <w:sz w:val="22"/>
          <w:szCs w:val="22"/>
        </w:rPr>
        <w:t>tijgende capaciteitsbehoeften ; i</w:t>
      </w:r>
      <w:r w:rsidRPr="00725800">
        <w:rPr>
          <w:rFonts w:cs="Times New Roman"/>
          <w:sz w:val="22"/>
          <w:szCs w:val="22"/>
        </w:rPr>
        <w:t>n de periode daarna zou zich net een daling voordoen.</w:t>
      </w:r>
      <w:r>
        <w:rPr>
          <w:rFonts w:cs="Times New Roman"/>
          <w:sz w:val="22"/>
          <w:szCs w:val="22"/>
        </w:rPr>
        <w:t xml:space="preserve"> </w:t>
      </w:r>
      <w:r w:rsidRPr="00725800">
        <w:rPr>
          <w:rFonts w:cs="Times New Roman"/>
          <w:sz w:val="22"/>
          <w:szCs w:val="22"/>
        </w:rPr>
        <w:t>Het vinden van een duurzaam antwoord</w:t>
      </w:r>
      <w:r>
        <w:rPr>
          <w:rFonts w:cs="Times New Roman"/>
          <w:sz w:val="22"/>
          <w:szCs w:val="22"/>
        </w:rPr>
        <w:t xml:space="preserve"> </w:t>
      </w:r>
      <w:r w:rsidRPr="00725800">
        <w:rPr>
          <w:rFonts w:cs="Times New Roman"/>
          <w:sz w:val="22"/>
          <w:szCs w:val="22"/>
        </w:rPr>
        <w:t>op</w:t>
      </w:r>
      <w:r>
        <w:rPr>
          <w:rFonts w:cs="Times New Roman"/>
          <w:sz w:val="22"/>
          <w:szCs w:val="22"/>
        </w:rPr>
        <w:t xml:space="preserve"> </w:t>
      </w:r>
      <w:r w:rsidRPr="00725800">
        <w:rPr>
          <w:rFonts w:cs="Times New Roman"/>
          <w:sz w:val="22"/>
          <w:szCs w:val="22"/>
        </w:rPr>
        <w:t>dergelijke golfbeweging zal een hele uitdaging zijn; zeker</w:t>
      </w:r>
      <w:r>
        <w:rPr>
          <w:rFonts w:cs="Times New Roman"/>
          <w:sz w:val="22"/>
          <w:szCs w:val="22"/>
        </w:rPr>
        <w:t xml:space="preserve"> </w:t>
      </w:r>
      <w:r w:rsidRPr="00725800">
        <w:rPr>
          <w:rFonts w:cs="Times New Roman"/>
          <w:sz w:val="22"/>
          <w:szCs w:val="22"/>
        </w:rPr>
        <w:t>op vlak van infrastructuur.</w:t>
      </w:r>
    </w:p>
    <w:p w:rsidR="003E2421" w:rsidRPr="00725800" w:rsidRDefault="003E2421" w:rsidP="00E43A36">
      <w:pPr>
        <w:pStyle w:val="BodyText"/>
        <w:spacing w:after="0"/>
        <w:jc w:val="both"/>
        <w:rPr>
          <w:rFonts w:cs="Times New Roman"/>
          <w:sz w:val="22"/>
          <w:szCs w:val="22"/>
        </w:rPr>
      </w:pPr>
    </w:p>
    <w:p w:rsidR="003E2421" w:rsidRPr="00725800" w:rsidRDefault="003E2421" w:rsidP="00E43A36">
      <w:pPr>
        <w:pStyle w:val="BodyText"/>
        <w:spacing w:after="0"/>
        <w:jc w:val="both"/>
        <w:rPr>
          <w:rFonts w:cs="Times New Roman"/>
          <w:sz w:val="22"/>
          <w:szCs w:val="22"/>
        </w:rPr>
      </w:pPr>
      <w:r w:rsidRPr="00725800">
        <w:rPr>
          <w:rFonts w:cs="Times New Roman"/>
          <w:sz w:val="22"/>
          <w:szCs w:val="22"/>
        </w:rPr>
        <w:t xml:space="preserve">In het kader van deze capaciteitsproblematiek is in januari 2011 in opdracht van het departement Onderwijs </w:t>
      </w:r>
      <w:r>
        <w:rPr>
          <w:rFonts w:cs="Times New Roman"/>
          <w:sz w:val="22"/>
          <w:szCs w:val="22"/>
        </w:rPr>
        <w:t>en</w:t>
      </w:r>
      <w:r w:rsidRPr="00725800">
        <w:rPr>
          <w:rFonts w:cs="Times New Roman"/>
          <w:sz w:val="22"/>
          <w:szCs w:val="22"/>
        </w:rPr>
        <w:t xml:space="preserve"> Vorming een haalbaarheidsstudie opgestart met een doorlooptijd van 11 maanden. Deze studie dient de haalbaarheid van een monitoringsysteem voor capaciteitsproblemen in het leerplicht</w:t>
      </w:r>
      <w:r>
        <w:rPr>
          <w:rFonts w:cs="Times New Roman"/>
          <w:sz w:val="22"/>
          <w:szCs w:val="22"/>
        </w:rPr>
        <w:t>-</w:t>
      </w:r>
      <w:r w:rsidRPr="00725800">
        <w:rPr>
          <w:rFonts w:cs="Times New Roman"/>
          <w:sz w:val="22"/>
          <w:szCs w:val="22"/>
        </w:rPr>
        <w:t>onderwijs te onderzoeken. Hierbij zal worden nagegaan in welke mate daarvoor bestaande monitors, registratiesystemen en databanken kunnen worden gebruikt. Het gevraagde onderzoek dient ook in kaart te brengen welke informatie vereist is (en op welk bestuursniveau) om lokaal gerichte en duurzame acties te kunnen ondernemen. In deze studie worden de reeds vermelde demografische vooruitzichten van de SVR mee opgenomen.</w:t>
      </w:r>
    </w:p>
    <w:p w:rsidR="003E2421" w:rsidRPr="00725800" w:rsidRDefault="003E2421" w:rsidP="00E43A36">
      <w:pPr>
        <w:pStyle w:val="BodyText"/>
        <w:spacing w:after="0"/>
        <w:jc w:val="both"/>
        <w:rPr>
          <w:rFonts w:cs="Times New Roman"/>
          <w:sz w:val="22"/>
          <w:szCs w:val="22"/>
        </w:rPr>
      </w:pPr>
    </w:p>
    <w:p w:rsidR="003E2421" w:rsidRPr="00725800" w:rsidRDefault="003E2421" w:rsidP="00E43A36">
      <w:pPr>
        <w:pStyle w:val="BodyText"/>
        <w:spacing w:after="0"/>
        <w:jc w:val="both"/>
        <w:rPr>
          <w:rFonts w:cs="Times New Roman"/>
          <w:sz w:val="22"/>
          <w:szCs w:val="22"/>
        </w:rPr>
      </w:pPr>
      <w:r w:rsidRPr="00725800">
        <w:rPr>
          <w:rFonts w:cs="Times New Roman"/>
          <w:sz w:val="22"/>
          <w:szCs w:val="22"/>
        </w:rPr>
        <w:t>Parallel</w:t>
      </w:r>
      <w:r>
        <w:rPr>
          <w:rFonts w:cs="Times New Roman"/>
          <w:sz w:val="22"/>
          <w:szCs w:val="22"/>
        </w:rPr>
        <w:t xml:space="preserve"> </w:t>
      </w:r>
      <w:r w:rsidRPr="00725800">
        <w:rPr>
          <w:rFonts w:cs="Times New Roman"/>
          <w:sz w:val="22"/>
          <w:szCs w:val="22"/>
        </w:rPr>
        <w:t xml:space="preserve">aan de haalbaarheidsstudie wordt door een werkgroep binnen de Vlaamse </w:t>
      </w:r>
      <w:r>
        <w:rPr>
          <w:rFonts w:cs="Times New Roman"/>
          <w:sz w:val="22"/>
          <w:szCs w:val="22"/>
        </w:rPr>
        <w:t>o</w:t>
      </w:r>
      <w:r w:rsidRPr="00725800">
        <w:rPr>
          <w:rFonts w:cs="Times New Roman"/>
          <w:sz w:val="22"/>
          <w:szCs w:val="22"/>
        </w:rPr>
        <w:t xml:space="preserve">verheid verder gewerkt aan de ontwikkeling van een instrument ter ondersteuning van de gemeenten bij het </w:t>
      </w:r>
      <w:r>
        <w:rPr>
          <w:rFonts w:cs="Times New Roman"/>
          <w:sz w:val="22"/>
          <w:szCs w:val="22"/>
        </w:rPr>
        <w:t xml:space="preserve">in </w:t>
      </w:r>
      <w:r w:rsidRPr="00725800">
        <w:rPr>
          <w:rFonts w:cs="Times New Roman"/>
          <w:sz w:val="22"/>
          <w:szCs w:val="22"/>
        </w:rPr>
        <w:t>kaart brengen van de capaciteitsbehoeften op het grondgebied van gemeenten waar zich mogelijk een capaciteitsprobleem stelt op korte of middellange termijn. Bij de analyse van</w:t>
      </w:r>
      <w:r>
        <w:rPr>
          <w:rFonts w:cs="Times New Roman"/>
          <w:sz w:val="22"/>
          <w:szCs w:val="22"/>
        </w:rPr>
        <w:t xml:space="preserve"> b</w:t>
      </w:r>
      <w:r w:rsidRPr="00725800">
        <w:rPr>
          <w:rFonts w:cs="Times New Roman"/>
          <w:sz w:val="22"/>
          <w:szCs w:val="22"/>
        </w:rPr>
        <w:t>eschikbare data kunnen gemeenten, waar minder expertise terzake aanwezig is, ook de steun inroepen van de provinciale steunpunten sociale planning. Tussen de werkgroep en het onderzoeksteam van de haalbaarheidsstudie wordt de afstemming via overleg gegarandeerd.</w:t>
      </w:r>
    </w:p>
    <w:p w:rsidR="003E2421" w:rsidRPr="004A2D28" w:rsidRDefault="003E2421" w:rsidP="004A2D28">
      <w:pPr>
        <w:pStyle w:val="StandaardSV"/>
        <w:tabs>
          <w:tab w:val="left" w:pos="567"/>
        </w:tabs>
      </w:pPr>
    </w:p>
    <w:p w:rsidR="003E2421" w:rsidRDefault="003E2421" w:rsidP="004859C9">
      <w:pPr>
        <w:rPr>
          <w:lang w:val="nl-BE"/>
        </w:rPr>
      </w:pPr>
    </w:p>
    <w:p w:rsidR="003E2421" w:rsidRPr="0070247D" w:rsidRDefault="003E2421" w:rsidP="00012446">
      <w:pPr>
        <w:pStyle w:val="StandaardSV"/>
        <w:tabs>
          <w:tab w:val="center" w:pos="4253"/>
          <w:tab w:val="right" w:pos="8278"/>
        </w:tabs>
        <w:rPr>
          <w:b/>
          <w:i/>
          <w:spacing w:val="-3"/>
        </w:rPr>
      </w:pPr>
      <w:r w:rsidRPr="0070247D">
        <w:rPr>
          <w:b/>
          <w:i/>
          <w:spacing w:val="-3"/>
        </w:rPr>
        <w:t>Vlaams minister Philippe Muyters</w:t>
      </w:r>
    </w:p>
    <w:p w:rsidR="003E2421" w:rsidRPr="0070247D" w:rsidRDefault="003E2421" w:rsidP="00012446">
      <w:pPr>
        <w:jc w:val="both"/>
        <w:rPr>
          <w:b/>
          <w:u w:val="single"/>
        </w:rPr>
      </w:pPr>
    </w:p>
    <w:p w:rsidR="003E2421" w:rsidRPr="00D30681" w:rsidRDefault="003E2421" w:rsidP="00742ACF">
      <w:pPr>
        <w:pStyle w:val="StandaardSV"/>
        <w:tabs>
          <w:tab w:val="left" w:pos="567"/>
        </w:tabs>
        <w:ind w:left="567" w:hanging="567"/>
        <w:rPr>
          <w:highlight w:val="yellow"/>
        </w:rPr>
      </w:pPr>
      <w:r>
        <w:t>1-2.</w:t>
      </w:r>
      <w:r>
        <w:tab/>
        <w:t xml:space="preserve">Het departement Werk en Sociale Economie en het Steunpunt Werk en Sociale Economie gebruikten de bevolkingsvooruitzichten van het Federaal Planbureau om de impact van de vergrijzing op de werkzaamheidsgraad te berekenen. </w:t>
      </w:r>
      <w:r w:rsidRPr="007A0D70">
        <w:t>De resultaten van de eerste berekening werden opgenomen in de Beleidsbrief Werk 2011.</w:t>
      </w:r>
    </w:p>
    <w:p w:rsidR="003E2421" w:rsidRDefault="003E2421" w:rsidP="00742ACF">
      <w:pPr>
        <w:pStyle w:val="StandaardSV"/>
        <w:ind w:left="567"/>
      </w:pPr>
    </w:p>
    <w:p w:rsidR="003E2421" w:rsidRDefault="003E2421" w:rsidP="00742ACF">
      <w:pPr>
        <w:pStyle w:val="StandaardSV"/>
        <w:ind w:left="567"/>
      </w:pPr>
      <w:r>
        <w:t>Nadien werd steeds duidelijker dat onze economie zich sneller dan verwacht herstelde van de economische crisis, en werden de berekeningen overgedaan op basis van nieuwe groeiverwachtingen. Deze laatste resultaten werden gerapporteerd in het Trendrapport 2010, een gezamenlijke publicatie van het Departement Werk en Sociale Economie en het gelijknamige Steunpunt.</w:t>
      </w:r>
    </w:p>
    <w:p w:rsidR="003E2421" w:rsidRDefault="003E2421" w:rsidP="00742ACF">
      <w:pPr>
        <w:pStyle w:val="StandaardSV"/>
        <w:ind w:left="567"/>
      </w:pPr>
    </w:p>
    <w:p w:rsidR="003E2421" w:rsidRDefault="003E2421" w:rsidP="00742ACF">
      <w:pPr>
        <w:pStyle w:val="StandaardSV"/>
        <w:ind w:left="567"/>
      </w:pPr>
      <w:r>
        <w:t>Volgens deze berekeningen zouden 74,1% van de Vlamingen tussen 20 en 64 jaar in het jaar 2020 aan het werk zijn. Indien de Vlaamse bevolking niet zou verouderen, zou dit percentage 75,8% bedragen. Zonder vergrijzing zou Vlaanderen dus de Europa 2020-doelstelling van 75% behalen, nu zijn bijkomende beleidsingrepen nodig om de doelstelling te behalen. De vergrijzing zal in de komende jaren een remmende factor zijn op de werkzaamheidsgraad en andere targets zoals vooropgesteld in het Pact 2020.</w:t>
      </w:r>
    </w:p>
    <w:p w:rsidR="003E2421" w:rsidRDefault="003E2421" w:rsidP="00742ACF">
      <w:pPr>
        <w:pStyle w:val="StandaardSV"/>
        <w:ind w:left="567"/>
      </w:pPr>
    </w:p>
    <w:p w:rsidR="003E2421" w:rsidRDefault="003E2421" w:rsidP="00742ACF">
      <w:pPr>
        <w:pStyle w:val="StandaardSV"/>
        <w:ind w:left="567"/>
      </w:pPr>
      <w:r>
        <w:t xml:space="preserve">Verder noteer ik dat uit de bevolkingsvooruitzichten bleek dat er in 2010 voor elke 100 Vlamingen tussen 55 en 64 jaar slechts 94 jongeren tussen 15 en 24 jaar klaarstaan om hen te vervangen bij hun pensioen. In 2020 zullen er zelfs nog maar 78 jongeren zijn per 100 ouderen. De ontgroening en de vergrijzing van de Vlaamse bevolking zullen het extra moeilijk maken om de </w:t>
      </w:r>
      <w:r w:rsidRPr="00EF1600">
        <w:rPr>
          <w:i/>
        </w:rPr>
        <w:t>baby boom</w:t>
      </w:r>
      <w:r>
        <w:t>-generatie te vervangen wanneer deze met pensioen gaat.</w:t>
      </w:r>
    </w:p>
    <w:p w:rsidR="003E2421" w:rsidRDefault="003E2421" w:rsidP="00742ACF">
      <w:pPr>
        <w:pStyle w:val="StandaardSV"/>
        <w:ind w:left="567"/>
      </w:pPr>
    </w:p>
    <w:p w:rsidR="003E2421" w:rsidRPr="007658F7" w:rsidRDefault="003E2421" w:rsidP="00742ACF">
      <w:pPr>
        <w:pStyle w:val="StandaardSV"/>
        <w:ind w:left="567"/>
        <w:rPr>
          <w:lang w:val="nl-BE"/>
        </w:rPr>
      </w:pPr>
      <w:r>
        <w:t>Bovendien vergroot dit de druk op onze sociale zekerheid. Volgens de studiecommissie voor de vergrijzing zou de</w:t>
      </w:r>
      <w:r>
        <w:rPr>
          <w:lang w:val="nl-BE"/>
        </w:rPr>
        <w:t xml:space="preserve"> </w:t>
      </w:r>
      <w:r w:rsidRPr="007658F7">
        <w:rPr>
          <w:lang w:val="nl-BE"/>
        </w:rPr>
        <w:t>ouderenwerkzaamheidsgraad</w:t>
      </w:r>
      <w:r>
        <w:rPr>
          <w:lang w:val="nl-BE"/>
        </w:rPr>
        <w:t xml:space="preserve"> </w:t>
      </w:r>
      <w:r w:rsidRPr="007658F7">
        <w:rPr>
          <w:lang w:val="nl-BE"/>
        </w:rPr>
        <w:t>60,2%</w:t>
      </w:r>
      <w:r>
        <w:rPr>
          <w:lang w:val="nl-BE"/>
        </w:rPr>
        <w:t xml:space="preserve"> moeten bedragen in 2030 om de budgettaire kosten van de vergrijzing te ondervangen. </w:t>
      </w:r>
      <w:r>
        <w:t xml:space="preserve">In 2010 zullen er voor elke 100 Vlamingen op beroepsactieve leeftijd (15-64 jaar) 30 65-plussers zijn, en in 2030 wel 45. Dat is een toename met meer dan 50 %. Deze laatste cijfers stonden </w:t>
      </w:r>
      <w:bookmarkStart w:id="6" w:name="_GoBack"/>
      <w:bookmarkEnd w:id="6"/>
      <w:r>
        <w:t>ook in mijn beleidsbrief 2011.</w:t>
      </w:r>
    </w:p>
    <w:p w:rsidR="003E2421" w:rsidRDefault="003E2421" w:rsidP="00742ACF">
      <w:pPr>
        <w:pStyle w:val="StandaardSV"/>
        <w:ind w:left="567"/>
      </w:pPr>
    </w:p>
    <w:p w:rsidR="003E2421" w:rsidRPr="007A0D70" w:rsidRDefault="003E2421" w:rsidP="00742ACF">
      <w:pPr>
        <w:pStyle w:val="StandaardSV"/>
        <w:ind w:left="567"/>
      </w:pPr>
      <w:r w:rsidRPr="007A0D70">
        <w:t>De eindeloopbaanproblematiek is voor mij van primordiaal belang. Ik blijf de problematiek in al zijn consequenties voor de arbeidsmarkt aan de kaak stellen in diverse fora (VIA-ronde tafel, VESOC, …). Ik ben ook uitermate tevreden dat we met de sociale partners tot een akkoord zijn kunnen komen over de uitbreiding van de systematische begeleidingsaanpak voor werkzoekende 50-plussers. De cijfers tonen aan dat het nodig was die stap te nemen.</w:t>
      </w:r>
    </w:p>
    <w:p w:rsidR="003E2421" w:rsidRPr="007A0D70" w:rsidRDefault="003E2421" w:rsidP="00742ACF">
      <w:pPr>
        <w:pStyle w:val="StandaardSV"/>
      </w:pPr>
    </w:p>
    <w:p w:rsidR="003E2421" w:rsidRPr="007A0D70" w:rsidRDefault="003E2421" w:rsidP="00742ACF">
      <w:pPr>
        <w:pStyle w:val="StandaardSV"/>
        <w:tabs>
          <w:tab w:val="left" w:pos="567"/>
        </w:tabs>
      </w:pPr>
      <w:r>
        <w:t>3.</w:t>
      </w:r>
      <w:r>
        <w:tab/>
      </w:r>
      <w:r w:rsidRPr="007A0D70">
        <w:t xml:space="preserve">De beleidsbrief Werk 2011 werd besproken in de Commissie </w:t>
      </w:r>
      <w:r>
        <w:t xml:space="preserve">Werk </w:t>
      </w:r>
      <w:r w:rsidRPr="007A0D70">
        <w:t>van 25 november 2010.</w:t>
      </w:r>
    </w:p>
    <w:sectPr w:rsidR="003E2421" w:rsidRPr="007A0D7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277"/>
    <w:multiLevelType w:val="hybridMultilevel"/>
    <w:tmpl w:val="A816CFCE"/>
    <w:lvl w:ilvl="0" w:tplc="0413000F">
      <w:start w:val="1"/>
      <w:numFmt w:val="decimal"/>
      <w:lvlText w:val="%1."/>
      <w:lvlJc w:val="left"/>
      <w:pPr>
        <w:tabs>
          <w:tab w:val="num" w:pos="1920"/>
        </w:tabs>
        <w:ind w:left="1920" w:hanging="360"/>
      </w:pPr>
      <w:rPr>
        <w:rFonts w:cs="Times New Roman"/>
      </w:rPr>
    </w:lvl>
    <w:lvl w:ilvl="1" w:tplc="04130019" w:tentative="1">
      <w:start w:val="1"/>
      <w:numFmt w:val="lowerLetter"/>
      <w:lvlText w:val="%2."/>
      <w:lvlJc w:val="left"/>
      <w:pPr>
        <w:tabs>
          <w:tab w:val="num" w:pos="2640"/>
        </w:tabs>
        <w:ind w:left="2640" w:hanging="360"/>
      </w:pPr>
      <w:rPr>
        <w:rFonts w:cs="Times New Roman"/>
      </w:rPr>
    </w:lvl>
    <w:lvl w:ilvl="2" w:tplc="0413001B" w:tentative="1">
      <w:start w:val="1"/>
      <w:numFmt w:val="lowerRoman"/>
      <w:lvlText w:val="%3."/>
      <w:lvlJc w:val="right"/>
      <w:pPr>
        <w:tabs>
          <w:tab w:val="num" w:pos="3360"/>
        </w:tabs>
        <w:ind w:left="3360" w:hanging="180"/>
      </w:pPr>
      <w:rPr>
        <w:rFonts w:cs="Times New Roman"/>
      </w:rPr>
    </w:lvl>
    <w:lvl w:ilvl="3" w:tplc="0413000F" w:tentative="1">
      <w:start w:val="1"/>
      <w:numFmt w:val="decimal"/>
      <w:lvlText w:val="%4."/>
      <w:lvlJc w:val="left"/>
      <w:pPr>
        <w:tabs>
          <w:tab w:val="num" w:pos="4080"/>
        </w:tabs>
        <w:ind w:left="4080" w:hanging="360"/>
      </w:pPr>
      <w:rPr>
        <w:rFonts w:cs="Times New Roman"/>
      </w:rPr>
    </w:lvl>
    <w:lvl w:ilvl="4" w:tplc="04130019" w:tentative="1">
      <w:start w:val="1"/>
      <w:numFmt w:val="lowerLetter"/>
      <w:lvlText w:val="%5."/>
      <w:lvlJc w:val="left"/>
      <w:pPr>
        <w:tabs>
          <w:tab w:val="num" w:pos="4800"/>
        </w:tabs>
        <w:ind w:left="4800" w:hanging="360"/>
      </w:pPr>
      <w:rPr>
        <w:rFonts w:cs="Times New Roman"/>
      </w:rPr>
    </w:lvl>
    <w:lvl w:ilvl="5" w:tplc="0413001B" w:tentative="1">
      <w:start w:val="1"/>
      <w:numFmt w:val="lowerRoman"/>
      <w:lvlText w:val="%6."/>
      <w:lvlJc w:val="right"/>
      <w:pPr>
        <w:tabs>
          <w:tab w:val="num" w:pos="5520"/>
        </w:tabs>
        <w:ind w:left="5520" w:hanging="180"/>
      </w:pPr>
      <w:rPr>
        <w:rFonts w:cs="Times New Roman"/>
      </w:rPr>
    </w:lvl>
    <w:lvl w:ilvl="6" w:tplc="0413000F" w:tentative="1">
      <w:start w:val="1"/>
      <w:numFmt w:val="decimal"/>
      <w:lvlText w:val="%7."/>
      <w:lvlJc w:val="left"/>
      <w:pPr>
        <w:tabs>
          <w:tab w:val="num" w:pos="6240"/>
        </w:tabs>
        <w:ind w:left="6240" w:hanging="360"/>
      </w:pPr>
      <w:rPr>
        <w:rFonts w:cs="Times New Roman"/>
      </w:rPr>
    </w:lvl>
    <w:lvl w:ilvl="7" w:tplc="04130019" w:tentative="1">
      <w:start w:val="1"/>
      <w:numFmt w:val="lowerLetter"/>
      <w:lvlText w:val="%8."/>
      <w:lvlJc w:val="left"/>
      <w:pPr>
        <w:tabs>
          <w:tab w:val="num" w:pos="6960"/>
        </w:tabs>
        <w:ind w:left="6960" w:hanging="360"/>
      </w:pPr>
      <w:rPr>
        <w:rFonts w:cs="Times New Roman"/>
      </w:rPr>
    </w:lvl>
    <w:lvl w:ilvl="8" w:tplc="0413001B" w:tentative="1">
      <w:start w:val="1"/>
      <w:numFmt w:val="lowerRoman"/>
      <w:lvlText w:val="%9."/>
      <w:lvlJc w:val="right"/>
      <w:pPr>
        <w:tabs>
          <w:tab w:val="num" w:pos="7680"/>
        </w:tabs>
        <w:ind w:left="7680" w:hanging="180"/>
      </w:pPr>
      <w:rPr>
        <w:rFonts w:cs="Times New Roman"/>
      </w:rPr>
    </w:lvl>
  </w:abstractNum>
  <w:abstractNum w:abstractNumId="1">
    <w:nsid w:val="03B029D3"/>
    <w:multiLevelType w:val="hybridMultilevel"/>
    <w:tmpl w:val="668C9EA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7295396"/>
    <w:multiLevelType w:val="hybridMultilevel"/>
    <w:tmpl w:val="3374538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081A76C1"/>
    <w:multiLevelType w:val="hybridMultilevel"/>
    <w:tmpl w:val="01FA4A6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095F2EEB"/>
    <w:multiLevelType w:val="hybridMultilevel"/>
    <w:tmpl w:val="20A8192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0D116C3B"/>
    <w:multiLevelType w:val="hybridMultilevel"/>
    <w:tmpl w:val="E1F02E6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C2F6E02"/>
    <w:multiLevelType w:val="multilevel"/>
    <w:tmpl w:val="AD1A55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CD67834"/>
    <w:multiLevelType w:val="hybridMultilevel"/>
    <w:tmpl w:val="9E048B5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1E085216"/>
    <w:multiLevelType w:val="multilevel"/>
    <w:tmpl w:val="20A819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1F3F72D5"/>
    <w:multiLevelType w:val="multilevel"/>
    <w:tmpl w:val="E1F02E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46351CC5"/>
    <w:multiLevelType w:val="hybridMultilevel"/>
    <w:tmpl w:val="0C94D70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4F984FB3"/>
    <w:multiLevelType w:val="hybridMultilevel"/>
    <w:tmpl w:val="AD1A55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58574C54"/>
    <w:multiLevelType w:val="hybridMultilevel"/>
    <w:tmpl w:val="5B58B16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597522E3"/>
    <w:multiLevelType w:val="hybridMultilevel"/>
    <w:tmpl w:val="4F56267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5">
    <w:nsid w:val="62650EAD"/>
    <w:multiLevelType w:val="multilevel"/>
    <w:tmpl w:val="8E7A54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6EE1000"/>
    <w:multiLevelType w:val="hybridMultilevel"/>
    <w:tmpl w:val="0DD292C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4"/>
  </w:num>
  <w:num w:numId="3">
    <w:abstractNumId w:val="16"/>
  </w:num>
  <w:num w:numId="4">
    <w:abstractNumId w:val="13"/>
  </w:num>
  <w:num w:numId="5">
    <w:abstractNumId w:val="2"/>
  </w:num>
  <w:num w:numId="6">
    <w:abstractNumId w:val="0"/>
  </w:num>
  <w:num w:numId="7">
    <w:abstractNumId w:val="15"/>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7"/>
  </w:num>
  <w:num w:numId="13">
    <w:abstractNumId w:val="3"/>
  </w:num>
  <w:num w:numId="14">
    <w:abstractNumId w:val="4"/>
  </w:num>
  <w:num w:numId="15">
    <w:abstractNumId w:val="11"/>
  </w:num>
  <w:num w:numId="16">
    <w:abstractNumId w:val="6"/>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2446"/>
    <w:rsid w:val="00015BF7"/>
    <w:rsid w:val="00016484"/>
    <w:rsid w:val="00017AFD"/>
    <w:rsid w:val="00044B4F"/>
    <w:rsid w:val="00076D92"/>
    <w:rsid w:val="000865DB"/>
    <w:rsid w:val="000976E9"/>
    <w:rsid w:val="000C0C7F"/>
    <w:rsid w:val="000C4E8C"/>
    <w:rsid w:val="000F3532"/>
    <w:rsid w:val="00123E42"/>
    <w:rsid w:val="001B6E48"/>
    <w:rsid w:val="001C2719"/>
    <w:rsid w:val="001F7390"/>
    <w:rsid w:val="002041D7"/>
    <w:rsid w:val="00210C07"/>
    <w:rsid w:val="00266E3B"/>
    <w:rsid w:val="00294CDD"/>
    <w:rsid w:val="002A6B4A"/>
    <w:rsid w:val="002F1E81"/>
    <w:rsid w:val="002F2DEA"/>
    <w:rsid w:val="00326A58"/>
    <w:rsid w:val="0035184E"/>
    <w:rsid w:val="003705A2"/>
    <w:rsid w:val="0037062D"/>
    <w:rsid w:val="003C5940"/>
    <w:rsid w:val="003E2421"/>
    <w:rsid w:val="003E6C76"/>
    <w:rsid w:val="0041623A"/>
    <w:rsid w:val="004812F6"/>
    <w:rsid w:val="004859C9"/>
    <w:rsid w:val="004A2D28"/>
    <w:rsid w:val="004C1B3C"/>
    <w:rsid w:val="004E2833"/>
    <w:rsid w:val="00525CFE"/>
    <w:rsid w:val="00563D50"/>
    <w:rsid w:val="00564621"/>
    <w:rsid w:val="00566C53"/>
    <w:rsid w:val="005900AD"/>
    <w:rsid w:val="005D5154"/>
    <w:rsid w:val="005E38CA"/>
    <w:rsid w:val="0063138E"/>
    <w:rsid w:val="006414BD"/>
    <w:rsid w:val="006548DD"/>
    <w:rsid w:val="0069646E"/>
    <w:rsid w:val="006B0D0E"/>
    <w:rsid w:val="006D5BB1"/>
    <w:rsid w:val="006E4DEA"/>
    <w:rsid w:val="006E59DE"/>
    <w:rsid w:val="006F0959"/>
    <w:rsid w:val="0070247D"/>
    <w:rsid w:val="0071248C"/>
    <w:rsid w:val="007252C7"/>
    <w:rsid w:val="00725800"/>
    <w:rsid w:val="00742ACF"/>
    <w:rsid w:val="007474BA"/>
    <w:rsid w:val="00755A36"/>
    <w:rsid w:val="007658F7"/>
    <w:rsid w:val="007829B0"/>
    <w:rsid w:val="00785A0D"/>
    <w:rsid w:val="007A0D70"/>
    <w:rsid w:val="007B177C"/>
    <w:rsid w:val="007B28B4"/>
    <w:rsid w:val="007F60A8"/>
    <w:rsid w:val="007F75C7"/>
    <w:rsid w:val="008346AE"/>
    <w:rsid w:val="00864167"/>
    <w:rsid w:val="00894185"/>
    <w:rsid w:val="008973D9"/>
    <w:rsid w:val="008A713D"/>
    <w:rsid w:val="008D5DB4"/>
    <w:rsid w:val="008F4810"/>
    <w:rsid w:val="008F7CC1"/>
    <w:rsid w:val="0091799C"/>
    <w:rsid w:val="00933D8D"/>
    <w:rsid w:val="009347E0"/>
    <w:rsid w:val="009D0587"/>
    <w:rsid w:val="009D7043"/>
    <w:rsid w:val="00A13F12"/>
    <w:rsid w:val="00A42280"/>
    <w:rsid w:val="00A55919"/>
    <w:rsid w:val="00A73315"/>
    <w:rsid w:val="00A76EC9"/>
    <w:rsid w:val="00A804C0"/>
    <w:rsid w:val="00AA71C0"/>
    <w:rsid w:val="00AD3F40"/>
    <w:rsid w:val="00B022FE"/>
    <w:rsid w:val="00B02503"/>
    <w:rsid w:val="00B03BF1"/>
    <w:rsid w:val="00B05B2E"/>
    <w:rsid w:val="00B2176C"/>
    <w:rsid w:val="00B45EB2"/>
    <w:rsid w:val="00B60F0E"/>
    <w:rsid w:val="00B85DEE"/>
    <w:rsid w:val="00B9476E"/>
    <w:rsid w:val="00BC2EF7"/>
    <w:rsid w:val="00BE26A4"/>
    <w:rsid w:val="00BE425A"/>
    <w:rsid w:val="00C0707D"/>
    <w:rsid w:val="00C67E94"/>
    <w:rsid w:val="00CE006E"/>
    <w:rsid w:val="00D30681"/>
    <w:rsid w:val="00D71D99"/>
    <w:rsid w:val="00D754F2"/>
    <w:rsid w:val="00D80112"/>
    <w:rsid w:val="00DB41C0"/>
    <w:rsid w:val="00DC4DB6"/>
    <w:rsid w:val="00DD19EF"/>
    <w:rsid w:val="00DD4121"/>
    <w:rsid w:val="00DE2E4A"/>
    <w:rsid w:val="00E12C5D"/>
    <w:rsid w:val="00E31F4D"/>
    <w:rsid w:val="00E43A36"/>
    <w:rsid w:val="00E55200"/>
    <w:rsid w:val="00E75830"/>
    <w:rsid w:val="00EF1600"/>
    <w:rsid w:val="00F033DE"/>
    <w:rsid w:val="00F369E3"/>
    <w:rsid w:val="00F77DD7"/>
    <w:rsid w:val="00F8586F"/>
    <w:rsid w:val="00FA29D6"/>
    <w:rsid w:val="00FA5C7B"/>
    <w:rsid w:val="00FB3D24"/>
    <w:rsid w:val="00FB5887"/>
    <w:rsid w:val="00FC4261"/>
    <w:rsid w:val="00FD5BF4"/>
    <w:rsid w:val="00FE5406"/>
    <w:rsid w:val="00FF26C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20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601206"/>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601206"/>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601206"/>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link w:val="StandaardSVChar"/>
    <w:uiPriority w:val="99"/>
    <w:rsid w:val="00012446"/>
    <w:pPr>
      <w:jc w:val="both"/>
    </w:pPr>
    <w:rPr>
      <w:szCs w:val="20"/>
    </w:rPr>
  </w:style>
  <w:style w:type="character" w:customStyle="1" w:styleId="StandaardSVChar">
    <w:name w:val="Standaard SV Char"/>
    <w:basedOn w:val="DefaultParagraphFont"/>
    <w:link w:val="StandaardSV"/>
    <w:uiPriority w:val="99"/>
    <w:locked/>
    <w:rsid w:val="00012446"/>
    <w:rPr>
      <w:rFonts w:cs="Times New Roman"/>
      <w:sz w:val="22"/>
      <w:lang w:val="nl-NL" w:eastAsia="nl-NL"/>
    </w:rPr>
  </w:style>
  <w:style w:type="paragraph" w:customStyle="1" w:styleId="SVTitel">
    <w:name w:val="SV Titel"/>
    <w:basedOn w:val="Normal"/>
    <w:uiPriority w:val="99"/>
    <w:rsid w:val="00933D8D"/>
    <w:pPr>
      <w:jc w:val="both"/>
    </w:pPr>
    <w:rPr>
      <w:i/>
      <w:szCs w:val="20"/>
    </w:rPr>
  </w:style>
  <w:style w:type="character" w:styleId="Hyperlink">
    <w:name w:val="Hyperlink"/>
    <w:basedOn w:val="DefaultParagraphFont"/>
    <w:uiPriority w:val="99"/>
    <w:rsid w:val="00933D8D"/>
    <w:rPr>
      <w:rFonts w:cs="Times New Roman"/>
      <w:color w:val="0000FF"/>
      <w:u w:val="single"/>
    </w:rPr>
  </w:style>
  <w:style w:type="character" w:styleId="FollowedHyperlink">
    <w:name w:val="FollowedHyperlink"/>
    <w:basedOn w:val="DefaultParagraphFont"/>
    <w:uiPriority w:val="99"/>
    <w:rsid w:val="00A55919"/>
    <w:rPr>
      <w:rFonts w:cs="Times New Roman"/>
      <w:color w:val="800080"/>
      <w:u w:val="single"/>
    </w:rPr>
  </w:style>
  <w:style w:type="paragraph" w:styleId="BodyText">
    <w:name w:val="Body Text"/>
    <w:basedOn w:val="Normal"/>
    <w:link w:val="BodyTextChar"/>
    <w:uiPriority w:val="99"/>
    <w:rsid w:val="004A2D28"/>
    <w:pPr>
      <w:widowControl w:val="0"/>
      <w:suppressAutoHyphens/>
      <w:spacing w:after="120"/>
    </w:pPr>
    <w:rPr>
      <w:rFonts w:eastAsia="SimSun" w:cs="Mangal"/>
      <w:kern w:val="1"/>
      <w:sz w:val="24"/>
      <w:lang w:val="nl-BE" w:eastAsia="hi-IN" w:bidi="hi-IN"/>
    </w:rPr>
  </w:style>
  <w:style w:type="character" w:customStyle="1" w:styleId="BodyTextChar">
    <w:name w:val="Body Text Char"/>
    <w:basedOn w:val="DefaultParagraphFont"/>
    <w:link w:val="BodyText"/>
    <w:uiPriority w:val="99"/>
    <w:locked/>
    <w:rsid w:val="004A2D28"/>
    <w:rPr>
      <w:rFonts w:eastAsia="SimSun" w:cs="Mangal"/>
      <w:kern w:val="1"/>
      <w:sz w:val="24"/>
      <w:szCs w:val="24"/>
      <w:lang w:eastAsia="hi-IN" w:bidi="hi-IN"/>
    </w:rPr>
  </w:style>
  <w:style w:type="paragraph" w:styleId="ListParagraph">
    <w:name w:val="List Paragraph"/>
    <w:basedOn w:val="Normal"/>
    <w:uiPriority w:val="99"/>
    <w:qFormat/>
    <w:rsid w:val="007F75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rg-en-gezondheid.be/Cijfers/Cijfers-over-sterf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aties@vlaanderen.be" TargetMode="External"/><Relationship Id="rId5" Type="http://schemas.openxmlformats.org/officeDocument/2006/relationships/hyperlink" Target="http://www4.vlaanderen.be/dar/svr/Pages/2011-01-24-studiedag-projectie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88</TotalTime>
  <Pages>9</Pages>
  <Words>5131</Words>
  <Characters>28224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cp:lastPrinted>2011-03-16T12:24:00Z</cp:lastPrinted>
  <dcterms:created xsi:type="dcterms:W3CDTF">2011-03-15T14:48:00Z</dcterms:created>
  <dcterms:modified xsi:type="dcterms:W3CDTF">2011-03-21T08:06:00Z</dcterms:modified>
</cp:coreProperties>
</file>