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EB4" w:rsidRPr="005E42A3" w:rsidRDefault="00891EB4" w:rsidP="005E42A3">
      <w:pPr>
        <w:jc w:val="both"/>
        <w:outlineLvl w:val="0"/>
        <w:rPr>
          <w:rFonts w:ascii="Times New Roman Vet" w:hAnsi="Times New Roman Vet"/>
          <w:b/>
          <w:smallCaps/>
          <w:sz w:val="22"/>
          <w:szCs w:val="22"/>
          <w:lang w:val="nl-BE"/>
        </w:rPr>
      </w:pPr>
      <w:smartTag w:uri="urn:schemas-microsoft-com:office:smarttags" w:element="PersonName">
        <w:smartTagPr>
          <w:attr w:name="ProductID" w:val="KRIS PEETERS"/>
        </w:smartTagPr>
        <w:r w:rsidRPr="005E42A3">
          <w:rPr>
            <w:rFonts w:ascii="Times New Roman Vet" w:hAnsi="Times New Roman Vet"/>
            <w:b/>
            <w:smallCaps/>
            <w:sz w:val="22"/>
            <w:szCs w:val="22"/>
            <w:lang w:val="nl-BE"/>
          </w:rPr>
          <w:t>kris peeters</w:t>
        </w:r>
      </w:smartTag>
    </w:p>
    <w:p w:rsidR="00891EB4" w:rsidRPr="005E42A3" w:rsidRDefault="00891EB4" w:rsidP="005E42A3">
      <w:pPr>
        <w:jc w:val="both"/>
        <w:rPr>
          <w:smallCaps/>
          <w:sz w:val="22"/>
          <w:szCs w:val="22"/>
          <w:lang w:val="nl-BE"/>
        </w:rPr>
      </w:pPr>
      <w:r w:rsidRPr="005E42A3">
        <w:rPr>
          <w:smallCaps/>
          <w:sz w:val="22"/>
          <w:szCs w:val="22"/>
          <w:lang w:val="nl-BE"/>
        </w:rPr>
        <w:t>minister-president van de vlaamse regering, vlaams minister van economie, buitenlands beleid, landbouw en plattelandsbeleid</w:t>
      </w:r>
    </w:p>
    <w:p w:rsidR="00891EB4" w:rsidRPr="005E42A3" w:rsidRDefault="00891EB4" w:rsidP="005E42A3">
      <w:pPr>
        <w:pStyle w:val="StandaardSV"/>
        <w:pBdr>
          <w:bottom w:val="single" w:sz="4" w:space="1" w:color="auto"/>
        </w:pBdr>
        <w:rPr>
          <w:szCs w:val="22"/>
          <w:lang w:val="nl-BE"/>
        </w:rPr>
      </w:pPr>
    </w:p>
    <w:p w:rsidR="00891EB4" w:rsidRPr="005E42A3" w:rsidRDefault="00891EB4" w:rsidP="005E42A3">
      <w:pPr>
        <w:jc w:val="both"/>
        <w:outlineLvl w:val="0"/>
        <w:rPr>
          <w:rFonts w:ascii="Times New Roman Vet" w:hAnsi="Times New Roman Vet"/>
          <w:b/>
          <w:smallCaps/>
          <w:sz w:val="22"/>
          <w:szCs w:val="22"/>
          <w:lang w:val="nl-BE"/>
        </w:rPr>
      </w:pPr>
    </w:p>
    <w:p w:rsidR="00891EB4" w:rsidRPr="005E42A3" w:rsidRDefault="00891EB4" w:rsidP="005E42A3">
      <w:pPr>
        <w:jc w:val="both"/>
        <w:outlineLvl w:val="0"/>
        <w:rPr>
          <w:rFonts w:ascii="Times New Roman Vet" w:hAnsi="Times New Roman Vet"/>
          <w:b/>
          <w:smallCaps/>
          <w:sz w:val="22"/>
          <w:szCs w:val="22"/>
          <w:lang w:val="nl-BE"/>
        </w:rPr>
      </w:pPr>
      <w:r w:rsidRPr="005E42A3">
        <w:rPr>
          <w:rFonts w:ascii="Times New Roman Vet" w:hAnsi="Times New Roman Vet"/>
          <w:b/>
          <w:smallCaps/>
          <w:sz w:val="22"/>
          <w:szCs w:val="22"/>
          <w:lang w:val="nl-BE"/>
        </w:rPr>
        <w:t>antwoord</w:t>
      </w:r>
    </w:p>
    <w:p w:rsidR="00891EB4" w:rsidRPr="005E42A3" w:rsidRDefault="00891EB4" w:rsidP="005E42A3">
      <w:pPr>
        <w:jc w:val="both"/>
        <w:outlineLvl w:val="0"/>
        <w:rPr>
          <w:sz w:val="22"/>
          <w:szCs w:val="22"/>
        </w:rPr>
      </w:pPr>
      <w:r>
        <w:rPr>
          <w:sz w:val="22"/>
          <w:szCs w:val="22"/>
        </w:rPr>
        <w:t>o</w:t>
      </w:r>
      <w:r w:rsidRPr="005E42A3">
        <w:rPr>
          <w:sz w:val="22"/>
          <w:szCs w:val="22"/>
        </w:rPr>
        <w:t>p vraag nr. 166 van 2 februari 2011</w:t>
      </w:r>
    </w:p>
    <w:p w:rsidR="00891EB4" w:rsidRPr="005E42A3" w:rsidRDefault="00891EB4" w:rsidP="005E42A3">
      <w:pPr>
        <w:jc w:val="both"/>
        <w:rPr>
          <w:b/>
          <w:sz w:val="22"/>
          <w:szCs w:val="22"/>
        </w:rPr>
      </w:pPr>
      <w:r w:rsidRPr="005E42A3">
        <w:rPr>
          <w:sz w:val="22"/>
          <w:szCs w:val="22"/>
        </w:rPr>
        <w:t xml:space="preserve">van </w:t>
      </w:r>
      <w:r w:rsidRPr="005E42A3">
        <w:rPr>
          <w:b/>
          <w:smallCaps/>
          <w:sz w:val="22"/>
          <w:szCs w:val="22"/>
        </w:rPr>
        <w:t>wilfried vandaele</w:t>
      </w:r>
    </w:p>
    <w:p w:rsidR="00891EB4" w:rsidRPr="005E42A3" w:rsidRDefault="00891EB4" w:rsidP="005E42A3">
      <w:pPr>
        <w:pBdr>
          <w:bottom w:val="single" w:sz="4" w:space="1" w:color="auto"/>
        </w:pBdr>
        <w:jc w:val="both"/>
        <w:rPr>
          <w:sz w:val="22"/>
          <w:szCs w:val="22"/>
        </w:rPr>
      </w:pPr>
    </w:p>
    <w:p w:rsidR="00891EB4" w:rsidRDefault="00891EB4" w:rsidP="005E42A3">
      <w:pPr>
        <w:pStyle w:val="StandaardSV"/>
        <w:rPr>
          <w:szCs w:val="22"/>
        </w:rPr>
      </w:pPr>
    </w:p>
    <w:p w:rsidR="00891EB4" w:rsidRPr="005E42A3" w:rsidRDefault="00891EB4" w:rsidP="005E42A3">
      <w:pPr>
        <w:pStyle w:val="StandaardSV"/>
        <w:rPr>
          <w:szCs w:val="22"/>
        </w:rPr>
      </w:pPr>
    </w:p>
    <w:p w:rsidR="00891EB4" w:rsidRDefault="00891EB4" w:rsidP="005E42A3">
      <w:pPr>
        <w:pStyle w:val="StandaardSV"/>
        <w:numPr>
          <w:ilvl w:val="0"/>
          <w:numId w:val="29"/>
        </w:numPr>
        <w:rPr>
          <w:szCs w:val="22"/>
        </w:rPr>
      </w:pPr>
      <w:r w:rsidRPr="005E42A3">
        <w:rPr>
          <w:szCs w:val="22"/>
        </w:rPr>
        <w:t>In 2010 werden bij het VLIF 3601 dossiers ingeleid. Bij de steunmaatregelen wordt een onde</w:t>
      </w:r>
      <w:r w:rsidRPr="005E42A3">
        <w:rPr>
          <w:szCs w:val="22"/>
        </w:rPr>
        <w:t>r</w:t>
      </w:r>
      <w:r w:rsidRPr="005E42A3">
        <w:rPr>
          <w:szCs w:val="22"/>
        </w:rPr>
        <w:t>scheid gemaakt tussen vestigingssteun, investeringssteun en steun voor investeringen gericht op diversificatie naar niet-landbouwactiviteiten. In één dossier kan steun aangevraagd worden in het kader van verschillende maatregelen. Uitgesplitst naar aard van de aangevraagde steun zijn de aa</w:t>
      </w:r>
      <w:r w:rsidRPr="005E42A3">
        <w:rPr>
          <w:szCs w:val="22"/>
        </w:rPr>
        <w:t>n</w:t>
      </w:r>
      <w:r w:rsidRPr="005E42A3">
        <w:rPr>
          <w:szCs w:val="22"/>
        </w:rPr>
        <w:t>tallen als volgt</w:t>
      </w:r>
      <w:r>
        <w:rPr>
          <w:szCs w:val="22"/>
        </w:rPr>
        <w:t>:</w:t>
      </w:r>
    </w:p>
    <w:p w:rsidR="00891EB4" w:rsidRPr="005E42A3" w:rsidRDefault="00891EB4" w:rsidP="005E42A3">
      <w:pPr>
        <w:pStyle w:val="StandaardSV"/>
        <w:ind w:left="360"/>
        <w:rPr>
          <w:szCs w:val="22"/>
        </w:rPr>
      </w:pPr>
      <w:r w:rsidRPr="005E42A3">
        <w:rPr>
          <w:szCs w:val="22"/>
        </w:rPr>
        <w:t>Vestigingssteun: 201 aanvragen;</w:t>
      </w:r>
      <w:r w:rsidRPr="005E42A3">
        <w:rPr>
          <w:szCs w:val="22"/>
        </w:rPr>
        <w:tab/>
      </w:r>
      <w:r w:rsidRPr="005E42A3">
        <w:rPr>
          <w:szCs w:val="22"/>
        </w:rPr>
        <w:br/>
        <w:t>Investeringssteun: 3094 aanvragen;</w:t>
      </w:r>
      <w:r w:rsidRPr="005E42A3">
        <w:rPr>
          <w:szCs w:val="22"/>
        </w:rPr>
        <w:tab/>
      </w:r>
      <w:r w:rsidRPr="005E42A3">
        <w:rPr>
          <w:szCs w:val="22"/>
        </w:rPr>
        <w:br/>
        <w:t>Diversificatiesteun: 597 aanvragen.</w:t>
      </w:r>
      <w:r w:rsidRPr="005E42A3">
        <w:rPr>
          <w:szCs w:val="22"/>
        </w:rPr>
        <w:tab/>
      </w:r>
      <w:r w:rsidRPr="005E42A3">
        <w:rPr>
          <w:szCs w:val="22"/>
        </w:rPr>
        <w:br/>
        <w:t>Daarnaast werden er 370 aanvragen om steun op een overbruggingskrediet ingediend in het kader van de tijdelijke steunmaatregelen voor bedrijven met liquiditeitsproblemen en 24 aanvragen om steun door coöperaties voor afzet, verwerking en dienstverlening.</w:t>
      </w:r>
    </w:p>
    <w:p w:rsidR="00891EB4" w:rsidRPr="005E42A3" w:rsidRDefault="00891EB4" w:rsidP="005E42A3">
      <w:pPr>
        <w:pStyle w:val="StandaardSV"/>
        <w:rPr>
          <w:szCs w:val="22"/>
        </w:rPr>
      </w:pPr>
    </w:p>
    <w:p w:rsidR="00891EB4" w:rsidRPr="005E42A3" w:rsidRDefault="00891EB4" w:rsidP="005E42A3">
      <w:pPr>
        <w:pStyle w:val="StandaardSV"/>
        <w:numPr>
          <w:ilvl w:val="0"/>
          <w:numId w:val="29"/>
        </w:numPr>
        <w:rPr>
          <w:szCs w:val="22"/>
        </w:rPr>
      </w:pPr>
      <w:r w:rsidRPr="005E42A3">
        <w:rPr>
          <w:szCs w:val="22"/>
        </w:rPr>
        <w:t>De aanvraagprocedure voorziet twee fasen. In de eerste fase wordt de investering of de vestiging aangemeld en wordt een dossier geopend. In een tweede fase en uiterlijk binnen een termijn van 6 maanden, wordt een volledig en gedocumenteerd dossier ingediend. De cijfergegevens van vraag 1 betreffen die volledige dossiers, die alle ontvankelijk zijn en in onderzoek genomen werden. We</w:t>
      </w:r>
      <w:r w:rsidRPr="005E42A3">
        <w:rPr>
          <w:szCs w:val="22"/>
        </w:rPr>
        <w:t>l</w:t>
      </w:r>
      <w:r w:rsidRPr="005E42A3">
        <w:rPr>
          <w:szCs w:val="22"/>
        </w:rPr>
        <w:t>ke fractie van de aanmeldingen van 2010 (eerste fase aanvraagprocedure) om diverse redenen niet zal in onderzoek genomen worden, zal pas bekend zijn einde juni 2011 d.w.z. nadat voor alle do</w:t>
      </w:r>
      <w:r w:rsidRPr="005E42A3">
        <w:rPr>
          <w:szCs w:val="22"/>
        </w:rPr>
        <w:t>s</w:t>
      </w:r>
      <w:r w:rsidRPr="005E42A3">
        <w:rPr>
          <w:szCs w:val="22"/>
        </w:rPr>
        <w:t>siers de termijn van 6 maanden verlopen is. Om een inzicht te geven in de graad van ontvankelij</w:t>
      </w:r>
      <w:r w:rsidRPr="005E42A3">
        <w:rPr>
          <w:szCs w:val="22"/>
        </w:rPr>
        <w:t>k</w:t>
      </w:r>
      <w:r w:rsidRPr="005E42A3">
        <w:rPr>
          <w:szCs w:val="22"/>
        </w:rPr>
        <w:t>heid volgen hierna de cijfers voor 2009. Op een totaal van 41</w:t>
      </w:r>
      <w:r>
        <w:rPr>
          <w:szCs w:val="22"/>
        </w:rPr>
        <w:t>53 dossiers werden er 318 (=7,7</w:t>
      </w:r>
      <w:r w:rsidRPr="005E42A3">
        <w:rPr>
          <w:szCs w:val="22"/>
        </w:rPr>
        <w:t>%) niet of te laat vervolledigd en werden er amper 9 wel vervolledigd maar niet ontvankelijk bevo</w:t>
      </w:r>
      <w:r w:rsidRPr="005E42A3">
        <w:rPr>
          <w:szCs w:val="22"/>
        </w:rPr>
        <w:t>n</w:t>
      </w:r>
      <w:r w:rsidRPr="005E42A3">
        <w:rPr>
          <w:szCs w:val="22"/>
        </w:rPr>
        <w:t>den.</w:t>
      </w:r>
      <w:r w:rsidRPr="005E42A3">
        <w:rPr>
          <w:szCs w:val="22"/>
        </w:rPr>
        <w:br/>
      </w:r>
      <w:r w:rsidRPr="005E42A3">
        <w:rPr>
          <w:szCs w:val="22"/>
        </w:rPr>
        <w:br/>
        <w:t>Bij de behandeling van aanvragen om steun wordt voorrang gegeven aan prioritaire dossiers (ve</w:t>
      </w:r>
      <w:r w:rsidRPr="005E42A3">
        <w:rPr>
          <w:szCs w:val="22"/>
        </w:rPr>
        <w:t>s</w:t>
      </w:r>
      <w:r w:rsidRPr="005E42A3">
        <w:rPr>
          <w:szCs w:val="22"/>
        </w:rPr>
        <w:t xml:space="preserve">tigingsdossiers, overbruggingskredieten en waarborgdossiers) en wordt de chronologie maximaal gerespecteerd. In 2010 werd het beschikbare budget in overgrote mate aangewend om aanvragen om steun uit 2009 en </w:t>
      </w:r>
      <w:smartTag w:uri="urn:schemas-microsoft-com:office:smarttags" w:element="metricconverter">
        <w:smartTagPr>
          <w:attr w:name="ProductID" w:val="2008 in"/>
        </w:smartTagPr>
        <w:r w:rsidRPr="005E42A3">
          <w:rPr>
            <w:szCs w:val="22"/>
          </w:rPr>
          <w:t>2008 in</w:t>
        </w:r>
      </w:smartTag>
      <w:r w:rsidRPr="005E42A3">
        <w:rPr>
          <w:szCs w:val="22"/>
        </w:rPr>
        <w:t xml:space="preserve"> te willigen.</w:t>
      </w:r>
      <w:r w:rsidRPr="005E42A3">
        <w:rPr>
          <w:szCs w:val="22"/>
        </w:rPr>
        <w:tab/>
      </w:r>
      <w:r w:rsidRPr="005E42A3">
        <w:rPr>
          <w:szCs w:val="22"/>
        </w:rPr>
        <w:br/>
      </w:r>
      <w:r w:rsidRPr="005E42A3">
        <w:rPr>
          <w:szCs w:val="22"/>
        </w:rPr>
        <w:br/>
        <w:t>Van de aanvragen van 2010 werden inmiddels 208 aanvragen om steun beslist.</w:t>
      </w:r>
      <w:r w:rsidRPr="005E42A3">
        <w:rPr>
          <w:szCs w:val="22"/>
        </w:rPr>
        <w:tab/>
      </w:r>
      <w:r w:rsidRPr="005E42A3">
        <w:rPr>
          <w:szCs w:val="22"/>
        </w:rPr>
        <w:br/>
      </w:r>
      <w:r w:rsidRPr="005E42A3">
        <w:rPr>
          <w:szCs w:val="22"/>
        </w:rPr>
        <w:br/>
        <w:t>Voor de aanvragen 2010 wordt in onderstaande tabellen per provincie een overzicht gegeven van de aantallen en de aangemelde bedragen volgens aard van de gevraagde steun en type bedrijf (land- of tuinbouw).</w:t>
      </w:r>
      <w:r>
        <w:rPr>
          <w:szCs w:val="22"/>
        </w:rPr>
        <w:tab/>
      </w:r>
      <w:r w:rsidRPr="005E42A3">
        <w:rPr>
          <w:szCs w:val="22"/>
        </w:rPr>
        <w:br w:type="page"/>
      </w:r>
    </w:p>
    <w:p w:rsidR="00891EB4" w:rsidRDefault="00891EB4" w:rsidP="005E42A3">
      <w:pPr>
        <w:pStyle w:val="StandaardSV"/>
        <w:ind w:left="360"/>
        <w:rPr>
          <w:szCs w:val="22"/>
        </w:rPr>
      </w:pPr>
      <w:r w:rsidRPr="005E42A3">
        <w:rPr>
          <w:szCs w:val="22"/>
        </w:rPr>
        <w:t>Aantal aanvragen per provincie volgens aard van de gevraagde steun en type bedrijf</w:t>
      </w:r>
    </w:p>
    <w:p w:rsidR="00891EB4" w:rsidRPr="005E42A3" w:rsidRDefault="00891EB4" w:rsidP="005E42A3">
      <w:pPr>
        <w:pStyle w:val="StandaardSV"/>
        <w:ind w:left="360"/>
        <w:rPr>
          <w:szCs w:val="22"/>
        </w:rPr>
      </w:pPr>
    </w:p>
    <w:tbl>
      <w:tblPr>
        <w:tblpPr w:leftFromText="141" w:rightFromText="141" w:vertAnchor="page" w:horzAnchor="page" w:tblpX="1957" w:tblpY="1873"/>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3"/>
        <w:gridCol w:w="1090"/>
        <w:gridCol w:w="1053"/>
        <w:gridCol w:w="1090"/>
        <w:gridCol w:w="1052"/>
        <w:gridCol w:w="1089"/>
        <w:gridCol w:w="1052"/>
        <w:gridCol w:w="1089"/>
        <w:gridCol w:w="1052"/>
      </w:tblGrid>
      <w:tr w:rsidR="00891EB4" w:rsidRPr="005E42A3" w:rsidTr="00E418CD">
        <w:tc>
          <w:tcPr>
            <w:tcW w:w="883" w:type="dxa"/>
            <w:vMerge w:val="restart"/>
          </w:tcPr>
          <w:p w:rsidR="00891EB4" w:rsidRPr="00E418CD" w:rsidRDefault="00891EB4" w:rsidP="00E418CD">
            <w:pPr>
              <w:pStyle w:val="StandaardSV"/>
              <w:rPr>
                <w:szCs w:val="22"/>
              </w:rPr>
            </w:pPr>
            <w:r w:rsidRPr="00E418CD">
              <w:rPr>
                <w:szCs w:val="22"/>
              </w:rPr>
              <w:t>Prov.</w:t>
            </w:r>
          </w:p>
        </w:tc>
        <w:tc>
          <w:tcPr>
            <w:tcW w:w="2143" w:type="dxa"/>
            <w:gridSpan w:val="2"/>
          </w:tcPr>
          <w:p w:rsidR="00891EB4" w:rsidRPr="00E418CD" w:rsidRDefault="00891EB4" w:rsidP="00E418CD">
            <w:pPr>
              <w:pStyle w:val="StandaardSV"/>
              <w:rPr>
                <w:szCs w:val="22"/>
              </w:rPr>
            </w:pPr>
            <w:r w:rsidRPr="00E418CD">
              <w:rPr>
                <w:szCs w:val="22"/>
              </w:rPr>
              <w:t>Vestigingssteun</w:t>
            </w:r>
          </w:p>
        </w:tc>
        <w:tc>
          <w:tcPr>
            <w:tcW w:w="2142" w:type="dxa"/>
            <w:gridSpan w:val="2"/>
          </w:tcPr>
          <w:p w:rsidR="00891EB4" w:rsidRPr="00E418CD" w:rsidRDefault="00891EB4" w:rsidP="00E418CD">
            <w:pPr>
              <w:pStyle w:val="StandaardSV"/>
              <w:rPr>
                <w:szCs w:val="22"/>
              </w:rPr>
            </w:pPr>
            <w:r w:rsidRPr="00E418CD">
              <w:rPr>
                <w:szCs w:val="22"/>
              </w:rPr>
              <w:t>Investeringssteun</w:t>
            </w:r>
          </w:p>
        </w:tc>
        <w:tc>
          <w:tcPr>
            <w:tcW w:w="2141" w:type="dxa"/>
            <w:gridSpan w:val="2"/>
          </w:tcPr>
          <w:p w:rsidR="00891EB4" w:rsidRPr="00E418CD" w:rsidRDefault="00891EB4" w:rsidP="00E418CD">
            <w:pPr>
              <w:pStyle w:val="StandaardSV"/>
              <w:rPr>
                <w:szCs w:val="22"/>
              </w:rPr>
            </w:pPr>
            <w:r w:rsidRPr="00E418CD">
              <w:rPr>
                <w:szCs w:val="22"/>
              </w:rPr>
              <w:t>Diversificatiesteun</w:t>
            </w:r>
          </w:p>
        </w:tc>
        <w:tc>
          <w:tcPr>
            <w:tcW w:w="2141" w:type="dxa"/>
            <w:gridSpan w:val="2"/>
          </w:tcPr>
          <w:p w:rsidR="00891EB4" w:rsidRPr="00E418CD" w:rsidRDefault="00891EB4" w:rsidP="00E418CD">
            <w:pPr>
              <w:pStyle w:val="StandaardSV"/>
              <w:rPr>
                <w:szCs w:val="22"/>
              </w:rPr>
            </w:pPr>
            <w:r w:rsidRPr="00E418CD">
              <w:rPr>
                <w:szCs w:val="22"/>
              </w:rPr>
              <w:t>Totaal</w:t>
            </w:r>
          </w:p>
        </w:tc>
      </w:tr>
      <w:tr w:rsidR="00891EB4" w:rsidRPr="005E42A3" w:rsidTr="00E418CD">
        <w:tc>
          <w:tcPr>
            <w:tcW w:w="883" w:type="dxa"/>
            <w:vMerge/>
          </w:tcPr>
          <w:p w:rsidR="00891EB4" w:rsidRPr="00E418CD" w:rsidRDefault="00891EB4" w:rsidP="00E418CD">
            <w:pPr>
              <w:pStyle w:val="StandaardSV"/>
              <w:rPr>
                <w:szCs w:val="22"/>
              </w:rPr>
            </w:pPr>
          </w:p>
        </w:tc>
        <w:tc>
          <w:tcPr>
            <w:tcW w:w="1090" w:type="dxa"/>
          </w:tcPr>
          <w:p w:rsidR="00891EB4" w:rsidRPr="00E418CD" w:rsidRDefault="00891EB4" w:rsidP="00E418CD">
            <w:pPr>
              <w:pStyle w:val="StandaardSV"/>
              <w:rPr>
                <w:szCs w:val="22"/>
              </w:rPr>
            </w:pPr>
            <w:r w:rsidRPr="00E418CD">
              <w:rPr>
                <w:szCs w:val="22"/>
              </w:rPr>
              <w:t>landbouw</w:t>
            </w:r>
          </w:p>
        </w:tc>
        <w:tc>
          <w:tcPr>
            <w:tcW w:w="1053" w:type="dxa"/>
          </w:tcPr>
          <w:p w:rsidR="00891EB4" w:rsidRPr="00E418CD" w:rsidRDefault="00891EB4" w:rsidP="00E418CD">
            <w:pPr>
              <w:pStyle w:val="StandaardSV"/>
              <w:rPr>
                <w:szCs w:val="22"/>
              </w:rPr>
            </w:pPr>
            <w:r w:rsidRPr="00E418CD">
              <w:rPr>
                <w:szCs w:val="22"/>
              </w:rPr>
              <w:t>tuinbouw</w:t>
            </w:r>
          </w:p>
        </w:tc>
        <w:tc>
          <w:tcPr>
            <w:tcW w:w="1090" w:type="dxa"/>
          </w:tcPr>
          <w:p w:rsidR="00891EB4" w:rsidRPr="00E418CD" w:rsidRDefault="00891EB4" w:rsidP="00E418CD">
            <w:pPr>
              <w:pStyle w:val="StandaardSV"/>
              <w:rPr>
                <w:szCs w:val="22"/>
              </w:rPr>
            </w:pPr>
            <w:r w:rsidRPr="00E418CD">
              <w:rPr>
                <w:szCs w:val="22"/>
              </w:rPr>
              <w:t>landbouw</w:t>
            </w:r>
          </w:p>
        </w:tc>
        <w:tc>
          <w:tcPr>
            <w:tcW w:w="1052" w:type="dxa"/>
          </w:tcPr>
          <w:p w:rsidR="00891EB4" w:rsidRPr="00E418CD" w:rsidRDefault="00891EB4" w:rsidP="00E418CD">
            <w:pPr>
              <w:pStyle w:val="StandaardSV"/>
              <w:rPr>
                <w:szCs w:val="22"/>
              </w:rPr>
            </w:pPr>
            <w:r w:rsidRPr="00E418CD">
              <w:rPr>
                <w:szCs w:val="22"/>
              </w:rPr>
              <w:t>tuinbouw</w:t>
            </w:r>
          </w:p>
        </w:tc>
        <w:tc>
          <w:tcPr>
            <w:tcW w:w="1089" w:type="dxa"/>
          </w:tcPr>
          <w:p w:rsidR="00891EB4" w:rsidRPr="00E418CD" w:rsidRDefault="00891EB4" w:rsidP="00E418CD">
            <w:pPr>
              <w:pStyle w:val="StandaardSV"/>
              <w:rPr>
                <w:szCs w:val="22"/>
              </w:rPr>
            </w:pPr>
            <w:r w:rsidRPr="00E418CD">
              <w:rPr>
                <w:szCs w:val="22"/>
              </w:rPr>
              <w:t>landbouw</w:t>
            </w:r>
          </w:p>
        </w:tc>
        <w:tc>
          <w:tcPr>
            <w:tcW w:w="1052" w:type="dxa"/>
          </w:tcPr>
          <w:p w:rsidR="00891EB4" w:rsidRPr="00E418CD" w:rsidRDefault="00891EB4" w:rsidP="00E418CD">
            <w:pPr>
              <w:pStyle w:val="StandaardSV"/>
              <w:rPr>
                <w:szCs w:val="22"/>
              </w:rPr>
            </w:pPr>
            <w:r w:rsidRPr="00E418CD">
              <w:rPr>
                <w:szCs w:val="22"/>
              </w:rPr>
              <w:t>tuinbouw</w:t>
            </w:r>
          </w:p>
        </w:tc>
        <w:tc>
          <w:tcPr>
            <w:tcW w:w="1089" w:type="dxa"/>
          </w:tcPr>
          <w:p w:rsidR="00891EB4" w:rsidRPr="00E418CD" w:rsidRDefault="00891EB4" w:rsidP="00E418CD">
            <w:pPr>
              <w:pStyle w:val="StandaardSV"/>
              <w:rPr>
                <w:szCs w:val="22"/>
              </w:rPr>
            </w:pPr>
            <w:r w:rsidRPr="00E418CD">
              <w:rPr>
                <w:szCs w:val="22"/>
              </w:rPr>
              <w:t>landbouw</w:t>
            </w:r>
          </w:p>
        </w:tc>
        <w:tc>
          <w:tcPr>
            <w:tcW w:w="1052" w:type="dxa"/>
          </w:tcPr>
          <w:p w:rsidR="00891EB4" w:rsidRPr="00E418CD" w:rsidRDefault="00891EB4" w:rsidP="00E418CD">
            <w:pPr>
              <w:pStyle w:val="StandaardSV"/>
              <w:rPr>
                <w:szCs w:val="22"/>
              </w:rPr>
            </w:pPr>
            <w:r w:rsidRPr="00E418CD">
              <w:rPr>
                <w:szCs w:val="22"/>
              </w:rPr>
              <w:t>tuinbouw</w:t>
            </w:r>
          </w:p>
        </w:tc>
      </w:tr>
      <w:tr w:rsidR="00891EB4" w:rsidRPr="005E42A3" w:rsidTr="00E418CD">
        <w:tc>
          <w:tcPr>
            <w:tcW w:w="883" w:type="dxa"/>
          </w:tcPr>
          <w:p w:rsidR="00891EB4" w:rsidRPr="00E418CD" w:rsidRDefault="00891EB4" w:rsidP="00E418CD">
            <w:pPr>
              <w:pStyle w:val="StandaardSV"/>
              <w:rPr>
                <w:szCs w:val="22"/>
              </w:rPr>
            </w:pPr>
            <w:r w:rsidRPr="00E418CD">
              <w:rPr>
                <w:szCs w:val="22"/>
              </w:rPr>
              <w:t>WVL</w:t>
            </w:r>
          </w:p>
        </w:tc>
        <w:tc>
          <w:tcPr>
            <w:tcW w:w="1090" w:type="dxa"/>
            <w:vAlign w:val="bottom"/>
          </w:tcPr>
          <w:p w:rsidR="00891EB4" w:rsidRPr="00E418CD" w:rsidRDefault="00891EB4" w:rsidP="00E418CD">
            <w:pPr>
              <w:pStyle w:val="StandaardSV"/>
              <w:rPr>
                <w:szCs w:val="22"/>
              </w:rPr>
            </w:pPr>
            <w:r w:rsidRPr="00E418CD">
              <w:rPr>
                <w:szCs w:val="22"/>
              </w:rPr>
              <w:t>63</w:t>
            </w:r>
          </w:p>
        </w:tc>
        <w:tc>
          <w:tcPr>
            <w:tcW w:w="1053" w:type="dxa"/>
            <w:vAlign w:val="bottom"/>
          </w:tcPr>
          <w:p w:rsidR="00891EB4" w:rsidRPr="00E418CD" w:rsidRDefault="00891EB4" w:rsidP="00E418CD">
            <w:pPr>
              <w:pStyle w:val="StandaardSV"/>
              <w:rPr>
                <w:szCs w:val="22"/>
              </w:rPr>
            </w:pPr>
            <w:r w:rsidRPr="00E418CD">
              <w:rPr>
                <w:szCs w:val="22"/>
              </w:rPr>
              <w:t>9</w:t>
            </w:r>
          </w:p>
        </w:tc>
        <w:tc>
          <w:tcPr>
            <w:tcW w:w="1090" w:type="dxa"/>
            <w:vAlign w:val="bottom"/>
          </w:tcPr>
          <w:p w:rsidR="00891EB4" w:rsidRPr="00E418CD" w:rsidRDefault="00891EB4" w:rsidP="00E418CD">
            <w:pPr>
              <w:pStyle w:val="StandaardSV"/>
              <w:rPr>
                <w:szCs w:val="22"/>
              </w:rPr>
            </w:pPr>
            <w:r w:rsidRPr="00E418CD">
              <w:rPr>
                <w:szCs w:val="22"/>
              </w:rPr>
              <w:t>969</w:t>
            </w:r>
          </w:p>
        </w:tc>
        <w:tc>
          <w:tcPr>
            <w:tcW w:w="1052" w:type="dxa"/>
            <w:vAlign w:val="bottom"/>
          </w:tcPr>
          <w:p w:rsidR="00891EB4" w:rsidRPr="00E418CD" w:rsidRDefault="00891EB4" w:rsidP="00E418CD">
            <w:pPr>
              <w:pStyle w:val="StandaardSV"/>
              <w:rPr>
                <w:szCs w:val="22"/>
              </w:rPr>
            </w:pPr>
            <w:r w:rsidRPr="00E418CD">
              <w:rPr>
                <w:szCs w:val="22"/>
              </w:rPr>
              <w:t>244</w:t>
            </w:r>
          </w:p>
        </w:tc>
        <w:tc>
          <w:tcPr>
            <w:tcW w:w="1089" w:type="dxa"/>
            <w:vAlign w:val="bottom"/>
          </w:tcPr>
          <w:p w:rsidR="00891EB4" w:rsidRPr="00E418CD" w:rsidRDefault="00891EB4" w:rsidP="00E418CD">
            <w:pPr>
              <w:pStyle w:val="StandaardSV"/>
              <w:rPr>
                <w:szCs w:val="22"/>
              </w:rPr>
            </w:pPr>
            <w:r w:rsidRPr="00E418CD">
              <w:rPr>
                <w:szCs w:val="22"/>
              </w:rPr>
              <w:t>187</w:t>
            </w:r>
          </w:p>
        </w:tc>
        <w:tc>
          <w:tcPr>
            <w:tcW w:w="1052" w:type="dxa"/>
            <w:vAlign w:val="bottom"/>
          </w:tcPr>
          <w:p w:rsidR="00891EB4" w:rsidRPr="00E418CD" w:rsidRDefault="00891EB4" w:rsidP="00E418CD">
            <w:pPr>
              <w:pStyle w:val="StandaardSV"/>
              <w:rPr>
                <w:szCs w:val="22"/>
              </w:rPr>
            </w:pPr>
            <w:r w:rsidRPr="00E418CD">
              <w:rPr>
                <w:szCs w:val="22"/>
              </w:rPr>
              <w:t>45</w:t>
            </w:r>
          </w:p>
        </w:tc>
        <w:tc>
          <w:tcPr>
            <w:tcW w:w="1089" w:type="dxa"/>
            <w:vAlign w:val="bottom"/>
          </w:tcPr>
          <w:p w:rsidR="00891EB4" w:rsidRPr="00E418CD" w:rsidRDefault="00891EB4" w:rsidP="00E418CD">
            <w:pPr>
              <w:pStyle w:val="StandaardSV"/>
              <w:rPr>
                <w:szCs w:val="22"/>
              </w:rPr>
            </w:pPr>
            <w:r w:rsidRPr="00E418CD">
              <w:rPr>
                <w:szCs w:val="22"/>
              </w:rPr>
              <w:t>1219</w:t>
            </w:r>
          </w:p>
        </w:tc>
        <w:tc>
          <w:tcPr>
            <w:tcW w:w="1052" w:type="dxa"/>
            <w:vAlign w:val="bottom"/>
          </w:tcPr>
          <w:p w:rsidR="00891EB4" w:rsidRPr="00E418CD" w:rsidRDefault="00891EB4" w:rsidP="00E418CD">
            <w:pPr>
              <w:pStyle w:val="StandaardSV"/>
              <w:rPr>
                <w:szCs w:val="22"/>
              </w:rPr>
            </w:pPr>
            <w:r w:rsidRPr="00E418CD">
              <w:rPr>
                <w:szCs w:val="22"/>
              </w:rPr>
              <w:t>298</w:t>
            </w:r>
          </w:p>
        </w:tc>
      </w:tr>
      <w:tr w:rsidR="00891EB4" w:rsidRPr="005E42A3" w:rsidTr="00E418CD">
        <w:tc>
          <w:tcPr>
            <w:tcW w:w="883" w:type="dxa"/>
          </w:tcPr>
          <w:p w:rsidR="00891EB4" w:rsidRPr="00E418CD" w:rsidRDefault="00891EB4" w:rsidP="00E418CD">
            <w:pPr>
              <w:pStyle w:val="StandaardSV"/>
              <w:rPr>
                <w:szCs w:val="22"/>
              </w:rPr>
            </w:pPr>
            <w:r w:rsidRPr="00E418CD">
              <w:rPr>
                <w:szCs w:val="22"/>
              </w:rPr>
              <w:t>OVL</w:t>
            </w:r>
          </w:p>
        </w:tc>
        <w:tc>
          <w:tcPr>
            <w:tcW w:w="1090" w:type="dxa"/>
            <w:vAlign w:val="bottom"/>
          </w:tcPr>
          <w:p w:rsidR="00891EB4" w:rsidRPr="00E418CD" w:rsidRDefault="00891EB4" w:rsidP="00E418CD">
            <w:pPr>
              <w:pStyle w:val="StandaardSV"/>
              <w:rPr>
                <w:szCs w:val="22"/>
              </w:rPr>
            </w:pPr>
            <w:r w:rsidRPr="00E418CD">
              <w:rPr>
                <w:szCs w:val="22"/>
              </w:rPr>
              <w:t>37</w:t>
            </w:r>
          </w:p>
        </w:tc>
        <w:tc>
          <w:tcPr>
            <w:tcW w:w="1053" w:type="dxa"/>
            <w:vAlign w:val="bottom"/>
          </w:tcPr>
          <w:p w:rsidR="00891EB4" w:rsidRPr="00E418CD" w:rsidRDefault="00891EB4" w:rsidP="00E418CD">
            <w:pPr>
              <w:pStyle w:val="StandaardSV"/>
              <w:rPr>
                <w:szCs w:val="22"/>
              </w:rPr>
            </w:pPr>
            <w:r w:rsidRPr="00E418CD">
              <w:rPr>
                <w:szCs w:val="22"/>
              </w:rPr>
              <w:t>0</w:t>
            </w:r>
          </w:p>
        </w:tc>
        <w:tc>
          <w:tcPr>
            <w:tcW w:w="1090" w:type="dxa"/>
            <w:vAlign w:val="bottom"/>
          </w:tcPr>
          <w:p w:rsidR="00891EB4" w:rsidRPr="00E418CD" w:rsidRDefault="00891EB4" w:rsidP="00E418CD">
            <w:pPr>
              <w:pStyle w:val="StandaardSV"/>
              <w:rPr>
                <w:szCs w:val="22"/>
              </w:rPr>
            </w:pPr>
            <w:r w:rsidRPr="00E418CD">
              <w:rPr>
                <w:szCs w:val="22"/>
              </w:rPr>
              <w:t>528</w:t>
            </w:r>
          </w:p>
        </w:tc>
        <w:tc>
          <w:tcPr>
            <w:tcW w:w="1052" w:type="dxa"/>
            <w:vAlign w:val="bottom"/>
          </w:tcPr>
          <w:p w:rsidR="00891EB4" w:rsidRPr="00E418CD" w:rsidRDefault="00891EB4" w:rsidP="00E418CD">
            <w:pPr>
              <w:pStyle w:val="StandaardSV"/>
              <w:rPr>
                <w:szCs w:val="22"/>
              </w:rPr>
            </w:pPr>
            <w:r w:rsidRPr="00E418CD">
              <w:rPr>
                <w:szCs w:val="22"/>
              </w:rPr>
              <w:t>196</w:t>
            </w:r>
          </w:p>
        </w:tc>
        <w:tc>
          <w:tcPr>
            <w:tcW w:w="1089" w:type="dxa"/>
            <w:vAlign w:val="bottom"/>
          </w:tcPr>
          <w:p w:rsidR="00891EB4" w:rsidRPr="00E418CD" w:rsidRDefault="00891EB4" w:rsidP="00E418CD">
            <w:pPr>
              <w:pStyle w:val="StandaardSV"/>
              <w:rPr>
                <w:szCs w:val="22"/>
              </w:rPr>
            </w:pPr>
            <w:r w:rsidRPr="00E418CD">
              <w:rPr>
                <w:szCs w:val="22"/>
              </w:rPr>
              <w:t>103</w:t>
            </w:r>
          </w:p>
        </w:tc>
        <w:tc>
          <w:tcPr>
            <w:tcW w:w="1052" w:type="dxa"/>
            <w:vAlign w:val="bottom"/>
          </w:tcPr>
          <w:p w:rsidR="00891EB4" w:rsidRPr="00E418CD" w:rsidRDefault="00891EB4" w:rsidP="00E418CD">
            <w:pPr>
              <w:pStyle w:val="StandaardSV"/>
              <w:rPr>
                <w:szCs w:val="22"/>
              </w:rPr>
            </w:pPr>
            <w:r w:rsidRPr="00E418CD">
              <w:rPr>
                <w:szCs w:val="22"/>
              </w:rPr>
              <w:t>40</w:t>
            </w:r>
          </w:p>
        </w:tc>
        <w:tc>
          <w:tcPr>
            <w:tcW w:w="1089" w:type="dxa"/>
            <w:vAlign w:val="bottom"/>
          </w:tcPr>
          <w:p w:rsidR="00891EB4" w:rsidRPr="00E418CD" w:rsidRDefault="00891EB4" w:rsidP="00E418CD">
            <w:pPr>
              <w:pStyle w:val="StandaardSV"/>
              <w:rPr>
                <w:szCs w:val="22"/>
              </w:rPr>
            </w:pPr>
            <w:r w:rsidRPr="00E418CD">
              <w:rPr>
                <w:szCs w:val="22"/>
              </w:rPr>
              <w:t>668</w:t>
            </w:r>
          </w:p>
        </w:tc>
        <w:tc>
          <w:tcPr>
            <w:tcW w:w="1052" w:type="dxa"/>
            <w:vAlign w:val="bottom"/>
          </w:tcPr>
          <w:p w:rsidR="00891EB4" w:rsidRPr="00E418CD" w:rsidRDefault="00891EB4" w:rsidP="00E418CD">
            <w:pPr>
              <w:pStyle w:val="StandaardSV"/>
              <w:rPr>
                <w:szCs w:val="22"/>
              </w:rPr>
            </w:pPr>
            <w:r w:rsidRPr="00E418CD">
              <w:rPr>
                <w:szCs w:val="22"/>
              </w:rPr>
              <w:t>236</w:t>
            </w:r>
          </w:p>
        </w:tc>
      </w:tr>
      <w:tr w:rsidR="00891EB4" w:rsidRPr="005E42A3" w:rsidTr="00E418CD">
        <w:tc>
          <w:tcPr>
            <w:tcW w:w="883" w:type="dxa"/>
          </w:tcPr>
          <w:p w:rsidR="00891EB4" w:rsidRPr="00E418CD" w:rsidRDefault="00891EB4" w:rsidP="00E418CD">
            <w:pPr>
              <w:pStyle w:val="StandaardSV"/>
              <w:rPr>
                <w:szCs w:val="22"/>
              </w:rPr>
            </w:pPr>
            <w:r w:rsidRPr="00E418CD">
              <w:rPr>
                <w:szCs w:val="22"/>
              </w:rPr>
              <w:t>Ant</w:t>
            </w:r>
          </w:p>
        </w:tc>
        <w:tc>
          <w:tcPr>
            <w:tcW w:w="1090" w:type="dxa"/>
            <w:vAlign w:val="bottom"/>
          </w:tcPr>
          <w:p w:rsidR="00891EB4" w:rsidRPr="00E418CD" w:rsidRDefault="00891EB4" w:rsidP="00E418CD">
            <w:pPr>
              <w:pStyle w:val="StandaardSV"/>
              <w:rPr>
                <w:szCs w:val="22"/>
              </w:rPr>
            </w:pPr>
            <w:r w:rsidRPr="00E418CD">
              <w:rPr>
                <w:szCs w:val="22"/>
              </w:rPr>
              <w:t>45</w:t>
            </w:r>
          </w:p>
        </w:tc>
        <w:tc>
          <w:tcPr>
            <w:tcW w:w="1053" w:type="dxa"/>
            <w:vAlign w:val="bottom"/>
          </w:tcPr>
          <w:p w:rsidR="00891EB4" w:rsidRPr="00E418CD" w:rsidRDefault="00891EB4" w:rsidP="00E418CD">
            <w:pPr>
              <w:pStyle w:val="StandaardSV"/>
              <w:rPr>
                <w:szCs w:val="22"/>
              </w:rPr>
            </w:pPr>
            <w:r w:rsidRPr="00E418CD">
              <w:rPr>
                <w:szCs w:val="22"/>
              </w:rPr>
              <w:t>3</w:t>
            </w:r>
          </w:p>
        </w:tc>
        <w:tc>
          <w:tcPr>
            <w:tcW w:w="1090" w:type="dxa"/>
            <w:vAlign w:val="bottom"/>
          </w:tcPr>
          <w:p w:rsidR="00891EB4" w:rsidRPr="00E418CD" w:rsidRDefault="00891EB4" w:rsidP="00E418CD">
            <w:pPr>
              <w:pStyle w:val="StandaardSV"/>
              <w:rPr>
                <w:szCs w:val="22"/>
              </w:rPr>
            </w:pPr>
            <w:r w:rsidRPr="00E418CD">
              <w:rPr>
                <w:szCs w:val="22"/>
              </w:rPr>
              <w:t>341</w:t>
            </w:r>
          </w:p>
        </w:tc>
        <w:tc>
          <w:tcPr>
            <w:tcW w:w="1052" w:type="dxa"/>
            <w:vAlign w:val="bottom"/>
          </w:tcPr>
          <w:p w:rsidR="00891EB4" w:rsidRPr="00E418CD" w:rsidRDefault="00891EB4" w:rsidP="00E418CD">
            <w:pPr>
              <w:pStyle w:val="StandaardSV"/>
              <w:rPr>
                <w:szCs w:val="22"/>
              </w:rPr>
            </w:pPr>
            <w:r w:rsidRPr="00E418CD">
              <w:rPr>
                <w:szCs w:val="22"/>
              </w:rPr>
              <w:t>169</w:t>
            </w:r>
          </w:p>
        </w:tc>
        <w:tc>
          <w:tcPr>
            <w:tcW w:w="1089" w:type="dxa"/>
            <w:vAlign w:val="bottom"/>
          </w:tcPr>
          <w:p w:rsidR="00891EB4" w:rsidRPr="00E418CD" w:rsidRDefault="00891EB4" w:rsidP="00E418CD">
            <w:pPr>
              <w:pStyle w:val="StandaardSV"/>
              <w:rPr>
                <w:szCs w:val="22"/>
              </w:rPr>
            </w:pPr>
            <w:r w:rsidRPr="00E418CD">
              <w:rPr>
                <w:szCs w:val="22"/>
              </w:rPr>
              <w:t>69</w:t>
            </w:r>
          </w:p>
        </w:tc>
        <w:tc>
          <w:tcPr>
            <w:tcW w:w="1052" w:type="dxa"/>
            <w:vAlign w:val="bottom"/>
          </w:tcPr>
          <w:p w:rsidR="00891EB4" w:rsidRPr="00E418CD" w:rsidRDefault="00891EB4" w:rsidP="00E418CD">
            <w:pPr>
              <w:pStyle w:val="StandaardSV"/>
              <w:rPr>
                <w:szCs w:val="22"/>
              </w:rPr>
            </w:pPr>
            <w:r w:rsidRPr="00E418CD">
              <w:rPr>
                <w:szCs w:val="22"/>
              </w:rPr>
              <w:t>25</w:t>
            </w:r>
          </w:p>
        </w:tc>
        <w:tc>
          <w:tcPr>
            <w:tcW w:w="1089" w:type="dxa"/>
            <w:vAlign w:val="bottom"/>
          </w:tcPr>
          <w:p w:rsidR="00891EB4" w:rsidRPr="00E418CD" w:rsidRDefault="00891EB4" w:rsidP="00E418CD">
            <w:pPr>
              <w:pStyle w:val="StandaardSV"/>
              <w:rPr>
                <w:szCs w:val="22"/>
              </w:rPr>
            </w:pPr>
            <w:r w:rsidRPr="00E418CD">
              <w:rPr>
                <w:szCs w:val="22"/>
              </w:rPr>
              <w:t>455</w:t>
            </w:r>
          </w:p>
        </w:tc>
        <w:tc>
          <w:tcPr>
            <w:tcW w:w="1052" w:type="dxa"/>
            <w:vAlign w:val="bottom"/>
          </w:tcPr>
          <w:p w:rsidR="00891EB4" w:rsidRPr="00E418CD" w:rsidRDefault="00891EB4" w:rsidP="00E418CD">
            <w:pPr>
              <w:pStyle w:val="StandaardSV"/>
              <w:rPr>
                <w:szCs w:val="22"/>
              </w:rPr>
            </w:pPr>
            <w:r w:rsidRPr="00E418CD">
              <w:rPr>
                <w:szCs w:val="22"/>
              </w:rPr>
              <w:t>197</w:t>
            </w:r>
          </w:p>
        </w:tc>
      </w:tr>
      <w:tr w:rsidR="00891EB4" w:rsidRPr="005E42A3" w:rsidTr="00E418CD">
        <w:tc>
          <w:tcPr>
            <w:tcW w:w="883" w:type="dxa"/>
          </w:tcPr>
          <w:p w:rsidR="00891EB4" w:rsidRPr="00E418CD" w:rsidRDefault="00891EB4" w:rsidP="00E418CD">
            <w:pPr>
              <w:pStyle w:val="StandaardSV"/>
              <w:rPr>
                <w:szCs w:val="22"/>
              </w:rPr>
            </w:pPr>
            <w:r w:rsidRPr="00E418CD">
              <w:rPr>
                <w:szCs w:val="22"/>
              </w:rPr>
              <w:t>Lim</w:t>
            </w:r>
          </w:p>
        </w:tc>
        <w:tc>
          <w:tcPr>
            <w:tcW w:w="1090" w:type="dxa"/>
            <w:vAlign w:val="bottom"/>
          </w:tcPr>
          <w:p w:rsidR="00891EB4" w:rsidRPr="00E418CD" w:rsidRDefault="00891EB4" w:rsidP="00E418CD">
            <w:pPr>
              <w:pStyle w:val="StandaardSV"/>
              <w:rPr>
                <w:szCs w:val="22"/>
              </w:rPr>
            </w:pPr>
            <w:r w:rsidRPr="00E418CD">
              <w:rPr>
                <w:szCs w:val="22"/>
              </w:rPr>
              <w:t>19</w:t>
            </w:r>
          </w:p>
        </w:tc>
        <w:tc>
          <w:tcPr>
            <w:tcW w:w="1053" w:type="dxa"/>
            <w:vAlign w:val="bottom"/>
          </w:tcPr>
          <w:p w:rsidR="00891EB4" w:rsidRPr="00E418CD" w:rsidRDefault="00891EB4" w:rsidP="00E418CD">
            <w:pPr>
              <w:pStyle w:val="StandaardSV"/>
              <w:rPr>
                <w:szCs w:val="22"/>
              </w:rPr>
            </w:pPr>
            <w:r w:rsidRPr="00E418CD">
              <w:rPr>
                <w:szCs w:val="22"/>
              </w:rPr>
              <w:t>8</w:t>
            </w:r>
          </w:p>
        </w:tc>
        <w:tc>
          <w:tcPr>
            <w:tcW w:w="1090" w:type="dxa"/>
            <w:vAlign w:val="bottom"/>
          </w:tcPr>
          <w:p w:rsidR="00891EB4" w:rsidRPr="00E418CD" w:rsidRDefault="00891EB4" w:rsidP="00E418CD">
            <w:pPr>
              <w:pStyle w:val="StandaardSV"/>
              <w:rPr>
                <w:szCs w:val="22"/>
              </w:rPr>
            </w:pPr>
            <w:r w:rsidRPr="00E418CD">
              <w:rPr>
                <w:szCs w:val="22"/>
              </w:rPr>
              <w:t>211</w:t>
            </w:r>
          </w:p>
        </w:tc>
        <w:tc>
          <w:tcPr>
            <w:tcW w:w="1052" w:type="dxa"/>
            <w:vAlign w:val="bottom"/>
          </w:tcPr>
          <w:p w:rsidR="00891EB4" w:rsidRPr="00E418CD" w:rsidRDefault="00891EB4" w:rsidP="00E418CD">
            <w:pPr>
              <w:pStyle w:val="StandaardSV"/>
              <w:rPr>
                <w:szCs w:val="22"/>
              </w:rPr>
            </w:pPr>
            <w:r w:rsidRPr="00E418CD">
              <w:rPr>
                <w:szCs w:val="22"/>
              </w:rPr>
              <w:t>145</w:t>
            </w:r>
          </w:p>
        </w:tc>
        <w:tc>
          <w:tcPr>
            <w:tcW w:w="1089" w:type="dxa"/>
            <w:vAlign w:val="bottom"/>
          </w:tcPr>
          <w:p w:rsidR="00891EB4" w:rsidRPr="00E418CD" w:rsidRDefault="00891EB4" w:rsidP="00E418CD">
            <w:pPr>
              <w:pStyle w:val="StandaardSV"/>
              <w:rPr>
                <w:szCs w:val="22"/>
              </w:rPr>
            </w:pPr>
            <w:r w:rsidRPr="00E418CD">
              <w:rPr>
                <w:szCs w:val="22"/>
              </w:rPr>
              <w:t>39</w:t>
            </w:r>
          </w:p>
        </w:tc>
        <w:tc>
          <w:tcPr>
            <w:tcW w:w="1052" w:type="dxa"/>
            <w:vAlign w:val="bottom"/>
          </w:tcPr>
          <w:p w:rsidR="00891EB4" w:rsidRPr="00E418CD" w:rsidRDefault="00891EB4" w:rsidP="00E418CD">
            <w:pPr>
              <w:pStyle w:val="StandaardSV"/>
              <w:rPr>
                <w:szCs w:val="22"/>
              </w:rPr>
            </w:pPr>
            <w:r w:rsidRPr="00E418CD">
              <w:rPr>
                <w:szCs w:val="22"/>
              </w:rPr>
              <w:t>35</w:t>
            </w:r>
          </w:p>
        </w:tc>
        <w:tc>
          <w:tcPr>
            <w:tcW w:w="1089" w:type="dxa"/>
            <w:vAlign w:val="bottom"/>
          </w:tcPr>
          <w:p w:rsidR="00891EB4" w:rsidRPr="00E418CD" w:rsidRDefault="00891EB4" w:rsidP="00E418CD">
            <w:pPr>
              <w:pStyle w:val="StandaardSV"/>
              <w:rPr>
                <w:szCs w:val="22"/>
              </w:rPr>
            </w:pPr>
            <w:r w:rsidRPr="00E418CD">
              <w:rPr>
                <w:szCs w:val="22"/>
              </w:rPr>
              <w:t>269</w:t>
            </w:r>
          </w:p>
        </w:tc>
        <w:tc>
          <w:tcPr>
            <w:tcW w:w="1052" w:type="dxa"/>
            <w:vAlign w:val="bottom"/>
          </w:tcPr>
          <w:p w:rsidR="00891EB4" w:rsidRPr="00E418CD" w:rsidRDefault="00891EB4" w:rsidP="00E418CD">
            <w:pPr>
              <w:pStyle w:val="StandaardSV"/>
              <w:rPr>
                <w:szCs w:val="22"/>
              </w:rPr>
            </w:pPr>
            <w:r w:rsidRPr="00E418CD">
              <w:rPr>
                <w:szCs w:val="22"/>
              </w:rPr>
              <w:t>188</w:t>
            </w:r>
          </w:p>
        </w:tc>
      </w:tr>
      <w:tr w:rsidR="00891EB4" w:rsidRPr="005E42A3" w:rsidTr="00E418CD">
        <w:tc>
          <w:tcPr>
            <w:tcW w:w="883" w:type="dxa"/>
          </w:tcPr>
          <w:p w:rsidR="00891EB4" w:rsidRPr="00E418CD" w:rsidRDefault="00891EB4" w:rsidP="00E418CD">
            <w:pPr>
              <w:pStyle w:val="StandaardSV"/>
              <w:rPr>
                <w:szCs w:val="22"/>
              </w:rPr>
            </w:pPr>
            <w:r w:rsidRPr="00E418CD">
              <w:rPr>
                <w:szCs w:val="22"/>
              </w:rPr>
              <w:t>VLB</w:t>
            </w:r>
          </w:p>
        </w:tc>
        <w:tc>
          <w:tcPr>
            <w:tcW w:w="1090" w:type="dxa"/>
            <w:vAlign w:val="bottom"/>
          </w:tcPr>
          <w:p w:rsidR="00891EB4" w:rsidRPr="00E418CD" w:rsidRDefault="00891EB4" w:rsidP="00E418CD">
            <w:pPr>
              <w:pStyle w:val="StandaardSV"/>
              <w:rPr>
                <w:szCs w:val="22"/>
              </w:rPr>
            </w:pPr>
            <w:r w:rsidRPr="00E418CD">
              <w:rPr>
                <w:szCs w:val="22"/>
              </w:rPr>
              <w:t>15</w:t>
            </w:r>
          </w:p>
        </w:tc>
        <w:tc>
          <w:tcPr>
            <w:tcW w:w="1053" w:type="dxa"/>
            <w:vAlign w:val="bottom"/>
          </w:tcPr>
          <w:p w:rsidR="00891EB4" w:rsidRPr="00E418CD" w:rsidRDefault="00891EB4" w:rsidP="00E418CD">
            <w:pPr>
              <w:pStyle w:val="StandaardSV"/>
              <w:rPr>
                <w:szCs w:val="22"/>
              </w:rPr>
            </w:pPr>
            <w:r w:rsidRPr="00E418CD">
              <w:rPr>
                <w:szCs w:val="22"/>
              </w:rPr>
              <w:t>2</w:t>
            </w:r>
          </w:p>
        </w:tc>
        <w:tc>
          <w:tcPr>
            <w:tcW w:w="1090" w:type="dxa"/>
            <w:vAlign w:val="bottom"/>
          </w:tcPr>
          <w:p w:rsidR="00891EB4" w:rsidRPr="00E418CD" w:rsidRDefault="00891EB4" w:rsidP="00E418CD">
            <w:pPr>
              <w:pStyle w:val="StandaardSV"/>
              <w:rPr>
                <w:szCs w:val="22"/>
              </w:rPr>
            </w:pPr>
            <w:r w:rsidRPr="00E418CD">
              <w:rPr>
                <w:szCs w:val="22"/>
              </w:rPr>
              <w:t>186</w:t>
            </w:r>
          </w:p>
        </w:tc>
        <w:tc>
          <w:tcPr>
            <w:tcW w:w="1052" w:type="dxa"/>
            <w:vAlign w:val="bottom"/>
          </w:tcPr>
          <w:p w:rsidR="00891EB4" w:rsidRPr="00E418CD" w:rsidRDefault="00891EB4" w:rsidP="00E418CD">
            <w:pPr>
              <w:pStyle w:val="StandaardSV"/>
              <w:rPr>
                <w:szCs w:val="22"/>
              </w:rPr>
            </w:pPr>
            <w:r w:rsidRPr="00E418CD">
              <w:rPr>
                <w:szCs w:val="22"/>
              </w:rPr>
              <w:t>105</w:t>
            </w:r>
          </w:p>
        </w:tc>
        <w:tc>
          <w:tcPr>
            <w:tcW w:w="1089" w:type="dxa"/>
            <w:vAlign w:val="bottom"/>
          </w:tcPr>
          <w:p w:rsidR="00891EB4" w:rsidRPr="00E418CD" w:rsidRDefault="00891EB4" w:rsidP="00E418CD">
            <w:pPr>
              <w:pStyle w:val="StandaardSV"/>
              <w:rPr>
                <w:szCs w:val="22"/>
              </w:rPr>
            </w:pPr>
            <w:r w:rsidRPr="00E418CD">
              <w:rPr>
                <w:szCs w:val="22"/>
              </w:rPr>
              <w:t>26</w:t>
            </w:r>
          </w:p>
        </w:tc>
        <w:tc>
          <w:tcPr>
            <w:tcW w:w="1052" w:type="dxa"/>
            <w:vAlign w:val="bottom"/>
          </w:tcPr>
          <w:p w:rsidR="00891EB4" w:rsidRPr="00E418CD" w:rsidRDefault="00891EB4" w:rsidP="00E418CD">
            <w:pPr>
              <w:pStyle w:val="StandaardSV"/>
              <w:rPr>
                <w:szCs w:val="22"/>
              </w:rPr>
            </w:pPr>
            <w:r w:rsidRPr="00E418CD">
              <w:rPr>
                <w:szCs w:val="22"/>
              </w:rPr>
              <w:t>28</w:t>
            </w:r>
          </w:p>
        </w:tc>
        <w:tc>
          <w:tcPr>
            <w:tcW w:w="1089" w:type="dxa"/>
            <w:vAlign w:val="bottom"/>
          </w:tcPr>
          <w:p w:rsidR="00891EB4" w:rsidRPr="00E418CD" w:rsidRDefault="00891EB4" w:rsidP="00E418CD">
            <w:pPr>
              <w:pStyle w:val="StandaardSV"/>
              <w:rPr>
                <w:szCs w:val="22"/>
              </w:rPr>
            </w:pPr>
            <w:r w:rsidRPr="00E418CD">
              <w:rPr>
                <w:szCs w:val="22"/>
              </w:rPr>
              <w:t>227</w:t>
            </w:r>
          </w:p>
        </w:tc>
        <w:tc>
          <w:tcPr>
            <w:tcW w:w="1052" w:type="dxa"/>
            <w:vAlign w:val="bottom"/>
          </w:tcPr>
          <w:p w:rsidR="00891EB4" w:rsidRPr="00E418CD" w:rsidRDefault="00891EB4" w:rsidP="00E418CD">
            <w:pPr>
              <w:pStyle w:val="StandaardSV"/>
              <w:rPr>
                <w:szCs w:val="22"/>
              </w:rPr>
            </w:pPr>
            <w:r w:rsidRPr="00E418CD">
              <w:rPr>
                <w:szCs w:val="22"/>
              </w:rPr>
              <w:t>135</w:t>
            </w:r>
          </w:p>
        </w:tc>
      </w:tr>
      <w:tr w:rsidR="00891EB4" w:rsidRPr="005E42A3" w:rsidTr="00E418CD">
        <w:tc>
          <w:tcPr>
            <w:tcW w:w="883" w:type="dxa"/>
          </w:tcPr>
          <w:p w:rsidR="00891EB4" w:rsidRPr="00E418CD" w:rsidRDefault="00891EB4" w:rsidP="00E418CD">
            <w:pPr>
              <w:pStyle w:val="StandaardSV"/>
              <w:rPr>
                <w:szCs w:val="22"/>
              </w:rPr>
            </w:pPr>
            <w:r w:rsidRPr="00E418CD">
              <w:rPr>
                <w:szCs w:val="22"/>
              </w:rPr>
              <w:t>Tot</w:t>
            </w:r>
          </w:p>
        </w:tc>
        <w:tc>
          <w:tcPr>
            <w:tcW w:w="1090" w:type="dxa"/>
            <w:vAlign w:val="bottom"/>
          </w:tcPr>
          <w:p w:rsidR="00891EB4" w:rsidRPr="00E418CD" w:rsidRDefault="00891EB4" w:rsidP="00E418CD">
            <w:pPr>
              <w:pStyle w:val="StandaardSV"/>
              <w:rPr>
                <w:szCs w:val="22"/>
              </w:rPr>
            </w:pPr>
            <w:r w:rsidRPr="00E418CD">
              <w:rPr>
                <w:szCs w:val="22"/>
              </w:rPr>
              <w:t>179</w:t>
            </w:r>
          </w:p>
        </w:tc>
        <w:tc>
          <w:tcPr>
            <w:tcW w:w="1053" w:type="dxa"/>
            <w:vAlign w:val="bottom"/>
          </w:tcPr>
          <w:p w:rsidR="00891EB4" w:rsidRPr="00E418CD" w:rsidRDefault="00891EB4" w:rsidP="00E418CD">
            <w:pPr>
              <w:pStyle w:val="StandaardSV"/>
              <w:rPr>
                <w:szCs w:val="22"/>
              </w:rPr>
            </w:pPr>
            <w:r w:rsidRPr="00E418CD">
              <w:rPr>
                <w:szCs w:val="22"/>
              </w:rPr>
              <w:t>22</w:t>
            </w:r>
          </w:p>
        </w:tc>
        <w:tc>
          <w:tcPr>
            <w:tcW w:w="1090" w:type="dxa"/>
            <w:vAlign w:val="bottom"/>
          </w:tcPr>
          <w:p w:rsidR="00891EB4" w:rsidRPr="00E418CD" w:rsidRDefault="00891EB4" w:rsidP="00E418CD">
            <w:pPr>
              <w:pStyle w:val="StandaardSV"/>
              <w:rPr>
                <w:szCs w:val="22"/>
              </w:rPr>
            </w:pPr>
            <w:r w:rsidRPr="00E418CD">
              <w:rPr>
                <w:szCs w:val="22"/>
              </w:rPr>
              <w:t>2235</w:t>
            </w:r>
          </w:p>
        </w:tc>
        <w:tc>
          <w:tcPr>
            <w:tcW w:w="1052" w:type="dxa"/>
            <w:vAlign w:val="bottom"/>
          </w:tcPr>
          <w:p w:rsidR="00891EB4" w:rsidRPr="00E418CD" w:rsidRDefault="00891EB4" w:rsidP="00E418CD">
            <w:pPr>
              <w:pStyle w:val="StandaardSV"/>
              <w:rPr>
                <w:szCs w:val="22"/>
              </w:rPr>
            </w:pPr>
            <w:r w:rsidRPr="00E418CD">
              <w:rPr>
                <w:szCs w:val="22"/>
              </w:rPr>
              <w:t>859</w:t>
            </w:r>
          </w:p>
        </w:tc>
        <w:tc>
          <w:tcPr>
            <w:tcW w:w="1089" w:type="dxa"/>
            <w:vAlign w:val="bottom"/>
          </w:tcPr>
          <w:p w:rsidR="00891EB4" w:rsidRPr="00E418CD" w:rsidRDefault="00891EB4" w:rsidP="00E418CD">
            <w:pPr>
              <w:pStyle w:val="StandaardSV"/>
              <w:rPr>
                <w:szCs w:val="22"/>
              </w:rPr>
            </w:pPr>
            <w:r w:rsidRPr="00E418CD">
              <w:rPr>
                <w:szCs w:val="22"/>
              </w:rPr>
              <w:t>424</w:t>
            </w:r>
          </w:p>
        </w:tc>
        <w:tc>
          <w:tcPr>
            <w:tcW w:w="1052" w:type="dxa"/>
            <w:vAlign w:val="bottom"/>
          </w:tcPr>
          <w:p w:rsidR="00891EB4" w:rsidRPr="00E418CD" w:rsidRDefault="00891EB4" w:rsidP="00E418CD">
            <w:pPr>
              <w:pStyle w:val="StandaardSV"/>
              <w:rPr>
                <w:szCs w:val="22"/>
              </w:rPr>
            </w:pPr>
            <w:r w:rsidRPr="00E418CD">
              <w:rPr>
                <w:szCs w:val="22"/>
              </w:rPr>
              <w:t>173</w:t>
            </w:r>
          </w:p>
        </w:tc>
        <w:tc>
          <w:tcPr>
            <w:tcW w:w="1089" w:type="dxa"/>
            <w:vAlign w:val="bottom"/>
          </w:tcPr>
          <w:p w:rsidR="00891EB4" w:rsidRPr="00E418CD" w:rsidRDefault="00891EB4" w:rsidP="00E418CD">
            <w:pPr>
              <w:pStyle w:val="StandaardSV"/>
              <w:rPr>
                <w:szCs w:val="22"/>
              </w:rPr>
            </w:pPr>
            <w:r w:rsidRPr="00E418CD">
              <w:rPr>
                <w:szCs w:val="22"/>
              </w:rPr>
              <w:t>2838</w:t>
            </w:r>
          </w:p>
        </w:tc>
        <w:tc>
          <w:tcPr>
            <w:tcW w:w="1052" w:type="dxa"/>
            <w:vAlign w:val="bottom"/>
          </w:tcPr>
          <w:p w:rsidR="00891EB4" w:rsidRPr="00E418CD" w:rsidRDefault="00891EB4" w:rsidP="00E418CD">
            <w:pPr>
              <w:pStyle w:val="StandaardSV"/>
              <w:rPr>
                <w:szCs w:val="22"/>
              </w:rPr>
            </w:pPr>
            <w:r w:rsidRPr="00E418CD">
              <w:rPr>
                <w:szCs w:val="22"/>
              </w:rPr>
              <w:t>1054</w:t>
            </w:r>
          </w:p>
        </w:tc>
      </w:tr>
    </w:tbl>
    <w:p w:rsidR="00891EB4" w:rsidRDefault="00891EB4" w:rsidP="005E42A3">
      <w:pPr>
        <w:pStyle w:val="StandaardSV"/>
        <w:ind w:left="360"/>
        <w:rPr>
          <w:szCs w:val="22"/>
        </w:rPr>
      </w:pPr>
      <w:r w:rsidRPr="005E42A3">
        <w:rPr>
          <w:szCs w:val="22"/>
        </w:rPr>
        <w:t>Aangemelde investeringskosten (in 1000 euro) per provincie volgens aard van de gevraagde steun en type bedrijf</w:t>
      </w:r>
    </w:p>
    <w:p w:rsidR="00891EB4" w:rsidRPr="005E42A3" w:rsidRDefault="00891EB4" w:rsidP="005E42A3">
      <w:pPr>
        <w:pStyle w:val="StandaardSV"/>
        <w:ind w:left="360"/>
        <w:rPr>
          <w:szCs w:val="22"/>
        </w:rPr>
      </w:pPr>
    </w:p>
    <w:tbl>
      <w:tblPr>
        <w:tblW w:w="9450"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3"/>
        <w:gridCol w:w="1090"/>
        <w:gridCol w:w="1053"/>
        <w:gridCol w:w="1090"/>
        <w:gridCol w:w="1052"/>
        <w:gridCol w:w="1089"/>
        <w:gridCol w:w="1052"/>
        <w:gridCol w:w="1089"/>
        <w:gridCol w:w="1052"/>
      </w:tblGrid>
      <w:tr w:rsidR="00891EB4" w:rsidRPr="005E42A3" w:rsidTr="00E418CD">
        <w:tc>
          <w:tcPr>
            <w:tcW w:w="883" w:type="dxa"/>
            <w:vMerge w:val="restart"/>
          </w:tcPr>
          <w:p w:rsidR="00891EB4" w:rsidRPr="00E418CD" w:rsidRDefault="00891EB4" w:rsidP="005E42A3">
            <w:pPr>
              <w:pStyle w:val="StandaardSV"/>
              <w:rPr>
                <w:szCs w:val="22"/>
              </w:rPr>
            </w:pPr>
            <w:r w:rsidRPr="00E418CD">
              <w:rPr>
                <w:szCs w:val="22"/>
              </w:rPr>
              <w:t>Prov.</w:t>
            </w:r>
          </w:p>
        </w:tc>
        <w:tc>
          <w:tcPr>
            <w:tcW w:w="2143" w:type="dxa"/>
            <w:gridSpan w:val="2"/>
          </w:tcPr>
          <w:p w:rsidR="00891EB4" w:rsidRPr="00E418CD" w:rsidRDefault="00891EB4" w:rsidP="005E42A3">
            <w:pPr>
              <w:pStyle w:val="StandaardSV"/>
              <w:rPr>
                <w:szCs w:val="22"/>
              </w:rPr>
            </w:pPr>
            <w:r w:rsidRPr="00E418CD">
              <w:rPr>
                <w:szCs w:val="22"/>
              </w:rPr>
              <w:t>Vestigingssteun</w:t>
            </w:r>
          </w:p>
        </w:tc>
        <w:tc>
          <w:tcPr>
            <w:tcW w:w="2142" w:type="dxa"/>
            <w:gridSpan w:val="2"/>
          </w:tcPr>
          <w:p w:rsidR="00891EB4" w:rsidRPr="00E418CD" w:rsidRDefault="00891EB4" w:rsidP="005E42A3">
            <w:pPr>
              <w:pStyle w:val="StandaardSV"/>
              <w:rPr>
                <w:szCs w:val="22"/>
              </w:rPr>
            </w:pPr>
            <w:r w:rsidRPr="00E418CD">
              <w:rPr>
                <w:szCs w:val="22"/>
              </w:rPr>
              <w:t>Investeringssteun</w:t>
            </w:r>
          </w:p>
        </w:tc>
        <w:tc>
          <w:tcPr>
            <w:tcW w:w="2141" w:type="dxa"/>
            <w:gridSpan w:val="2"/>
          </w:tcPr>
          <w:p w:rsidR="00891EB4" w:rsidRPr="00E418CD" w:rsidRDefault="00891EB4" w:rsidP="005E42A3">
            <w:pPr>
              <w:pStyle w:val="StandaardSV"/>
              <w:rPr>
                <w:szCs w:val="22"/>
              </w:rPr>
            </w:pPr>
            <w:r w:rsidRPr="00E418CD">
              <w:rPr>
                <w:szCs w:val="22"/>
              </w:rPr>
              <w:t>Diversificatiesteun</w:t>
            </w:r>
          </w:p>
        </w:tc>
        <w:tc>
          <w:tcPr>
            <w:tcW w:w="2141" w:type="dxa"/>
            <w:gridSpan w:val="2"/>
          </w:tcPr>
          <w:p w:rsidR="00891EB4" w:rsidRPr="00E418CD" w:rsidRDefault="00891EB4" w:rsidP="005E42A3">
            <w:pPr>
              <w:pStyle w:val="StandaardSV"/>
              <w:rPr>
                <w:szCs w:val="22"/>
              </w:rPr>
            </w:pPr>
            <w:r w:rsidRPr="00E418CD">
              <w:rPr>
                <w:szCs w:val="22"/>
              </w:rPr>
              <w:t>Totaal</w:t>
            </w:r>
          </w:p>
        </w:tc>
      </w:tr>
      <w:tr w:rsidR="00891EB4" w:rsidRPr="005E42A3" w:rsidTr="00E418CD">
        <w:tc>
          <w:tcPr>
            <w:tcW w:w="883" w:type="dxa"/>
            <w:vMerge/>
          </w:tcPr>
          <w:p w:rsidR="00891EB4" w:rsidRPr="00E418CD" w:rsidRDefault="00891EB4" w:rsidP="005E42A3">
            <w:pPr>
              <w:pStyle w:val="StandaardSV"/>
              <w:rPr>
                <w:szCs w:val="22"/>
              </w:rPr>
            </w:pPr>
          </w:p>
        </w:tc>
        <w:tc>
          <w:tcPr>
            <w:tcW w:w="1090" w:type="dxa"/>
          </w:tcPr>
          <w:p w:rsidR="00891EB4" w:rsidRPr="00E418CD" w:rsidRDefault="00891EB4" w:rsidP="005E42A3">
            <w:pPr>
              <w:pStyle w:val="StandaardSV"/>
              <w:rPr>
                <w:szCs w:val="22"/>
              </w:rPr>
            </w:pPr>
            <w:r w:rsidRPr="00E418CD">
              <w:rPr>
                <w:szCs w:val="22"/>
              </w:rPr>
              <w:t>landbouw</w:t>
            </w:r>
          </w:p>
        </w:tc>
        <w:tc>
          <w:tcPr>
            <w:tcW w:w="1053" w:type="dxa"/>
          </w:tcPr>
          <w:p w:rsidR="00891EB4" w:rsidRPr="00E418CD" w:rsidRDefault="00891EB4" w:rsidP="005E42A3">
            <w:pPr>
              <w:pStyle w:val="StandaardSV"/>
              <w:rPr>
                <w:szCs w:val="22"/>
              </w:rPr>
            </w:pPr>
            <w:r w:rsidRPr="00E418CD">
              <w:rPr>
                <w:szCs w:val="22"/>
              </w:rPr>
              <w:t>tuinbouw</w:t>
            </w:r>
          </w:p>
        </w:tc>
        <w:tc>
          <w:tcPr>
            <w:tcW w:w="1090" w:type="dxa"/>
          </w:tcPr>
          <w:p w:rsidR="00891EB4" w:rsidRPr="00E418CD" w:rsidRDefault="00891EB4" w:rsidP="005E42A3">
            <w:pPr>
              <w:pStyle w:val="StandaardSV"/>
              <w:rPr>
                <w:szCs w:val="22"/>
              </w:rPr>
            </w:pPr>
            <w:r w:rsidRPr="00E418CD">
              <w:rPr>
                <w:szCs w:val="22"/>
              </w:rPr>
              <w:t>landbouw</w:t>
            </w:r>
          </w:p>
        </w:tc>
        <w:tc>
          <w:tcPr>
            <w:tcW w:w="1052" w:type="dxa"/>
          </w:tcPr>
          <w:p w:rsidR="00891EB4" w:rsidRPr="00E418CD" w:rsidRDefault="00891EB4" w:rsidP="005E42A3">
            <w:pPr>
              <w:pStyle w:val="StandaardSV"/>
              <w:rPr>
                <w:szCs w:val="22"/>
              </w:rPr>
            </w:pPr>
            <w:r w:rsidRPr="00E418CD">
              <w:rPr>
                <w:szCs w:val="22"/>
              </w:rPr>
              <w:t>tuinbouw</w:t>
            </w:r>
          </w:p>
        </w:tc>
        <w:tc>
          <w:tcPr>
            <w:tcW w:w="1089" w:type="dxa"/>
          </w:tcPr>
          <w:p w:rsidR="00891EB4" w:rsidRPr="00E418CD" w:rsidRDefault="00891EB4" w:rsidP="005E42A3">
            <w:pPr>
              <w:pStyle w:val="StandaardSV"/>
              <w:rPr>
                <w:szCs w:val="22"/>
              </w:rPr>
            </w:pPr>
            <w:r w:rsidRPr="00E418CD">
              <w:rPr>
                <w:szCs w:val="22"/>
              </w:rPr>
              <w:t>landbouw</w:t>
            </w:r>
          </w:p>
        </w:tc>
        <w:tc>
          <w:tcPr>
            <w:tcW w:w="1052" w:type="dxa"/>
          </w:tcPr>
          <w:p w:rsidR="00891EB4" w:rsidRPr="00E418CD" w:rsidRDefault="00891EB4" w:rsidP="005E42A3">
            <w:pPr>
              <w:pStyle w:val="StandaardSV"/>
              <w:rPr>
                <w:szCs w:val="22"/>
              </w:rPr>
            </w:pPr>
            <w:r w:rsidRPr="00E418CD">
              <w:rPr>
                <w:szCs w:val="22"/>
              </w:rPr>
              <w:t>tuinbouw</w:t>
            </w:r>
          </w:p>
        </w:tc>
        <w:tc>
          <w:tcPr>
            <w:tcW w:w="1089" w:type="dxa"/>
          </w:tcPr>
          <w:p w:rsidR="00891EB4" w:rsidRPr="00E418CD" w:rsidRDefault="00891EB4" w:rsidP="005E42A3">
            <w:pPr>
              <w:pStyle w:val="StandaardSV"/>
              <w:rPr>
                <w:szCs w:val="22"/>
              </w:rPr>
            </w:pPr>
            <w:r w:rsidRPr="00E418CD">
              <w:rPr>
                <w:szCs w:val="22"/>
              </w:rPr>
              <w:t>landbouw</w:t>
            </w:r>
          </w:p>
        </w:tc>
        <w:tc>
          <w:tcPr>
            <w:tcW w:w="1052" w:type="dxa"/>
          </w:tcPr>
          <w:p w:rsidR="00891EB4" w:rsidRPr="00E418CD" w:rsidRDefault="00891EB4" w:rsidP="005E42A3">
            <w:pPr>
              <w:pStyle w:val="StandaardSV"/>
              <w:rPr>
                <w:szCs w:val="22"/>
              </w:rPr>
            </w:pPr>
            <w:r w:rsidRPr="00E418CD">
              <w:rPr>
                <w:szCs w:val="22"/>
              </w:rPr>
              <w:t>tuinbouw</w:t>
            </w:r>
          </w:p>
        </w:tc>
      </w:tr>
      <w:tr w:rsidR="00891EB4" w:rsidRPr="005E42A3" w:rsidTr="00E418CD">
        <w:tc>
          <w:tcPr>
            <w:tcW w:w="883" w:type="dxa"/>
          </w:tcPr>
          <w:p w:rsidR="00891EB4" w:rsidRPr="00E418CD" w:rsidRDefault="00891EB4" w:rsidP="005E42A3">
            <w:pPr>
              <w:pStyle w:val="StandaardSV"/>
              <w:rPr>
                <w:szCs w:val="22"/>
              </w:rPr>
            </w:pPr>
            <w:r w:rsidRPr="00E418CD">
              <w:rPr>
                <w:szCs w:val="22"/>
              </w:rPr>
              <w:t>WVL</w:t>
            </w:r>
          </w:p>
        </w:tc>
        <w:tc>
          <w:tcPr>
            <w:tcW w:w="1090" w:type="dxa"/>
            <w:vAlign w:val="bottom"/>
          </w:tcPr>
          <w:p w:rsidR="00891EB4" w:rsidRPr="00E418CD" w:rsidRDefault="00891EB4" w:rsidP="005E42A3">
            <w:pPr>
              <w:pStyle w:val="StandaardSV"/>
              <w:rPr>
                <w:szCs w:val="22"/>
              </w:rPr>
            </w:pPr>
            <w:r w:rsidRPr="00E418CD">
              <w:rPr>
                <w:szCs w:val="22"/>
              </w:rPr>
              <w:t>14.494</w:t>
            </w:r>
          </w:p>
        </w:tc>
        <w:tc>
          <w:tcPr>
            <w:tcW w:w="1053" w:type="dxa"/>
            <w:vAlign w:val="bottom"/>
          </w:tcPr>
          <w:p w:rsidR="00891EB4" w:rsidRPr="00E418CD" w:rsidRDefault="00891EB4" w:rsidP="005E42A3">
            <w:pPr>
              <w:pStyle w:val="StandaardSV"/>
              <w:rPr>
                <w:szCs w:val="22"/>
              </w:rPr>
            </w:pPr>
            <w:r w:rsidRPr="00E418CD">
              <w:rPr>
                <w:szCs w:val="22"/>
              </w:rPr>
              <w:t>1.400</w:t>
            </w:r>
          </w:p>
        </w:tc>
        <w:tc>
          <w:tcPr>
            <w:tcW w:w="1090" w:type="dxa"/>
            <w:vAlign w:val="bottom"/>
          </w:tcPr>
          <w:p w:rsidR="00891EB4" w:rsidRPr="00E418CD" w:rsidRDefault="00891EB4" w:rsidP="005E42A3">
            <w:pPr>
              <w:pStyle w:val="StandaardSV"/>
              <w:rPr>
                <w:szCs w:val="22"/>
              </w:rPr>
            </w:pPr>
            <w:r w:rsidRPr="00E418CD">
              <w:rPr>
                <w:szCs w:val="22"/>
              </w:rPr>
              <w:t>167.837</w:t>
            </w:r>
          </w:p>
        </w:tc>
        <w:tc>
          <w:tcPr>
            <w:tcW w:w="1052" w:type="dxa"/>
            <w:vAlign w:val="bottom"/>
          </w:tcPr>
          <w:p w:rsidR="00891EB4" w:rsidRPr="00E418CD" w:rsidRDefault="00891EB4" w:rsidP="005E42A3">
            <w:pPr>
              <w:pStyle w:val="StandaardSV"/>
              <w:rPr>
                <w:szCs w:val="22"/>
              </w:rPr>
            </w:pPr>
            <w:r w:rsidRPr="00E418CD">
              <w:rPr>
                <w:szCs w:val="22"/>
              </w:rPr>
              <w:t>31.588</w:t>
            </w:r>
          </w:p>
        </w:tc>
        <w:tc>
          <w:tcPr>
            <w:tcW w:w="1089" w:type="dxa"/>
            <w:vAlign w:val="bottom"/>
          </w:tcPr>
          <w:p w:rsidR="00891EB4" w:rsidRPr="00E418CD" w:rsidRDefault="00891EB4" w:rsidP="005E42A3">
            <w:pPr>
              <w:pStyle w:val="StandaardSV"/>
              <w:rPr>
                <w:szCs w:val="22"/>
              </w:rPr>
            </w:pPr>
            <w:r w:rsidRPr="00E418CD">
              <w:rPr>
                <w:szCs w:val="22"/>
              </w:rPr>
              <w:t>11.754</w:t>
            </w:r>
          </w:p>
        </w:tc>
        <w:tc>
          <w:tcPr>
            <w:tcW w:w="1052" w:type="dxa"/>
            <w:vAlign w:val="bottom"/>
          </w:tcPr>
          <w:p w:rsidR="00891EB4" w:rsidRPr="00E418CD" w:rsidRDefault="00891EB4" w:rsidP="005E42A3">
            <w:pPr>
              <w:pStyle w:val="StandaardSV"/>
              <w:rPr>
                <w:szCs w:val="22"/>
              </w:rPr>
            </w:pPr>
            <w:r w:rsidRPr="00E418CD">
              <w:rPr>
                <w:szCs w:val="22"/>
              </w:rPr>
              <w:t>3.820</w:t>
            </w:r>
          </w:p>
        </w:tc>
        <w:tc>
          <w:tcPr>
            <w:tcW w:w="1089" w:type="dxa"/>
            <w:vAlign w:val="bottom"/>
          </w:tcPr>
          <w:p w:rsidR="00891EB4" w:rsidRPr="00E418CD" w:rsidRDefault="00891EB4" w:rsidP="005E42A3">
            <w:pPr>
              <w:pStyle w:val="StandaardSV"/>
              <w:rPr>
                <w:szCs w:val="22"/>
              </w:rPr>
            </w:pPr>
            <w:r w:rsidRPr="00E418CD">
              <w:rPr>
                <w:szCs w:val="22"/>
              </w:rPr>
              <w:t>194.085</w:t>
            </w:r>
          </w:p>
        </w:tc>
        <w:tc>
          <w:tcPr>
            <w:tcW w:w="1052" w:type="dxa"/>
            <w:vAlign w:val="bottom"/>
          </w:tcPr>
          <w:p w:rsidR="00891EB4" w:rsidRPr="00E418CD" w:rsidRDefault="00891EB4" w:rsidP="005E42A3">
            <w:pPr>
              <w:pStyle w:val="StandaardSV"/>
              <w:rPr>
                <w:szCs w:val="22"/>
              </w:rPr>
            </w:pPr>
            <w:r w:rsidRPr="00E418CD">
              <w:rPr>
                <w:szCs w:val="22"/>
              </w:rPr>
              <w:t>36.807</w:t>
            </w:r>
          </w:p>
        </w:tc>
      </w:tr>
      <w:tr w:rsidR="00891EB4" w:rsidRPr="005E42A3" w:rsidTr="00E418CD">
        <w:tc>
          <w:tcPr>
            <w:tcW w:w="883" w:type="dxa"/>
          </w:tcPr>
          <w:p w:rsidR="00891EB4" w:rsidRPr="00E418CD" w:rsidRDefault="00891EB4" w:rsidP="005E42A3">
            <w:pPr>
              <w:pStyle w:val="StandaardSV"/>
              <w:rPr>
                <w:szCs w:val="22"/>
              </w:rPr>
            </w:pPr>
            <w:r w:rsidRPr="00E418CD">
              <w:rPr>
                <w:szCs w:val="22"/>
              </w:rPr>
              <w:t>OVL</w:t>
            </w:r>
          </w:p>
        </w:tc>
        <w:tc>
          <w:tcPr>
            <w:tcW w:w="1090" w:type="dxa"/>
            <w:vAlign w:val="bottom"/>
          </w:tcPr>
          <w:p w:rsidR="00891EB4" w:rsidRPr="00E418CD" w:rsidRDefault="00891EB4" w:rsidP="005E42A3">
            <w:pPr>
              <w:pStyle w:val="StandaardSV"/>
              <w:rPr>
                <w:szCs w:val="22"/>
              </w:rPr>
            </w:pPr>
            <w:r w:rsidRPr="00E418CD">
              <w:rPr>
                <w:szCs w:val="22"/>
              </w:rPr>
              <w:t>7.809</w:t>
            </w:r>
          </w:p>
        </w:tc>
        <w:tc>
          <w:tcPr>
            <w:tcW w:w="1053" w:type="dxa"/>
            <w:vAlign w:val="bottom"/>
          </w:tcPr>
          <w:p w:rsidR="00891EB4" w:rsidRPr="00E418CD" w:rsidRDefault="00891EB4" w:rsidP="005E42A3">
            <w:pPr>
              <w:pStyle w:val="StandaardSV"/>
              <w:rPr>
                <w:szCs w:val="22"/>
              </w:rPr>
            </w:pPr>
            <w:r w:rsidRPr="00E418CD">
              <w:rPr>
                <w:szCs w:val="22"/>
              </w:rPr>
              <w:t>0</w:t>
            </w:r>
          </w:p>
        </w:tc>
        <w:tc>
          <w:tcPr>
            <w:tcW w:w="1090" w:type="dxa"/>
            <w:vAlign w:val="bottom"/>
          </w:tcPr>
          <w:p w:rsidR="00891EB4" w:rsidRPr="00E418CD" w:rsidRDefault="00891EB4" w:rsidP="005E42A3">
            <w:pPr>
              <w:pStyle w:val="StandaardSV"/>
              <w:rPr>
                <w:szCs w:val="22"/>
              </w:rPr>
            </w:pPr>
            <w:r w:rsidRPr="00E418CD">
              <w:rPr>
                <w:szCs w:val="22"/>
              </w:rPr>
              <w:t>67.442</w:t>
            </w:r>
          </w:p>
        </w:tc>
        <w:tc>
          <w:tcPr>
            <w:tcW w:w="1052" w:type="dxa"/>
            <w:vAlign w:val="bottom"/>
          </w:tcPr>
          <w:p w:rsidR="00891EB4" w:rsidRPr="00E418CD" w:rsidRDefault="00891EB4" w:rsidP="005E42A3">
            <w:pPr>
              <w:pStyle w:val="StandaardSV"/>
              <w:rPr>
                <w:szCs w:val="22"/>
              </w:rPr>
            </w:pPr>
            <w:r w:rsidRPr="00E418CD">
              <w:rPr>
                <w:szCs w:val="22"/>
              </w:rPr>
              <w:t>22.141</w:t>
            </w:r>
          </w:p>
        </w:tc>
        <w:tc>
          <w:tcPr>
            <w:tcW w:w="1089" w:type="dxa"/>
            <w:vAlign w:val="bottom"/>
          </w:tcPr>
          <w:p w:rsidR="00891EB4" w:rsidRPr="00E418CD" w:rsidRDefault="00891EB4" w:rsidP="005E42A3">
            <w:pPr>
              <w:pStyle w:val="StandaardSV"/>
              <w:rPr>
                <w:szCs w:val="22"/>
              </w:rPr>
            </w:pPr>
            <w:r w:rsidRPr="00E418CD">
              <w:rPr>
                <w:szCs w:val="22"/>
              </w:rPr>
              <w:t>9.033</w:t>
            </w:r>
          </w:p>
        </w:tc>
        <w:tc>
          <w:tcPr>
            <w:tcW w:w="1052" w:type="dxa"/>
            <w:vAlign w:val="bottom"/>
          </w:tcPr>
          <w:p w:rsidR="00891EB4" w:rsidRPr="00E418CD" w:rsidRDefault="00891EB4" w:rsidP="005E42A3">
            <w:pPr>
              <w:pStyle w:val="StandaardSV"/>
              <w:rPr>
                <w:szCs w:val="22"/>
              </w:rPr>
            </w:pPr>
            <w:r w:rsidRPr="00E418CD">
              <w:rPr>
                <w:szCs w:val="22"/>
              </w:rPr>
              <w:t>4.431</w:t>
            </w:r>
          </w:p>
        </w:tc>
        <w:tc>
          <w:tcPr>
            <w:tcW w:w="1089" w:type="dxa"/>
            <w:vAlign w:val="bottom"/>
          </w:tcPr>
          <w:p w:rsidR="00891EB4" w:rsidRPr="00E418CD" w:rsidRDefault="00891EB4" w:rsidP="005E42A3">
            <w:pPr>
              <w:pStyle w:val="StandaardSV"/>
              <w:rPr>
                <w:szCs w:val="22"/>
              </w:rPr>
            </w:pPr>
            <w:r w:rsidRPr="00E418CD">
              <w:rPr>
                <w:szCs w:val="22"/>
              </w:rPr>
              <w:t>84.283</w:t>
            </w:r>
          </w:p>
        </w:tc>
        <w:tc>
          <w:tcPr>
            <w:tcW w:w="1052" w:type="dxa"/>
            <w:vAlign w:val="bottom"/>
          </w:tcPr>
          <w:p w:rsidR="00891EB4" w:rsidRPr="00E418CD" w:rsidRDefault="00891EB4" w:rsidP="005E42A3">
            <w:pPr>
              <w:pStyle w:val="StandaardSV"/>
              <w:rPr>
                <w:szCs w:val="22"/>
              </w:rPr>
            </w:pPr>
            <w:r w:rsidRPr="00E418CD">
              <w:rPr>
                <w:szCs w:val="22"/>
              </w:rPr>
              <w:t>26.572</w:t>
            </w:r>
          </w:p>
        </w:tc>
      </w:tr>
      <w:tr w:rsidR="00891EB4" w:rsidRPr="005E42A3" w:rsidTr="00E418CD">
        <w:tc>
          <w:tcPr>
            <w:tcW w:w="883" w:type="dxa"/>
          </w:tcPr>
          <w:p w:rsidR="00891EB4" w:rsidRPr="00E418CD" w:rsidRDefault="00891EB4" w:rsidP="005E42A3">
            <w:pPr>
              <w:pStyle w:val="StandaardSV"/>
              <w:rPr>
                <w:szCs w:val="22"/>
              </w:rPr>
            </w:pPr>
            <w:r w:rsidRPr="00E418CD">
              <w:rPr>
                <w:szCs w:val="22"/>
              </w:rPr>
              <w:t>Ant</w:t>
            </w:r>
          </w:p>
        </w:tc>
        <w:tc>
          <w:tcPr>
            <w:tcW w:w="1090" w:type="dxa"/>
            <w:vAlign w:val="bottom"/>
          </w:tcPr>
          <w:p w:rsidR="00891EB4" w:rsidRPr="00E418CD" w:rsidRDefault="00891EB4" w:rsidP="005E42A3">
            <w:pPr>
              <w:pStyle w:val="StandaardSV"/>
              <w:rPr>
                <w:szCs w:val="22"/>
              </w:rPr>
            </w:pPr>
            <w:r w:rsidRPr="00E418CD">
              <w:rPr>
                <w:szCs w:val="22"/>
              </w:rPr>
              <w:t>10.985</w:t>
            </w:r>
          </w:p>
        </w:tc>
        <w:tc>
          <w:tcPr>
            <w:tcW w:w="1053" w:type="dxa"/>
            <w:vAlign w:val="bottom"/>
          </w:tcPr>
          <w:p w:rsidR="00891EB4" w:rsidRPr="00E418CD" w:rsidRDefault="00891EB4" w:rsidP="005E42A3">
            <w:pPr>
              <w:pStyle w:val="StandaardSV"/>
              <w:rPr>
                <w:szCs w:val="22"/>
              </w:rPr>
            </w:pPr>
            <w:r w:rsidRPr="00E418CD">
              <w:rPr>
                <w:szCs w:val="22"/>
              </w:rPr>
              <w:t>355</w:t>
            </w:r>
          </w:p>
        </w:tc>
        <w:tc>
          <w:tcPr>
            <w:tcW w:w="1090" w:type="dxa"/>
            <w:vAlign w:val="bottom"/>
          </w:tcPr>
          <w:p w:rsidR="00891EB4" w:rsidRPr="00E418CD" w:rsidRDefault="00891EB4" w:rsidP="005E42A3">
            <w:pPr>
              <w:pStyle w:val="StandaardSV"/>
              <w:rPr>
                <w:szCs w:val="22"/>
              </w:rPr>
            </w:pPr>
            <w:r w:rsidRPr="00E418CD">
              <w:rPr>
                <w:szCs w:val="22"/>
              </w:rPr>
              <w:t>70.101</w:t>
            </w:r>
          </w:p>
        </w:tc>
        <w:tc>
          <w:tcPr>
            <w:tcW w:w="1052" w:type="dxa"/>
            <w:vAlign w:val="bottom"/>
          </w:tcPr>
          <w:p w:rsidR="00891EB4" w:rsidRPr="00E418CD" w:rsidRDefault="00891EB4" w:rsidP="005E42A3">
            <w:pPr>
              <w:pStyle w:val="StandaardSV"/>
              <w:rPr>
                <w:szCs w:val="22"/>
              </w:rPr>
            </w:pPr>
            <w:r w:rsidRPr="00E418CD">
              <w:rPr>
                <w:szCs w:val="22"/>
              </w:rPr>
              <w:t>50.436</w:t>
            </w:r>
          </w:p>
        </w:tc>
        <w:tc>
          <w:tcPr>
            <w:tcW w:w="1089" w:type="dxa"/>
            <w:vAlign w:val="bottom"/>
          </w:tcPr>
          <w:p w:rsidR="00891EB4" w:rsidRPr="00E418CD" w:rsidRDefault="00891EB4" w:rsidP="005E42A3">
            <w:pPr>
              <w:pStyle w:val="StandaardSV"/>
              <w:rPr>
                <w:szCs w:val="22"/>
              </w:rPr>
            </w:pPr>
            <w:r w:rsidRPr="00E418CD">
              <w:rPr>
                <w:szCs w:val="22"/>
              </w:rPr>
              <w:t>6.482</w:t>
            </w:r>
          </w:p>
        </w:tc>
        <w:tc>
          <w:tcPr>
            <w:tcW w:w="1052" w:type="dxa"/>
            <w:vAlign w:val="bottom"/>
          </w:tcPr>
          <w:p w:rsidR="00891EB4" w:rsidRPr="00E418CD" w:rsidRDefault="00891EB4" w:rsidP="005E42A3">
            <w:pPr>
              <w:pStyle w:val="StandaardSV"/>
              <w:rPr>
                <w:szCs w:val="22"/>
              </w:rPr>
            </w:pPr>
            <w:r w:rsidRPr="00E418CD">
              <w:rPr>
                <w:szCs w:val="22"/>
              </w:rPr>
              <w:t>1.761</w:t>
            </w:r>
          </w:p>
        </w:tc>
        <w:tc>
          <w:tcPr>
            <w:tcW w:w="1089" w:type="dxa"/>
            <w:vAlign w:val="bottom"/>
          </w:tcPr>
          <w:p w:rsidR="00891EB4" w:rsidRPr="00E418CD" w:rsidRDefault="00891EB4" w:rsidP="005E42A3">
            <w:pPr>
              <w:pStyle w:val="StandaardSV"/>
              <w:rPr>
                <w:szCs w:val="22"/>
              </w:rPr>
            </w:pPr>
            <w:r w:rsidRPr="00E418CD">
              <w:rPr>
                <w:szCs w:val="22"/>
              </w:rPr>
              <w:t>87.568</w:t>
            </w:r>
          </w:p>
        </w:tc>
        <w:tc>
          <w:tcPr>
            <w:tcW w:w="1052" w:type="dxa"/>
            <w:vAlign w:val="bottom"/>
          </w:tcPr>
          <w:p w:rsidR="00891EB4" w:rsidRPr="00E418CD" w:rsidRDefault="00891EB4" w:rsidP="005E42A3">
            <w:pPr>
              <w:pStyle w:val="StandaardSV"/>
              <w:rPr>
                <w:szCs w:val="22"/>
              </w:rPr>
            </w:pPr>
            <w:r w:rsidRPr="00E418CD">
              <w:rPr>
                <w:szCs w:val="22"/>
              </w:rPr>
              <w:t>52.552</w:t>
            </w:r>
          </w:p>
        </w:tc>
      </w:tr>
      <w:tr w:rsidR="00891EB4" w:rsidRPr="005E42A3" w:rsidTr="00E418CD">
        <w:tc>
          <w:tcPr>
            <w:tcW w:w="883" w:type="dxa"/>
          </w:tcPr>
          <w:p w:rsidR="00891EB4" w:rsidRPr="00E418CD" w:rsidRDefault="00891EB4" w:rsidP="005E42A3">
            <w:pPr>
              <w:pStyle w:val="StandaardSV"/>
              <w:rPr>
                <w:szCs w:val="22"/>
              </w:rPr>
            </w:pPr>
            <w:r w:rsidRPr="00E418CD">
              <w:rPr>
                <w:szCs w:val="22"/>
              </w:rPr>
              <w:t>Lim</w:t>
            </w:r>
          </w:p>
        </w:tc>
        <w:tc>
          <w:tcPr>
            <w:tcW w:w="1090" w:type="dxa"/>
            <w:vAlign w:val="bottom"/>
          </w:tcPr>
          <w:p w:rsidR="00891EB4" w:rsidRPr="00E418CD" w:rsidRDefault="00891EB4" w:rsidP="005E42A3">
            <w:pPr>
              <w:pStyle w:val="StandaardSV"/>
              <w:rPr>
                <w:szCs w:val="22"/>
              </w:rPr>
            </w:pPr>
            <w:r w:rsidRPr="00E418CD">
              <w:rPr>
                <w:szCs w:val="22"/>
              </w:rPr>
              <w:t>4.147</w:t>
            </w:r>
          </w:p>
        </w:tc>
        <w:tc>
          <w:tcPr>
            <w:tcW w:w="1053" w:type="dxa"/>
            <w:vAlign w:val="bottom"/>
          </w:tcPr>
          <w:p w:rsidR="00891EB4" w:rsidRPr="00E418CD" w:rsidRDefault="00891EB4" w:rsidP="005E42A3">
            <w:pPr>
              <w:pStyle w:val="StandaardSV"/>
              <w:rPr>
                <w:szCs w:val="22"/>
              </w:rPr>
            </w:pPr>
            <w:r w:rsidRPr="00E418CD">
              <w:rPr>
                <w:szCs w:val="22"/>
              </w:rPr>
              <w:t>1.388</w:t>
            </w:r>
          </w:p>
        </w:tc>
        <w:tc>
          <w:tcPr>
            <w:tcW w:w="1090" w:type="dxa"/>
            <w:vAlign w:val="bottom"/>
          </w:tcPr>
          <w:p w:rsidR="00891EB4" w:rsidRPr="00E418CD" w:rsidRDefault="00891EB4" w:rsidP="005E42A3">
            <w:pPr>
              <w:pStyle w:val="StandaardSV"/>
              <w:rPr>
                <w:szCs w:val="22"/>
              </w:rPr>
            </w:pPr>
            <w:r w:rsidRPr="00E418CD">
              <w:rPr>
                <w:szCs w:val="22"/>
              </w:rPr>
              <w:t>35.575</w:t>
            </w:r>
          </w:p>
        </w:tc>
        <w:tc>
          <w:tcPr>
            <w:tcW w:w="1052" w:type="dxa"/>
            <w:vAlign w:val="bottom"/>
          </w:tcPr>
          <w:p w:rsidR="00891EB4" w:rsidRPr="00E418CD" w:rsidRDefault="00891EB4" w:rsidP="005E42A3">
            <w:pPr>
              <w:pStyle w:val="StandaardSV"/>
              <w:rPr>
                <w:szCs w:val="22"/>
              </w:rPr>
            </w:pPr>
            <w:r w:rsidRPr="00E418CD">
              <w:rPr>
                <w:szCs w:val="22"/>
              </w:rPr>
              <w:t>15.433</w:t>
            </w:r>
          </w:p>
        </w:tc>
        <w:tc>
          <w:tcPr>
            <w:tcW w:w="1089" w:type="dxa"/>
            <w:vAlign w:val="bottom"/>
          </w:tcPr>
          <w:p w:rsidR="00891EB4" w:rsidRPr="00E418CD" w:rsidRDefault="00891EB4" w:rsidP="005E42A3">
            <w:pPr>
              <w:pStyle w:val="StandaardSV"/>
              <w:rPr>
                <w:szCs w:val="22"/>
              </w:rPr>
            </w:pPr>
            <w:r w:rsidRPr="00E418CD">
              <w:rPr>
                <w:szCs w:val="22"/>
              </w:rPr>
              <w:t>3.409</w:t>
            </w:r>
          </w:p>
        </w:tc>
        <w:tc>
          <w:tcPr>
            <w:tcW w:w="1052" w:type="dxa"/>
            <w:vAlign w:val="bottom"/>
          </w:tcPr>
          <w:p w:rsidR="00891EB4" w:rsidRPr="00E418CD" w:rsidRDefault="00891EB4" w:rsidP="005E42A3">
            <w:pPr>
              <w:pStyle w:val="StandaardSV"/>
              <w:rPr>
                <w:szCs w:val="22"/>
              </w:rPr>
            </w:pPr>
            <w:r w:rsidRPr="00E418CD">
              <w:rPr>
                <w:szCs w:val="22"/>
              </w:rPr>
              <w:t>6.385</w:t>
            </w:r>
          </w:p>
        </w:tc>
        <w:tc>
          <w:tcPr>
            <w:tcW w:w="1089" w:type="dxa"/>
            <w:vAlign w:val="bottom"/>
          </w:tcPr>
          <w:p w:rsidR="00891EB4" w:rsidRPr="00E418CD" w:rsidRDefault="00891EB4" w:rsidP="005E42A3">
            <w:pPr>
              <w:pStyle w:val="StandaardSV"/>
              <w:rPr>
                <w:szCs w:val="22"/>
              </w:rPr>
            </w:pPr>
            <w:r w:rsidRPr="00E418CD">
              <w:rPr>
                <w:szCs w:val="22"/>
              </w:rPr>
              <w:t>43.131</w:t>
            </w:r>
          </w:p>
        </w:tc>
        <w:tc>
          <w:tcPr>
            <w:tcW w:w="1052" w:type="dxa"/>
            <w:vAlign w:val="bottom"/>
          </w:tcPr>
          <w:p w:rsidR="00891EB4" w:rsidRPr="00E418CD" w:rsidRDefault="00891EB4" w:rsidP="005E42A3">
            <w:pPr>
              <w:pStyle w:val="StandaardSV"/>
              <w:rPr>
                <w:szCs w:val="22"/>
              </w:rPr>
            </w:pPr>
            <w:r w:rsidRPr="00E418CD">
              <w:rPr>
                <w:szCs w:val="22"/>
              </w:rPr>
              <w:t>23.206</w:t>
            </w:r>
          </w:p>
        </w:tc>
      </w:tr>
      <w:tr w:rsidR="00891EB4" w:rsidRPr="005E42A3" w:rsidTr="00E418CD">
        <w:tc>
          <w:tcPr>
            <w:tcW w:w="883" w:type="dxa"/>
          </w:tcPr>
          <w:p w:rsidR="00891EB4" w:rsidRPr="00E418CD" w:rsidRDefault="00891EB4" w:rsidP="005E42A3">
            <w:pPr>
              <w:pStyle w:val="StandaardSV"/>
              <w:rPr>
                <w:szCs w:val="22"/>
              </w:rPr>
            </w:pPr>
            <w:r w:rsidRPr="00E418CD">
              <w:rPr>
                <w:szCs w:val="22"/>
              </w:rPr>
              <w:t>VLB</w:t>
            </w:r>
          </w:p>
        </w:tc>
        <w:tc>
          <w:tcPr>
            <w:tcW w:w="1090" w:type="dxa"/>
            <w:vAlign w:val="bottom"/>
          </w:tcPr>
          <w:p w:rsidR="00891EB4" w:rsidRPr="00E418CD" w:rsidRDefault="00891EB4" w:rsidP="005E42A3">
            <w:pPr>
              <w:pStyle w:val="StandaardSV"/>
              <w:rPr>
                <w:szCs w:val="22"/>
              </w:rPr>
            </w:pPr>
            <w:r w:rsidRPr="00E418CD">
              <w:rPr>
                <w:szCs w:val="22"/>
              </w:rPr>
              <w:t>3.468</w:t>
            </w:r>
          </w:p>
        </w:tc>
        <w:tc>
          <w:tcPr>
            <w:tcW w:w="1053" w:type="dxa"/>
            <w:vAlign w:val="bottom"/>
          </w:tcPr>
          <w:p w:rsidR="00891EB4" w:rsidRPr="00E418CD" w:rsidRDefault="00891EB4" w:rsidP="005E42A3">
            <w:pPr>
              <w:pStyle w:val="StandaardSV"/>
              <w:rPr>
                <w:szCs w:val="22"/>
              </w:rPr>
            </w:pPr>
            <w:r w:rsidRPr="00E418CD">
              <w:rPr>
                <w:szCs w:val="22"/>
              </w:rPr>
              <w:t>320</w:t>
            </w:r>
          </w:p>
        </w:tc>
        <w:tc>
          <w:tcPr>
            <w:tcW w:w="1090" w:type="dxa"/>
            <w:vAlign w:val="bottom"/>
          </w:tcPr>
          <w:p w:rsidR="00891EB4" w:rsidRPr="00E418CD" w:rsidRDefault="00891EB4" w:rsidP="005E42A3">
            <w:pPr>
              <w:pStyle w:val="StandaardSV"/>
              <w:rPr>
                <w:szCs w:val="22"/>
              </w:rPr>
            </w:pPr>
            <w:r w:rsidRPr="00E418CD">
              <w:rPr>
                <w:szCs w:val="22"/>
              </w:rPr>
              <w:t>25.233</w:t>
            </w:r>
          </w:p>
        </w:tc>
        <w:tc>
          <w:tcPr>
            <w:tcW w:w="1052" w:type="dxa"/>
            <w:vAlign w:val="bottom"/>
          </w:tcPr>
          <w:p w:rsidR="00891EB4" w:rsidRPr="00E418CD" w:rsidRDefault="00891EB4" w:rsidP="005E42A3">
            <w:pPr>
              <w:pStyle w:val="StandaardSV"/>
              <w:rPr>
                <w:szCs w:val="22"/>
              </w:rPr>
            </w:pPr>
            <w:r w:rsidRPr="00E418CD">
              <w:rPr>
                <w:szCs w:val="22"/>
              </w:rPr>
              <w:t>12.026</w:t>
            </w:r>
          </w:p>
        </w:tc>
        <w:tc>
          <w:tcPr>
            <w:tcW w:w="1089" w:type="dxa"/>
            <w:vAlign w:val="bottom"/>
          </w:tcPr>
          <w:p w:rsidR="00891EB4" w:rsidRPr="00E418CD" w:rsidRDefault="00891EB4" w:rsidP="005E42A3">
            <w:pPr>
              <w:pStyle w:val="StandaardSV"/>
              <w:rPr>
                <w:szCs w:val="22"/>
              </w:rPr>
            </w:pPr>
            <w:r w:rsidRPr="00E418CD">
              <w:rPr>
                <w:szCs w:val="22"/>
              </w:rPr>
              <w:t>3.124</w:t>
            </w:r>
          </w:p>
        </w:tc>
        <w:tc>
          <w:tcPr>
            <w:tcW w:w="1052" w:type="dxa"/>
            <w:vAlign w:val="bottom"/>
          </w:tcPr>
          <w:p w:rsidR="00891EB4" w:rsidRPr="00E418CD" w:rsidRDefault="00891EB4" w:rsidP="005E42A3">
            <w:pPr>
              <w:pStyle w:val="StandaardSV"/>
              <w:rPr>
                <w:szCs w:val="22"/>
              </w:rPr>
            </w:pPr>
            <w:r w:rsidRPr="00E418CD">
              <w:rPr>
                <w:szCs w:val="22"/>
              </w:rPr>
              <w:t>6.390</w:t>
            </w:r>
          </w:p>
        </w:tc>
        <w:tc>
          <w:tcPr>
            <w:tcW w:w="1089" w:type="dxa"/>
            <w:vAlign w:val="bottom"/>
          </w:tcPr>
          <w:p w:rsidR="00891EB4" w:rsidRPr="00E418CD" w:rsidRDefault="00891EB4" w:rsidP="005E42A3">
            <w:pPr>
              <w:pStyle w:val="StandaardSV"/>
              <w:rPr>
                <w:szCs w:val="22"/>
              </w:rPr>
            </w:pPr>
            <w:r w:rsidRPr="00E418CD">
              <w:rPr>
                <w:szCs w:val="22"/>
              </w:rPr>
              <w:t>31.825</w:t>
            </w:r>
          </w:p>
        </w:tc>
        <w:tc>
          <w:tcPr>
            <w:tcW w:w="1052" w:type="dxa"/>
            <w:vAlign w:val="bottom"/>
          </w:tcPr>
          <w:p w:rsidR="00891EB4" w:rsidRPr="00E418CD" w:rsidRDefault="00891EB4" w:rsidP="005E42A3">
            <w:pPr>
              <w:pStyle w:val="StandaardSV"/>
              <w:rPr>
                <w:szCs w:val="22"/>
              </w:rPr>
            </w:pPr>
            <w:r w:rsidRPr="00E418CD">
              <w:rPr>
                <w:szCs w:val="22"/>
              </w:rPr>
              <w:t>18.736</w:t>
            </w:r>
          </w:p>
        </w:tc>
      </w:tr>
      <w:tr w:rsidR="00891EB4" w:rsidRPr="005E42A3" w:rsidTr="00E418CD">
        <w:tc>
          <w:tcPr>
            <w:tcW w:w="883" w:type="dxa"/>
          </w:tcPr>
          <w:p w:rsidR="00891EB4" w:rsidRPr="00E418CD" w:rsidRDefault="00891EB4" w:rsidP="005E42A3">
            <w:pPr>
              <w:pStyle w:val="StandaardSV"/>
              <w:rPr>
                <w:szCs w:val="22"/>
              </w:rPr>
            </w:pPr>
            <w:r w:rsidRPr="00E418CD">
              <w:rPr>
                <w:szCs w:val="22"/>
              </w:rPr>
              <w:t>Tot</w:t>
            </w:r>
          </w:p>
        </w:tc>
        <w:tc>
          <w:tcPr>
            <w:tcW w:w="1090" w:type="dxa"/>
            <w:vAlign w:val="bottom"/>
          </w:tcPr>
          <w:p w:rsidR="00891EB4" w:rsidRPr="00E418CD" w:rsidRDefault="00891EB4" w:rsidP="005E42A3">
            <w:pPr>
              <w:pStyle w:val="StandaardSV"/>
              <w:rPr>
                <w:szCs w:val="22"/>
              </w:rPr>
            </w:pPr>
            <w:r w:rsidRPr="00E418CD">
              <w:rPr>
                <w:szCs w:val="22"/>
              </w:rPr>
              <w:fldChar w:fldCharType="begin"/>
            </w:r>
            <w:r w:rsidRPr="00E418CD">
              <w:rPr>
                <w:szCs w:val="22"/>
              </w:rPr>
              <w:instrText xml:space="preserve"> =SUM(ABOVE) </w:instrText>
            </w:r>
            <w:r w:rsidRPr="00E418CD">
              <w:rPr>
                <w:szCs w:val="22"/>
              </w:rPr>
              <w:fldChar w:fldCharType="separate"/>
            </w:r>
            <w:r w:rsidRPr="00E418CD">
              <w:rPr>
                <w:szCs w:val="22"/>
              </w:rPr>
              <w:t>40.903</w:t>
            </w:r>
            <w:r w:rsidRPr="00E418CD">
              <w:rPr>
                <w:szCs w:val="22"/>
              </w:rPr>
              <w:fldChar w:fldCharType="end"/>
            </w:r>
          </w:p>
        </w:tc>
        <w:tc>
          <w:tcPr>
            <w:tcW w:w="1053" w:type="dxa"/>
            <w:vAlign w:val="bottom"/>
          </w:tcPr>
          <w:p w:rsidR="00891EB4" w:rsidRPr="00E418CD" w:rsidRDefault="00891EB4" w:rsidP="005E42A3">
            <w:pPr>
              <w:pStyle w:val="StandaardSV"/>
              <w:rPr>
                <w:szCs w:val="22"/>
              </w:rPr>
            </w:pPr>
            <w:r w:rsidRPr="00E418CD">
              <w:rPr>
                <w:szCs w:val="22"/>
              </w:rPr>
              <w:fldChar w:fldCharType="begin"/>
            </w:r>
            <w:r w:rsidRPr="00E418CD">
              <w:rPr>
                <w:szCs w:val="22"/>
              </w:rPr>
              <w:instrText xml:space="preserve"> =SUM(ABOVE) </w:instrText>
            </w:r>
            <w:r w:rsidRPr="00E418CD">
              <w:rPr>
                <w:szCs w:val="22"/>
              </w:rPr>
              <w:fldChar w:fldCharType="separate"/>
            </w:r>
            <w:r w:rsidRPr="00E418CD">
              <w:rPr>
                <w:szCs w:val="22"/>
              </w:rPr>
              <w:t>3.463</w:t>
            </w:r>
            <w:r w:rsidRPr="00E418CD">
              <w:rPr>
                <w:szCs w:val="22"/>
              </w:rPr>
              <w:fldChar w:fldCharType="end"/>
            </w:r>
          </w:p>
        </w:tc>
        <w:tc>
          <w:tcPr>
            <w:tcW w:w="1090" w:type="dxa"/>
            <w:vAlign w:val="bottom"/>
          </w:tcPr>
          <w:p w:rsidR="00891EB4" w:rsidRPr="00E418CD" w:rsidRDefault="00891EB4" w:rsidP="005E42A3">
            <w:pPr>
              <w:pStyle w:val="StandaardSV"/>
              <w:rPr>
                <w:szCs w:val="22"/>
              </w:rPr>
            </w:pPr>
            <w:r w:rsidRPr="00E418CD">
              <w:rPr>
                <w:szCs w:val="22"/>
              </w:rPr>
              <w:fldChar w:fldCharType="begin"/>
            </w:r>
            <w:r w:rsidRPr="00E418CD">
              <w:rPr>
                <w:szCs w:val="22"/>
              </w:rPr>
              <w:instrText xml:space="preserve"> =SUM(ABOVE) </w:instrText>
            </w:r>
            <w:r w:rsidRPr="00E418CD">
              <w:rPr>
                <w:szCs w:val="22"/>
              </w:rPr>
              <w:fldChar w:fldCharType="separate"/>
            </w:r>
            <w:r w:rsidRPr="00E418CD">
              <w:rPr>
                <w:szCs w:val="22"/>
              </w:rPr>
              <w:t>366.188</w:t>
            </w:r>
            <w:r w:rsidRPr="00E418CD">
              <w:rPr>
                <w:szCs w:val="22"/>
              </w:rPr>
              <w:fldChar w:fldCharType="end"/>
            </w:r>
          </w:p>
        </w:tc>
        <w:tc>
          <w:tcPr>
            <w:tcW w:w="1052" w:type="dxa"/>
            <w:vAlign w:val="bottom"/>
          </w:tcPr>
          <w:p w:rsidR="00891EB4" w:rsidRPr="00E418CD" w:rsidRDefault="00891EB4" w:rsidP="005E42A3">
            <w:pPr>
              <w:pStyle w:val="StandaardSV"/>
              <w:rPr>
                <w:szCs w:val="22"/>
              </w:rPr>
            </w:pPr>
            <w:r w:rsidRPr="00E418CD">
              <w:rPr>
                <w:szCs w:val="22"/>
              </w:rPr>
              <w:fldChar w:fldCharType="begin"/>
            </w:r>
            <w:r w:rsidRPr="00E418CD">
              <w:rPr>
                <w:szCs w:val="22"/>
              </w:rPr>
              <w:instrText xml:space="preserve"> =SUM(ABOVE) </w:instrText>
            </w:r>
            <w:r w:rsidRPr="00E418CD">
              <w:rPr>
                <w:szCs w:val="22"/>
              </w:rPr>
              <w:fldChar w:fldCharType="separate"/>
            </w:r>
            <w:r w:rsidRPr="00E418CD">
              <w:rPr>
                <w:szCs w:val="22"/>
              </w:rPr>
              <w:t>131.624</w:t>
            </w:r>
            <w:r w:rsidRPr="00E418CD">
              <w:rPr>
                <w:szCs w:val="22"/>
              </w:rPr>
              <w:fldChar w:fldCharType="end"/>
            </w:r>
          </w:p>
        </w:tc>
        <w:tc>
          <w:tcPr>
            <w:tcW w:w="1089" w:type="dxa"/>
            <w:vAlign w:val="bottom"/>
          </w:tcPr>
          <w:p w:rsidR="00891EB4" w:rsidRPr="00E418CD" w:rsidRDefault="00891EB4" w:rsidP="005E42A3">
            <w:pPr>
              <w:pStyle w:val="StandaardSV"/>
              <w:rPr>
                <w:szCs w:val="22"/>
              </w:rPr>
            </w:pPr>
            <w:r w:rsidRPr="00E418CD">
              <w:rPr>
                <w:szCs w:val="22"/>
              </w:rPr>
              <w:fldChar w:fldCharType="begin"/>
            </w:r>
            <w:r w:rsidRPr="00E418CD">
              <w:rPr>
                <w:szCs w:val="22"/>
              </w:rPr>
              <w:instrText xml:space="preserve"> =SUM(ABOVE) </w:instrText>
            </w:r>
            <w:r w:rsidRPr="00E418CD">
              <w:rPr>
                <w:szCs w:val="22"/>
              </w:rPr>
              <w:fldChar w:fldCharType="separate"/>
            </w:r>
            <w:r w:rsidRPr="00E418CD">
              <w:rPr>
                <w:szCs w:val="22"/>
              </w:rPr>
              <w:t>33.802</w:t>
            </w:r>
            <w:r w:rsidRPr="00E418CD">
              <w:rPr>
                <w:szCs w:val="22"/>
              </w:rPr>
              <w:fldChar w:fldCharType="end"/>
            </w:r>
          </w:p>
        </w:tc>
        <w:tc>
          <w:tcPr>
            <w:tcW w:w="1052" w:type="dxa"/>
            <w:vAlign w:val="bottom"/>
          </w:tcPr>
          <w:p w:rsidR="00891EB4" w:rsidRPr="00E418CD" w:rsidRDefault="00891EB4" w:rsidP="005E42A3">
            <w:pPr>
              <w:pStyle w:val="StandaardSV"/>
              <w:rPr>
                <w:szCs w:val="22"/>
              </w:rPr>
            </w:pPr>
            <w:r w:rsidRPr="00E418CD">
              <w:rPr>
                <w:szCs w:val="22"/>
              </w:rPr>
              <w:fldChar w:fldCharType="begin"/>
            </w:r>
            <w:r w:rsidRPr="00E418CD">
              <w:rPr>
                <w:szCs w:val="22"/>
              </w:rPr>
              <w:instrText xml:space="preserve"> =SUM(ABOVE) </w:instrText>
            </w:r>
            <w:r w:rsidRPr="00E418CD">
              <w:rPr>
                <w:szCs w:val="22"/>
              </w:rPr>
              <w:fldChar w:fldCharType="separate"/>
            </w:r>
            <w:r w:rsidRPr="00E418CD">
              <w:rPr>
                <w:szCs w:val="22"/>
              </w:rPr>
              <w:t>22.787</w:t>
            </w:r>
            <w:r w:rsidRPr="00E418CD">
              <w:rPr>
                <w:szCs w:val="22"/>
              </w:rPr>
              <w:fldChar w:fldCharType="end"/>
            </w:r>
          </w:p>
        </w:tc>
        <w:tc>
          <w:tcPr>
            <w:tcW w:w="1089" w:type="dxa"/>
            <w:vAlign w:val="bottom"/>
          </w:tcPr>
          <w:p w:rsidR="00891EB4" w:rsidRPr="00E418CD" w:rsidRDefault="00891EB4" w:rsidP="005E42A3">
            <w:pPr>
              <w:pStyle w:val="StandaardSV"/>
              <w:rPr>
                <w:szCs w:val="22"/>
              </w:rPr>
            </w:pPr>
            <w:r w:rsidRPr="00E418CD">
              <w:rPr>
                <w:szCs w:val="22"/>
              </w:rPr>
              <w:fldChar w:fldCharType="begin"/>
            </w:r>
            <w:r w:rsidRPr="00E418CD">
              <w:rPr>
                <w:szCs w:val="22"/>
              </w:rPr>
              <w:instrText xml:space="preserve"> =SUM(ABOVE) </w:instrText>
            </w:r>
            <w:r w:rsidRPr="00E418CD">
              <w:rPr>
                <w:szCs w:val="22"/>
              </w:rPr>
              <w:fldChar w:fldCharType="separate"/>
            </w:r>
            <w:r w:rsidRPr="00E418CD">
              <w:rPr>
                <w:szCs w:val="22"/>
              </w:rPr>
              <w:t>440.892</w:t>
            </w:r>
            <w:r w:rsidRPr="00E418CD">
              <w:rPr>
                <w:szCs w:val="22"/>
              </w:rPr>
              <w:fldChar w:fldCharType="end"/>
            </w:r>
          </w:p>
        </w:tc>
        <w:tc>
          <w:tcPr>
            <w:tcW w:w="1052" w:type="dxa"/>
            <w:vAlign w:val="bottom"/>
          </w:tcPr>
          <w:p w:rsidR="00891EB4" w:rsidRPr="00E418CD" w:rsidRDefault="00891EB4" w:rsidP="005E42A3">
            <w:pPr>
              <w:pStyle w:val="StandaardSV"/>
              <w:rPr>
                <w:szCs w:val="22"/>
              </w:rPr>
            </w:pPr>
            <w:r w:rsidRPr="00E418CD">
              <w:rPr>
                <w:szCs w:val="22"/>
              </w:rPr>
              <w:fldChar w:fldCharType="begin"/>
            </w:r>
            <w:r w:rsidRPr="00E418CD">
              <w:rPr>
                <w:szCs w:val="22"/>
              </w:rPr>
              <w:instrText xml:space="preserve"> =SUM(ABOVE) </w:instrText>
            </w:r>
            <w:r w:rsidRPr="00E418CD">
              <w:rPr>
                <w:szCs w:val="22"/>
              </w:rPr>
              <w:fldChar w:fldCharType="separate"/>
            </w:r>
            <w:r w:rsidRPr="00E418CD">
              <w:rPr>
                <w:szCs w:val="22"/>
              </w:rPr>
              <w:t>157.873</w:t>
            </w:r>
            <w:r w:rsidRPr="00E418CD">
              <w:rPr>
                <w:szCs w:val="22"/>
              </w:rPr>
              <w:fldChar w:fldCharType="end"/>
            </w:r>
          </w:p>
        </w:tc>
      </w:tr>
    </w:tbl>
    <w:p w:rsidR="00891EB4" w:rsidRPr="005E42A3" w:rsidRDefault="00891EB4" w:rsidP="005E42A3">
      <w:pPr>
        <w:pStyle w:val="StandaardSV"/>
        <w:ind w:left="360"/>
        <w:rPr>
          <w:szCs w:val="22"/>
          <w:lang w:val="nl-BE"/>
        </w:rPr>
      </w:pPr>
      <w:r w:rsidRPr="005E42A3">
        <w:rPr>
          <w:szCs w:val="22"/>
        </w:rPr>
        <w:br/>
        <w:t>Op basis van bovenstaande cijfers en ervan uitgaand dat de subsidiabele fractie zoals de jongste j</w:t>
      </w:r>
      <w:r w:rsidRPr="005E42A3">
        <w:rPr>
          <w:szCs w:val="22"/>
        </w:rPr>
        <w:t>a</w:t>
      </w:r>
      <w:r w:rsidRPr="005E42A3">
        <w:rPr>
          <w:szCs w:val="22"/>
        </w:rPr>
        <w:t>ren 75% bedraagt (ingevolge niet subsidiabel, voorwaarden niet vervuld, gebruik van normbedr</w:t>
      </w:r>
      <w:r w:rsidRPr="005E42A3">
        <w:rPr>
          <w:szCs w:val="22"/>
        </w:rPr>
        <w:t>a</w:t>
      </w:r>
      <w:r w:rsidRPr="005E42A3">
        <w:rPr>
          <w:szCs w:val="22"/>
        </w:rPr>
        <w:t>gen, minimum- en maximumbedragen) en de gemiddelde steunintensiteit 20% (2009), wordt bij 30% medefinanciering door de EU, binnen de normale budgettaire enveloppe gebleven. De linea</w:t>
      </w:r>
      <w:r w:rsidRPr="005E42A3">
        <w:rPr>
          <w:szCs w:val="22"/>
        </w:rPr>
        <w:t>i</w:t>
      </w:r>
      <w:r w:rsidRPr="005E42A3">
        <w:rPr>
          <w:szCs w:val="22"/>
        </w:rPr>
        <w:t>re vermindering van de steunintensiteit met 2% en de vermindering van de steun voor zonnece</w:t>
      </w:r>
      <w:r w:rsidRPr="005E42A3">
        <w:rPr>
          <w:szCs w:val="22"/>
        </w:rPr>
        <w:t>l</w:t>
      </w:r>
      <w:r w:rsidRPr="005E42A3">
        <w:rPr>
          <w:szCs w:val="22"/>
        </w:rPr>
        <w:t>len, zal pas reëel effect hebben op aanvragen vanaf 2011.</w:t>
      </w:r>
    </w:p>
    <w:sectPr w:rsidR="00891EB4" w:rsidRPr="005E42A3" w:rsidSect="004103E8">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EB4" w:rsidRDefault="00891EB4">
      <w:r>
        <w:separator/>
      </w:r>
    </w:p>
  </w:endnote>
  <w:endnote w:type="continuationSeparator" w:id="1">
    <w:p w:rsidR="00891EB4" w:rsidRDefault="00891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EB4" w:rsidRDefault="00891EB4">
      <w:r>
        <w:separator/>
      </w:r>
    </w:p>
  </w:footnote>
  <w:footnote w:type="continuationSeparator" w:id="1">
    <w:p w:rsidR="00891EB4" w:rsidRDefault="00891E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8CF"/>
    <w:multiLevelType w:val="hybridMultilevel"/>
    <w:tmpl w:val="70B6963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2064956"/>
    <w:multiLevelType w:val="multilevel"/>
    <w:tmpl w:val="9F32DB8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B227A0"/>
    <w:multiLevelType w:val="hybridMultilevel"/>
    <w:tmpl w:val="C2FAA96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nsid w:val="0D330F3A"/>
    <w:multiLevelType w:val="hybridMultilevel"/>
    <w:tmpl w:val="03FEA73C"/>
    <w:lvl w:ilvl="0" w:tplc="0813000F">
      <w:start w:val="1"/>
      <w:numFmt w:val="decimal"/>
      <w:lvlText w:val="%1."/>
      <w:lvlJc w:val="left"/>
      <w:pPr>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11CB5775"/>
    <w:multiLevelType w:val="multilevel"/>
    <w:tmpl w:val="0C848890"/>
    <w:lvl w:ilvl="0">
      <w:start w:val="1"/>
      <w:numFmt w:val="decimal"/>
      <w:pStyle w:val="Heading1"/>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13A1346F"/>
    <w:multiLevelType w:val="hybridMultilevel"/>
    <w:tmpl w:val="98B8458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198A043D"/>
    <w:multiLevelType w:val="hybridMultilevel"/>
    <w:tmpl w:val="7EF6293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9">
    <w:nsid w:val="1E6A7146"/>
    <w:multiLevelType w:val="hybridMultilevel"/>
    <w:tmpl w:val="318C0D8E"/>
    <w:lvl w:ilvl="0" w:tplc="2526915E">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4B20029"/>
    <w:multiLevelType w:val="hybridMultilevel"/>
    <w:tmpl w:val="B35A17B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nsid w:val="25C8313C"/>
    <w:multiLevelType w:val="hybridMultilevel"/>
    <w:tmpl w:val="4CD290EE"/>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E0D65A5"/>
    <w:multiLevelType w:val="hybridMultilevel"/>
    <w:tmpl w:val="A446C45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2F1F0393"/>
    <w:multiLevelType w:val="hybridMultilevel"/>
    <w:tmpl w:val="B3E0199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34990CF1"/>
    <w:multiLevelType w:val="hybridMultilevel"/>
    <w:tmpl w:val="18CE11D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35F95A02"/>
    <w:multiLevelType w:val="hybridMultilevel"/>
    <w:tmpl w:val="41B8BF4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6">
    <w:nsid w:val="3A465110"/>
    <w:multiLevelType w:val="hybridMultilevel"/>
    <w:tmpl w:val="FDB80C3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7">
    <w:nsid w:val="3BF61139"/>
    <w:multiLevelType w:val="hybridMultilevel"/>
    <w:tmpl w:val="987C3D46"/>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3BFF6CA2"/>
    <w:multiLevelType w:val="hybridMultilevel"/>
    <w:tmpl w:val="74880E0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9">
    <w:nsid w:val="3D885D94"/>
    <w:multiLevelType w:val="hybridMultilevel"/>
    <w:tmpl w:val="5AD6447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0">
    <w:nsid w:val="3E2F4F91"/>
    <w:multiLevelType w:val="hybridMultilevel"/>
    <w:tmpl w:val="541C2A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0A54038"/>
    <w:multiLevelType w:val="hybridMultilevel"/>
    <w:tmpl w:val="552606AC"/>
    <w:lvl w:ilvl="0" w:tplc="C206EF92">
      <w:start w:val="4"/>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482D3C3B"/>
    <w:multiLevelType w:val="hybridMultilevel"/>
    <w:tmpl w:val="92D0AA96"/>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23">
    <w:nsid w:val="5446446E"/>
    <w:multiLevelType w:val="hybridMultilevel"/>
    <w:tmpl w:val="AE30FA8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4">
    <w:nsid w:val="56C33001"/>
    <w:multiLevelType w:val="hybridMultilevel"/>
    <w:tmpl w:val="32B496F6"/>
    <w:lvl w:ilvl="0" w:tplc="04130017">
      <w:start w:val="1"/>
      <w:numFmt w:val="low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nsid w:val="5E8D06DC"/>
    <w:multiLevelType w:val="hybridMultilevel"/>
    <w:tmpl w:val="8DDCA43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6">
    <w:nsid w:val="5E967DE3"/>
    <w:multiLevelType w:val="hybridMultilevel"/>
    <w:tmpl w:val="4670B6DA"/>
    <w:lvl w:ilvl="0" w:tplc="EBA6F77E">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nsid w:val="61360FEC"/>
    <w:multiLevelType w:val="hybridMultilevel"/>
    <w:tmpl w:val="E4506EE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8">
    <w:nsid w:val="657A483F"/>
    <w:multiLevelType w:val="hybridMultilevel"/>
    <w:tmpl w:val="4A5AF12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9">
    <w:nsid w:val="6C345D3C"/>
    <w:multiLevelType w:val="hybridMultilevel"/>
    <w:tmpl w:val="0D362CF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0">
    <w:nsid w:val="6C3F0049"/>
    <w:multiLevelType w:val="hybridMultilevel"/>
    <w:tmpl w:val="9508F9D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1">
    <w:nsid w:val="6CE9033D"/>
    <w:multiLevelType w:val="hybridMultilevel"/>
    <w:tmpl w:val="F7DA1E0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0"/>
  </w:num>
  <w:num w:numId="4">
    <w:abstractNumId w:val="25"/>
  </w:num>
  <w:num w:numId="5">
    <w:abstractNumId w:val="21"/>
  </w:num>
  <w:num w:numId="6">
    <w:abstractNumId w:val="4"/>
  </w:num>
  <w:num w:numId="7">
    <w:abstractNumId w:val="30"/>
  </w:num>
  <w:num w:numId="8">
    <w:abstractNumId w:val="19"/>
  </w:num>
  <w:num w:numId="9">
    <w:abstractNumId w:val="16"/>
  </w:num>
  <w:num w:numId="10">
    <w:abstractNumId w:val="3"/>
  </w:num>
  <w:num w:numId="11">
    <w:abstractNumId w:val="15"/>
  </w:num>
  <w:num w:numId="12">
    <w:abstractNumId w:val="8"/>
  </w:num>
  <w:num w:numId="13">
    <w:abstractNumId w:val="12"/>
  </w:num>
  <w:num w:numId="14">
    <w:abstractNumId w:val="22"/>
  </w:num>
  <w:num w:numId="15">
    <w:abstractNumId w:val="13"/>
  </w:num>
  <w:num w:numId="16">
    <w:abstractNumId w:val="32"/>
  </w:num>
  <w:num w:numId="17">
    <w:abstractNumId w:val="18"/>
  </w:num>
  <w:num w:numId="18">
    <w:abstractNumId w:val="11"/>
  </w:num>
  <w:num w:numId="19">
    <w:abstractNumId w:val="23"/>
  </w:num>
  <w:num w:numId="20">
    <w:abstractNumId w:val="17"/>
  </w:num>
  <w:num w:numId="21">
    <w:abstractNumId w:val="27"/>
  </w:num>
  <w:num w:numId="22">
    <w:abstractNumId w:val="31"/>
  </w:num>
  <w:num w:numId="23">
    <w:abstractNumId w:val="2"/>
  </w:num>
  <w:num w:numId="24">
    <w:abstractNumId w:val="29"/>
  </w:num>
  <w:num w:numId="25">
    <w:abstractNumId w:val="10"/>
  </w:num>
  <w:num w:numId="26">
    <w:abstractNumId w:val="9"/>
  </w:num>
  <w:num w:numId="27">
    <w:abstractNumId w:val="6"/>
  </w:num>
  <w:num w:numId="28">
    <w:abstractNumId w:val="26"/>
  </w:num>
  <w:num w:numId="29">
    <w:abstractNumId w:val="28"/>
  </w:num>
  <w:num w:numId="30">
    <w:abstractNumId w:val="7"/>
  </w:num>
  <w:num w:numId="31">
    <w:abstractNumId w:val="14"/>
  </w:num>
  <w:num w:numId="32">
    <w:abstractNumId w:val="24"/>
  </w:num>
  <w:num w:numId="33">
    <w:abstractNumId w:val="1"/>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544"/>
    <w:rsid w:val="00010B84"/>
    <w:rsid w:val="0007112C"/>
    <w:rsid w:val="000A698A"/>
    <w:rsid w:val="000B3A1C"/>
    <w:rsid w:val="00102476"/>
    <w:rsid w:val="001058E4"/>
    <w:rsid w:val="00116832"/>
    <w:rsid w:val="0014535F"/>
    <w:rsid w:val="00145A27"/>
    <w:rsid w:val="00152ECD"/>
    <w:rsid w:val="001561C9"/>
    <w:rsid w:val="0016148B"/>
    <w:rsid w:val="001755B2"/>
    <w:rsid w:val="001C0B52"/>
    <w:rsid w:val="001D50C6"/>
    <w:rsid w:val="001F713E"/>
    <w:rsid w:val="00202FA9"/>
    <w:rsid w:val="002142FE"/>
    <w:rsid w:val="00233C43"/>
    <w:rsid w:val="002406A1"/>
    <w:rsid w:val="002B65A3"/>
    <w:rsid w:val="002E0E5F"/>
    <w:rsid w:val="002F0D8D"/>
    <w:rsid w:val="002F1544"/>
    <w:rsid w:val="00321F10"/>
    <w:rsid w:val="0032261D"/>
    <w:rsid w:val="00340EC1"/>
    <w:rsid w:val="0034616F"/>
    <w:rsid w:val="003750D5"/>
    <w:rsid w:val="00384131"/>
    <w:rsid w:val="003B6A5C"/>
    <w:rsid w:val="004103E8"/>
    <w:rsid w:val="00423F29"/>
    <w:rsid w:val="0045135B"/>
    <w:rsid w:val="0046761C"/>
    <w:rsid w:val="0047032B"/>
    <w:rsid w:val="00472C97"/>
    <w:rsid w:val="004824E6"/>
    <w:rsid w:val="004A0A0F"/>
    <w:rsid w:val="004A56C3"/>
    <w:rsid w:val="004A5AEC"/>
    <w:rsid w:val="004D21E2"/>
    <w:rsid w:val="004E2E3D"/>
    <w:rsid w:val="004E4DE3"/>
    <w:rsid w:val="004F3708"/>
    <w:rsid w:val="00512E83"/>
    <w:rsid w:val="00540203"/>
    <w:rsid w:val="005B3194"/>
    <w:rsid w:val="005E42A3"/>
    <w:rsid w:val="00617A02"/>
    <w:rsid w:val="00617B5B"/>
    <w:rsid w:val="00640086"/>
    <w:rsid w:val="006972B0"/>
    <w:rsid w:val="006A04CF"/>
    <w:rsid w:val="006A5A3E"/>
    <w:rsid w:val="006F270D"/>
    <w:rsid w:val="006F445E"/>
    <w:rsid w:val="007263EA"/>
    <w:rsid w:val="007408E7"/>
    <w:rsid w:val="007419FB"/>
    <w:rsid w:val="00766C70"/>
    <w:rsid w:val="007B030D"/>
    <w:rsid w:val="00842183"/>
    <w:rsid w:val="00863EE2"/>
    <w:rsid w:val="00891EB4"/>
    <w:rsid w:val="008A6DA3"/>
    <w:rsid w:val="008E3430"/>
    <w:rsid w:val="009121AC"/>
    <w:rsid w:val="00972EF3"/>
    <w:rsid w:val="00995A04"/>
    <w:rsid w:val="00995F79"/>
    <w:rsid w:val="009A6335"/>
    <w:rsid w:val="009B5F8C"/>
    <w:rsid w:val="00A10319"/>
    <w:rsid w:val="00A633D6"/>
    <w:rsid w:val="00A8473D"/>
    <w:rsid w:val="00AC7E12"/>
    <w:rsid w:val="00AD329E"/>
    <w:rsid w:val="00AD549A"/>
    <w:rsid w:val="00B1188E"/>
    <w:rsid w:val="00B40033"/>
    <w:rsid w:val="00BB2A82"/>
    <w:rsid w:val="00BB38B7"/>
    <w:rsid w:val="00BD5964"/>
    <w:rsid w:val="00BD685A"/>
    <w:rsid w:val="00BE315B"/>
    <w:rsid w:val="00C625C9"/>
    <w:rsid w:val="00CE2DB2"/>
    <w:rsid w:val="00D5568D"/>
    <w:rsid w:val="00D82BCF"/>
    <w:rsid w:val="00DA4D7C"/>
    <w:rsid w:val="00DE405B"/>
    <w:rsid w:val="00E01962"/>
    <w:rsid w:val="00E25F16"/>
    <w:rsid w:val="00E418CD"/>
    <w:rsid w:val="00E839E8"/>
    <w:rsid w:val="00EB0A62"/>
    <w:rsid w:val="00F60BBB"/>
    <w:rsid w:val="00F6148E"/>
    <w:rsid w:val="00F934C1"/>
    <w:rsid w:val="00FD176E"/>
    <w:rsid w:val="00FD618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E8"/>
    <w:rPr>
      <w:sz w:val="24"/>
      <w:szCs w:val="20"/>
      <w:lang w:val="nl-NL" w:eastAsia="nl-NL"/>
    </w:rPr>
  </w:style>
  <w:style w:type="paragraph" w:styleId="Heading1">
    <w:name w:val="heading 1"/>
    <w:basedOn w:val="Normal"/>
    <w:next w:val="Normal"/>
    <w:link w:val="Heading1Char"/>
    <w:uiPriority w:val="99"/>
    <w:qFormat/>
    <w:rsid w:val="004103E8"/>
    <w:pPr>
      <w:keepNext/>
      <w:numPr>
        <w:numId w:val="2"/>
      </w:numPr>
      <w:jc w:val="both"/>
      <w:outlineLvl w:val="0"/>
    </w:pPr>
    <w:rPr>
      <w:b/>
      <w:caps/>
    </w:rPr>
  </w:style>
  <w:style w:type="paragraph" w:styleId="Heading2">
    <w:name w:val="heading 2"/>
    <w:basedOn w:val="Normal"/>
    <w:next w:val="Normal"/>
    <w:link w:val="Heading2Char"/>
    <w:uiPriority w:val="99"/>
    <w:qFormat/>
    <w:rsid w:val="004103E8"/>
    <w:pPr>
      <w:keepNext/>
      <w:tabs>
        <w:tab w:val="num" w:pos="567"/>
      </w:tabs>
      <w:ind w:left="567" w:hanging="567"/>
      <w:outlineLvl w:val="1"/>
    </w:pPr>
    <w:rPr>
      <w:b/>
    </w:rPr>
  </w:style>
  <w:style w:type="paragraph" w:styleId="Heading3">
    <w:name w:val="heading 3"/>
    <w:basedOn w:val="Normal"/>
    <w:next w:val="Normal"/>
    <w:link w:val="Heading3Char"/>
    <w:uiPriority w:val="99"/>
    <w:qFormat/>
    <w:rsid w:val="004103E8"/>
    <w:pPr>
      <w:keepNext/>
      <w:tabs>
        <w:tab w:val="num" w:pos="567"/>
      </w:tabs>
      <w:ind w:left="567" w:hanging="567"/>
      <w:outlineLvl w:val="2"/>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068"/>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D12068"/>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D12068"/>
    <w:rPr>
      <w:rFonts w:asciiTheme="majorHAnsi" w:eastAsiaTheme="majorEastAsia" w:hAnsiTheme="majorHAnsi" w:cstheme="majorBidi"/>
      <w:b/>
      <w:bCs/>
      <w:sz w:val="26"/>
      <w:szCs w:val="26"/>
      <w:lang w:val="nl-NL" w:eastAsia="nl-NL"/>
    </w:rPr>
  </w:style>
  <w:style w:type="paragraph" w:styleId="EnvelopeAddress">
    <w:name w:val="envelope address"/>
    <w:basedOn w:val="Normal"/>
    <w:uiPriority w:val="99"/>
    <w:rsid w:val="004103E8"/>
    <w:pPr>
      <w:framePr w:w="7920" w:h="1980" w:hRule="exact" w:hSpace="141" w:wrap="auto" w:hAnchor="page" w:xAlign="center" w:yAlign="bottom"/>
      <w:ind w:left="2880"/>
    </w:pPr>
  </w:style>
  <w:style w:type="paragraph" w:styleId="EnvelopeReturn">
    <w:name w:val="envelope return"/>
    <w:basedOn w:val="Normal"/>
    <w:uiPriority w:val="99"/>
    <w:rsid w:val="004103E8"/>
  </w:style>
  <w:style w:type="paragraph" w:styleId="TOC1">
    <w:name w:val="toc 1"/>
    <w:basedOn w:val="Normal"/>
    <w:next w:val="Normal"/>
    <w:autoRedefine/>
    <w:uiPriority w:val="99"/>
    <w:semiHidden/>
    <w:rsid w:val="004103E8"/>
    <w:pPr>
      <w:tabs>
        <w:tab w:val="right" w:leader="dot" w:pos="9741"/>
      </w:tabs>
      <w:spacing w:before="180" w:after="180"/>
      <w:ind w:left="567" w:hanging="567"/>
    </w:pPr>
    <w:rPr>
      <w:b/>
      <w:caps/>
      <w:noProof/>
    </w:rPr>
  </w:style>
  <w:style w:type="paragraph" w:styleId="TOC2">
    <w:name w:val="toc 2"/>
    <w:basedOn w:val="Normal"/>
    <w:next w:val="Normal"/>
    <w:autoRedefine/>
    <w:uiPriority w:val="99"/>
    <w:semiHidden/>
    <w:rsid w:val="004103E8"/>
    <w:pPr>
      <w:tabs>
        <w:tab w:val="right" w:leader="dot" w:pos="9741"/>
      </w:tabs>
      <w:spacing w:before="80" w:after="80"/>
      <w:ind w:left="1134" w:hanging="567"/>
    </w:pPr>
    <w:rPr>
      <w:noProof/>
    </w:rPr>
  </w:style>
  <w:style w:type="paragraph" w:styleId="TOC3">
    <w:name w:val="toc 3"/>
    <w:basedOn w:val="Normal"/>
    <w:next w:val="Normal"/>
    <w:autoRedefine/>
    <w:uiPriority w:val="99"/>
    <w:semiHidden/>
    <w:rsid w:val="004103E8"/>
    <w:pPr>
      <w:tabs>
        <w:tab w:val="right" w:leader="dot" w:pos="9741"/>
      </w:tabs>
      <w:spacing w:before="40" w:after="40"/>
      <w:ind w:left="1701" w:hanging="567"/>
    </w:pPr>
    <w:rPr>
      <w:i/>
    </w:rPr>
  </w:style>
  <w:style w:type="paragraph" w:styleId="BodyText2">
    <w:name w:val="Body Text 2"/>
    <w:basedOn w:val="Normal"/>
    <w:link w:val="BodyText2Char"/>
    <w:uiPriority w:val="99"/>
    <w:rsid w:val="004103E8"/>
    <w:pPr>
      <w:jc w:val="both"/>
    </w:pPr>
    <w:rPr>
      <w:i/>
      <w:sz w:val="22"/>
    </w:rPr>
  </w:style>
  <w:style w:type="character" w:customStyle="1" w:styleId="BodyText2Char">
    <w:name w:val="Body Text 2 Char"/>
    <w:basedOn w:val="DefaultParagraphFont"/>
    <w:link w:val="BodyText2"/>
    <w:uiPriority w:val="99"/>
    <w:semiHidden/>
    <w:rsid w:val="00D12068"/>
    <w:rPr>
      <w:sz w:val="24"/>
      <w:szCs w:val="20"/>
      <w:lang w:val="nl-NL" w:eastAsia="nl-NL"/>
    </w:rPr>
  </w:style>
  <w:style w:type="character" w:customStyle="1" w:styleId="OpmaakprofielSV">
    <w:name w:val="Opmaakprofiel SV"/>
    <w:basedOn w:val="DefaultParagraphFont"/>
    <w:uiPriority w:val="99"/>
    <w:rsid w:val="002B65A3"/>
    <w:rPr>
      <w:rFonts w:ascii="Arial" w:hAnsi="Arial" w:cs="Times New Roman"/>
      <w:sz w:val="22"/>
    </w:rPr>
  </w:style>
  <w:style w:type="paragraph" w:customStyle="1" w:styleId="SVVlaamsParlement">
    <w:name w:val="SV Vlaams Parlement"/>
    <w:basedOn w:val="Normal"/>
    <w:uiPriority w:val="99"/>
    <w:rsid w:val="004103E8"/>
    <w:pPr>
      <w:jc w:val="both"/>
    </w:pPr>
    <w:rPr>
      <w:b/>
      <w:smallCaps/>
      <w:sz w:val="22"/>
    </w:rPr>
  </w:style>
  <w:style w:type="paragraph" w:customStyle="1" w:styleId="SVTitel">
    <w:name w:val="SV Titel"/>
    <w:basedOn w:val="Normal"/>
    <w:uiPriority w:val="99"/>
    <w:rsid w:val="004103E8"/>
    <w:pPr>
      <w:jc w:val="both"/>
    </w:pPr>
    <w:rPr>
      <w:i/>
      <w:sz w:val="22"/>
    </w:rPr>
  </w:style>
  <w:style w:type="paragraph" w:customStyle="1" w:styleId="StandaardSV">
    <w:name w:val="Standaard SV"/>
    <w:basedOn w:val="Normal"/>
    <w:uiPriority w:val="99"/>
    <w:rsid w:val="004103E8"/>
    <w:pPr>
      <w:jc w:val="both"/>
    </w:pPr>
    <w:rPr>
      <w:sz w:val="22"/>
    </w:rPr>
  </w:style>
  <w:style w:type="paragraph" w:styleId="ListParagraph">
    <w:name w:val="List Paragraph"/>
    <w:basedOn w:val="Normal"/>
    <w:uiPriority w:val="99"/>
    <w:qFormat/>
    <w:rsid w:val="002B65A3"/>
    <w:pPr>
      <w:ind w:left="708"/>
    </w:pPr>
    <w:rPr>
      <w:szCs w:val="24"/>
    </w:rPr>
  </w:style>
  <w:style w:type="paragraph" w:styleId="FootnoteText">
    <w:name w:val="footnote text"/>
    <w:basedOn w:val="Normal"/>
    <w:link w:val="FootnoteTextChar"/>
    <w:uiPriority w:val="99"/>
    <w:semiHidden/>
    <w:rsid w:val="008E3430"/>
    <w:rPr>
      <w:sz w:val="20"/>
    </w:rPr>
  </w:style>
  <w:style w:type="character" w:customStyle="1" w:styleId="FootnoteTextChar">
    <w:name w:val="Footnote Text Char"/>
    <w:basedOn w:val="DefaultParagraphFont"/>
    <w:link w:val="FootnoteText"/>
    <w:uiPriority w:val="99"/>
    <w:semiHidden/>
    <w:rsid w:val="00D12068"/>
    <w:rPr>
      <w:sz w:val="20"/>
      <w:szCs w:val="20"/>
      <w:lang w:val="nl-NL" w:eastAsia="nl-NL"/>
    </w:rPr>
  </w:style>
  <w:style w:type="character" w:styleId="FootnoteReference">
    <w:name w:val="footnote reference"/>
    <w:basedOn w:val="DefaultParagraphFont"/>
    <w:uiPriority w:val="99"/>
    <w:semiHidden/>
    <w:rsid w:val="008E3430"/>
    <w:rPr>
      <w:rFonts w:cs="Times New Roman"/>
      <w:vertAlign w:val="superscript"/>
    </w:rPr>
  </w:style>
  <w:style w:type="paragraph" w:styleId="DocumentMap">
    <w:name w:val="Document Map"/>
    <w:basedOn w:val="Normal"/>
    <w:link w:val="DocumentMapChar"/>
    <w:uiPriority w:val="99"/>
    <w:semiHidden/>
    <w:rsid w:val="004824E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D12068"/>
    <w:rPr>
      <w:sz w:val="0"/>
      <w:szCs w:val="0"/>
      <w:lang w:val="nl-NL" w:eastAsia="nl-NL"/>
    </w:rPr>
  </w:style>
  <w:style w:type="table" w:styleId="TableGrid">
    <w:name w:val="Table Grid"/>
    <w:basedOn w:val="TableNormal"/>
    <w:uiPriority w:val="99"/>
    <w:rsid w:val="00617B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45135B"/>
    <w:rPr>
      <w:rFonts w:ascii="Tahoma" w:hAnsi="Tahoma" w:cs="Tahoma"/>
      <w:sz w:val="16"/>
      <w:szCs w:val="16"/>
    </w:rPr>
  </w:style>
  <w:style w:type="character" w:customStyle="1" w:styleId="BalloonTextChar">
    <w:name w:val="Balloon Text Char"/>
    <w:basedOn w:val="DefaultParagraphFont"/>
    <w:link w:val="BalloonText"/>
    <w:uiPriority w:val="99"/>
    <w:locked/>
    <w:rsid w:val="0045135B"/>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1959753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635</Words>
  <Characters>3495</Characters>
  <Application>Microsoft Office Outlook</Application>
  <DocSecurity>0</DocSecurity>
  <Lines>0</Lines>
  <Paragraphs>0</Paragraphs>
  <ScaleCrop>false</ScaleCrop>
  <Company>Vlaams Parlement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Isabelle Cauwel</dc:creator>
  <cp:keywords/>
  <dc:description/>
  <cp:lastModifiedBy>Nathalie De Keyzer</cp:lastModifiedBy>
  <cp:revision>4</cp:revision>
  <cp:lastPrinted>2011-02-25T13:50:00Z</cp:lastPrinted>
  <dcterms:created xsi:type="dcterms:W3CDTF">2011-02-25T13:50:00Z</dcterms:created>
  <dcterms:modified xsi:type="dcterms:W3CDTF">2011-03-02T09:54:00Z</dcterms:modified>
</cp:coreProperties>
</file>