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0" w:rsidRPr="00345C9B" w:rsidRDefault="001D2B90" w:rsidP="0037600C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 w:rsidRPr="00345C9B">
        <w:rPr>
          <w:rFonts w:ascii="Times New Roman Vet" w:hAnsi="Times New Roman Vet"/>
          <w:b/>
          <w:smallCaps/>
          <w:sz w:val="22"/>
          <w:szCs w:val="22"/>
          <w:lang w:val="nl-BE"/>
        </w:rPr>
        <w:t>jo vandeurzen</w:t>
      </w:r>
      <w:r w:rsidRPr="00345C9B"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1D2B90" w:rsidRPr="00345C9B" w:rsidRDefault="001D2B90" w:rsidP="0037600C">
      <w:pPr>
        <w:jc w:val="both"/>
        <w:rPr>
          <w:smallCaps/>
          <w:sz w:val="22"/>
          <w:szCs w:val="22"/>
          <w:lang w:val="nl-BE"/>
        </w:rPr>
      </w:pPr>
      <w:r w:rsidRPr="00345C9B">
        <w:rPr>
          <w:smallCaps/>
          <w:sz w:val="22"/>
          <w:szCs w:val="22"/>
          <w:lang w:val="nl-BE"/>
        </w:rPr>
        <w:t>vlaams minister van welzijn, volksgezondheid en gezin</w:t>
      </w:r>
    </w:p>
    <w:p w:rsidR="001D2B90" w:rsidRPr="001F1FD2" w:rsidRDefault="001D2B90" w:rsidP="0037600C">
      <w:pPr>
        <w:pStyle w:val="StandaardSV"/>
        <w:pBdr>
          <w:bottom w:val="single" w:sz="4" w:space="1" w:color="auto"/>
        </w:pBdr>
        <w:rPr>
          <w:lang w:val="nl-BE"/>
        </w:rPr>
      </w:pPr>
    </w:p>
    <w:p w:rsidR="001D2B90" w:rsidRDefault="001D2B90" w:rsidP="0037600C">
      <w:pPr>
        <w:jc w:val="both"/>
        <w:rPr>
          <w:sz w:val="22"/>
        </w:rPr>
      </w:pPr>
    </w:p>
    <w:p w:rsidR="001D2B90" w:rsidRPr="00FB472F" w:rsidRDefault="001D2B90" w:rsidP="0037600C">
      <w:pPr>
        <w:jc w:val="both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1D2B90" w:rsidRDefault="001D2B90" w:rsidP="0037600C">
      <w:pPr>
        <w:jc w:val="both"/>
        <w:rPr>
          <w:sz w:val="22"/>
        </w:rPr>
      </w:pPr>
      <w:r>
        <w:rPr>
          <w:sz w:val="22"/>
        </w:rPr>
        <w:t>op vraag nr. 223 van 9 februari 2011</w:t>
      </w:r>
    </w:p>
    <w:p w:rsidR="001D2B90" w:rsidRDefault="001D2B90" w:rsidP="0037600C">
      <w:pPr>
        <w:pStyle w:val="StandaardSV"/>
        <w:rPr>
          <w:b/>
        </w:rPr>
      </w:pPr>
      <w:r>
        <w:t xml:space="preserve">van </w:t>
      </w:r>
      <w:r>
        <w:rPr>
          <w:b/>
          <w:smallCaps/>
        </w:rPr>
        <w:t>els robeyns</w:t>
      </w:r>
    </w:p>
    <w:p w:rsidR="001D2B90" w:rsidRDefault="001D2B90" w:rsidP="0037600C">
      <w:pPr>
        <w:pBdr>
          <w:bottom w:val="single" w:sz="4" w:space="1" w:color="auto"/>
        </w:pBdr>
        <w:jc w:val="both"/>
        <w:rPr>
          <w:sz w:val="22"/>
        </w:rPr>
      </w:pPr>
    </w:p>
    <w:p w:rsidR="001D2B90" w:rsidRDefault="001D2B90" w:rsidP="0037600C">
      <w:pPr>
        <w:pStyle w:val="StandaardSV"/>
      </w:pPr>
    </w:p>
    <w:p w:rsidR="001D2B90" w:rsidRDefault="001D2B90" w:rsidP="0037600C">
      <w:pPr>
        <w:pStyle w:val="StandaardSV"/>
      </w:pPr>
    </w:p>
    <w:p w:rsidR="001D2B90" w:rsidRPr="00B57081" w:rsidRDefault="001D2B90" w:rsidP="00FB472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doorlooptijden betreffen het tijdsverloop tussen de datum van ontvankelijkheid en het verlenen van een principieel akkoord. Ontvankelijkheid houdt in dat de aanvraag voldoet aan de formele, reglementair bepaalde, vereisten.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p w:rsidR="001D2B90" w:rsidRPr="00B57081" w:rsidRDefault="001D2B90" w:rsidP="00FB472F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Voor de alternatieve procedure (het BVR van 1/9/2006 tot regeling van de alternatieve investeringssubsidies) bedra</w:t>
      </w:r>
      <w:r>
        <w:rPr>
          <w:rFonts w:ascii="Times New Roman" w:hAnsi="Times New Roman"/>
        </w:rPr>
        <w:t xml:space="preserve">agt de gemiddelde doorlooptijd </w:t>
      </w:r>
      <w:r w:rsidRPr="00B57081">
        <w:rPr>
          <w:rFonts w:ascii="Times New Roman" w:hAnsi="Times New Roman"/>
        </w:rPr>
        <w:t>273 dagen.</w:t>
      </w:r>
    </w:p>
    <w:p w:rsidR="001D2B90" w:rsidRPr="00B57081" w:rsidRDefault="001D2B90" w:rsidP="00FB472F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Voor de klassieke procedure (het BVR van 8/6/1999 houdende de procedureregels inzake de infrastructuur voor persoonsgebonden aangelegenheden) bedraagt de gemiddelde doorlooptijd 184 dagen.</w:t>
      </w:r>
    </w:p>
    <w:p w:rsidR="001D2B90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p w:rsidR="001D2B90" w:rsidRPr="00B57081" w:rsidRDefault="001D2B90" w:rsidP="00FB472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oor de alternatieve procedure: 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p w:rsidR="001D2B90" w:rsidRPr="00B57081" w:rsidRDefault="001D2B90" w:rsidP="00FB472F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spacing w:line="240" w:lineRule="auto"/>
        <w:ind w:left="900" w:hanging="54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 dossiers uit Antwerpen bedraagt 214 dagen</w:t>
      </w:r>
    </w:p>
    <w:p w:rsidR="001D2B90" w:rsidRPr="00B57081" w:rsidRDefault="001D2B90" w:rsidP="00FB472F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</w:t>
      </w:r>
      <w:r>
        <w:rPr>
          <w:rFonts w:ascii="Times New Roman" w:hAnsi="Times New Roman"/>
        </w:rPr>
        <w:t xml:space="preserve"> dossiers uit Limburg bedraagt </w:t>
      </w:r>
      <w:r w:rsidRPr="00B57081">
        <w:rPr>
          <w:rFonts w:ascii="Times New Roman" w:hAnsi="Times New Roman"/>
        </w:rPr>
        <w:t>266 dagen</w:t>
      </w:r>
    </w:p>
    <w:p w:rsidR="001D2B90" w:rsidRPr="00B57081" w:rsidRDefault="001D2B90" w:rsidP="00FB472F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 dossiers uit Oost Vlaanderen bedraagt 372 dagen</w:t>
      </w:r>
    </w:p>
    <w:p w:rsidR="001D2B90" w:rsidRPr="00B57081" w:rsidRDefault="001D2B90" w:rsidP="00FB472F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 dossier</w:t>
      </w:r>
      <w:r>
        <w:rPr>
          <w:rFonts w:ascii="Times New Roman" w:hAnsi="Times New Roman"/>
        </w:rPr>
        <w:t xml:space="preserve">s uit West Vlaanderen bedraagt </w:t>
      </w:r>
      <w:r w:rsidRPr="00B57081">
        <w:rPr>
          <w:rFonts w:ascii="Times New Roman" w:hAnsi="Times New Roman"/>
        </w:rPr>
        <w:t>363 dagen</w:t>
      </w:r>
    </w:p>
    <w:p w:rsidR="001D2B90" w:rsidRPr="00B57081" w:rsidRDefault="001D2B90" w:rsidP="00FB472F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 dossie</w:t>
      </w:r>
      <w:r>
        <w:rPr>
          <w:rFonts w:ascii="Times New Roman" w:hAnsi="Times New Roman"/>
        </w:rPr>
        <w:t xml:space="preserve">rs uit Vlaams Brabant bedraagt </w:t>
      </w:r>
      <w:r w:rsidRPr="00B57081">
        <w:rPr>
          <w:rFonts w:ascii="Times New Roman" w:hAnsi="Times New Roman"/>
        </w:rPr>
        <w:t>371 dagen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p w:rsidR="001D2B90" w:rsidRPr="00B57081" w:rsidRDefault="001D2B90" w:rsidP="00FB472F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 xml:space="preserve">Voor de klassieke procedure 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p w:rsidR="001D2B90" w:rsidRPr="00B57081" w:rsidRDefault="001D2B90" w:rsidP="00FB472F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426" w:hanging="66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 dossiers uit Antwerpen bedraagt 140 dagen</w:t>
      </w:r>
    </w:p>
    <w:p w:rsidR="001D2B90" w:rsidRPr="00B57081" w:rsidRDefault="001D2B90" w:rsidP="00FB472F">
      <w:pPr>
        <w:pStyle w:val="ListParagraph"/>
        <w:numPr>
          <w:ilvl w:val="0"/>
          <w:numId w:val="3"/>
        </w:numPr>
        <w:spacing w:line="240" w:lineRule="auto"/>
        <w:ind w:left="426" w:hanging="66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</w:t>
      </w:r>
      <w:r>
        <w:rPr>
          <w:rFonts w:ascii="Times New Roman" w:hAnsi="Times New Roman"/>
        </w:rPr>
        <w:t xml:space="preserve"> dossiers uit Limburg bedraagt </w:t>
      </w:r>
      <w:r w:rsidRPr="00B57081">
        <w:rPr>
          <w:rFonts w:ascii="Times New Roman" w:hAnsi="Times New Roman"/>
        </w:rPr>
        <w:t>195 dagen</w:t>
      </w:r>
    </w:p>
    <w:p w:rsidR="001D2B90" w:rsidRPr="00B57081" w:rsidRDefault="001D2B90" w:rsidP="00FB472F">
      <w:pPr>
        <w:pStyle w:val="ListParagraph"/>
        <w:numPr>
          <w:ilvl w:val="0"/>
          <w:numId w:val="3"/>
        </w:numPr>
        <w:spacing w:line="240" w:lineRule="auto"/>
        <w:ind w:left="426" w:hanging="66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 dossiers uit Oost Vlaanderen bedraagt 241 dagen</w:t>
      </w:r>
    </w:p>
    <w:p w:rsidR="001D2B90" w:rsidRPr="00B57081" w:rsidRDefault="001D2B90" w:rsidP="00FB472F">
      <w:pPr>
        <w:pStyle w:val="ListParagraph"/>
        <w:numPr>
          <w:ilvl w:val="0"/>
          <w:numId w:val="3"/>
        </w:numPr>
        <w:spacing w:line="240" w:lineRule="auto"/>
        <w:ind w:left="426" w:hanging="66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 dossier</w:t>
      </w:r>
      <w:r>
        <w:rPr>
          <w:rFonts w:ascii="Times New Roman" w:hAnsi="Times New Roman"/>
        </w:rPr>
        <w:t xml:space="preserve">s uit West Vlaanderen bedraagt </w:t>
      </w:r>
      <w:r w:rsidRPr="00B57081">
        <w:rPr>
          <w:rFonts w:ascii="Times New Roman" w:hAnsi="Times New Roman"/>
        </w:rPr>
        <w:t>148 dagen</w:t>
      </w:r>
    </w:p>
    <w:p w:rsidR="001D2B90" w:rsidRPr="00B57081" w:rsidRDefault="001D2B90" w:rsidP="00FB472F">
      <w:pPr>
        <w:pStyle w:val="ListParagraph"/>
        <w:numPr>
          <w:ilvl w:val="0"/>
          <w:numId w:val="3"/>
        </w:numPr>
        <w:spacing w:line="240" w:lineRule="auto"/>
        <w:ind w:left="426" w:hanging="66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De doorlooptijd voor dossiers uit Vl</w:t>
      </w:r>
      <w:r>
        <w:rPr>
          <w:rFonts w:ascii="Times New Roman" w:hAnsi="Times New Roman"/>
        </w:rPr>
        <w:t xml:space="preserve">aams Brabant bedraagt </w:t>
      </w:r>
      <w:r w:rsidRPr="00B57081">
        <w:rPr>
          <w:rFonts w:ascii="Times New Roman" w:hAnsi="Times New Roman"/>
        </w:rPr>
        <w:t>222 dagen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p w:rsidR="001D2B90" w:rsidRPr="00B57081" w:rsidRDefault="001D2B90" w:rsidP="00FB472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Zie rekenbladen als bijlage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p w:rsidR="001D2B90" w:rsidRPr="00B57081" w:rsidRDefault="001D2B90" w:rsidP="00FB472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u w:val="single"/>
        </w:rPr>
      </w:pPr>
      <w:r w:rsidRPr="00B57081">
        <w:rPr>
          <w:rFonts w:ascii="Times New Roman" w:hAnsi="Times New Roman"/>
          <w:u w:val="single"/>
        </w:rPr>
        <w:t xml:space="preserve">Alternatieve procedure: </w:t>
      </w:r>
    </w:p>
    <w:p w:rsidR="001D2B90" w:rsidRPr="00B57081" w:rsidRDefault="001D2B90" w:rsidP="00FB472F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12 Aanvragen doorlopen de procedure voor de goedkeuring van een principieel akkoord.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  <w:u w:val="single"/>
        </w:rPr>
      </w:pPr>
    </w:p>
    <w:p w:rsidR="001D2B90" w:rsidRPr="00B57081" w:rsidRDefault="001D2B90" w:rsidP="00FB472F">
      <w:pPr>
        <w:pStyle w:val="ListParagraph"/>
        <w:spacing w:line="240" w:lineRule="auto"/>
        <w:ind w:left="360"/>
        <w:jc w:val="both"/>
        <w:rPr>
          <w:rFonts w:ascii="Times New Roman" w:hAnsi="Times New Roman"/>
          <w:u w:val="single"/>
        </w:rPr>
      </w:pPr>
      <w:r w:rsidRPr="00B57081">
        <w:rPr>
          <w:rFonts w:ascii="Times New Roman" w:hAnsi="Times New Roman"/>
          <w:u w:val="single"/>
        </w:rPr>
        <w:t xml:space="preserve">Klassieke procedure: </w:t>
      </w:r>
    </w:p>
    <w:p w:rsidR="001D2B90" w:rsidRPr="00B57081" w:rsidRDefault="001D2B90" w:rsidP="00FB472F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 zijn geen lopende aanvragen </w:t>
      </w:r>
      <w:r w:rsidRPr="00B57081">
        <w:rPr>
          <w:rFonts w:ascii="Times New Roman" w:hAnsi="Times New Roman"/>
        </w:rPr>
        <w:t>in de procedure voor goedkeuring voor een subsidiebelofte.</w:t>
      </w:r>
    </w:p>
    <w:p w:rsidR="001D2B90" w:rsidRPr="00B57081" w:rsidRDefault="001D2B90" w:rsidP="00FB472F">
      <w:pPr>
        <w:pStyle w:val="ListParagraph"/>
        <w:spacing w:line="240" w:lineRule="auto"/>
        <w:ind w:left="426" w:firstLine="696"/>
        <w:jc w:val="both"/>
        <w:rPr>
          <w:rFonts w:ascii="Times New Roman" w:hAnsi="Times New Roman"/>
        </w:rPr>
      </w:pPr>
      <w:bookmarkStart w:id="0" w:name="_GoBack"/>
      <w:bookmarkEnd w:id="0"/>
    </w:p>
    <w:p w:rsidR="001D2B90" w:rsidRPr="00B57081" w:rsidRDefault="001D2B90" w:rsidP="00FB472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 xml:space="preserve">Voor de alternatieve procedure vindt u de som van de bedragen van de verleende principieel akkoorden. Voor de gewijzigde principieel akkoorden werd het aangepaste </w:t>
      </w:r>
      <w:r>
        <w:rPr>
          <w:rFonts w:ascii="Times New Roman" w:hAnsi="Times New Roman"/>
        </w:rPr>
        <w:t xml:space="preserve">totale </w:t>
      </w:r>
      <w:r w:rsidRPr="00B57081">
        <w:rPr>
          <w:rFonts w:ascii="Times New Roman" w:hAnsi="Times New Roman"/>
        </w:rPr>
        <w:t xml:space="preserve">bedrag in rekening gebracht. </w:t>
      </w:r>
      <w:r w:rsidRPr="00B57081">
        <w:rPr>
          <w:rFonts w:ascii="Times New Roman" w:hAnsi="Times New Roman"/>
          <w:u w:val="single"/>
        </w:rPr>
        <w:t>De effectieve aanrekening op de begroting gebeurt in de alternatieve procedure echter pas op het ogenblik van de betaling van de gebruikstoelagen</w:t>
      </w:r>
      <w:r w:rsidRPr="00B57081">
        <w:rPr>
          <w:rFonts w:ascii="Times New Roman" w:hAnsi="Times New Roman"/>
        </w:rPr>
        <w:t>.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p w:rsidR="001D2B90" w:rsidRPr="00B57081" w:rsidRDefault="001D2B90" w:rsidP="00FB472F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>Voor de klassieke procedure vindt u de som van de bedragen van de verleende subsidiebeloften, waarvan de initiële subsidie</w:t>
      </w:r>
      <w:r>
        <w:rPr>
          <w:rFonts w:ascii="Times New Roman" w:hAnsi="Times New Roman"/>
        </w:rPr>
        <w:t xml:space="preserve">belofte voor de projecten </w:t>
      </w:r>
      <w:r w:rsidRPr="00B57081">
        <w:rPr>
          <w:rFonts w:ascii="Times New Roman" w:hAnsi="Times New Roman"/>
        </w:rPr>
        <w:t xml:space="preserve">is verleend na 2008. Aanvullende subsidiebeloftes waarvan de initiële belofte dateert van voor 2008 zijn niet in rekening gebracht. 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  <w:r w:rsidRPr="00B57081">
        <w:rPr>
          <w:rFonts w:ascii="Times New Roman" w:hAnsi="Times New Roman"/>
        </w:rPr>
        <w:t xml:space="preserve"> </w:t>
      </w:r>
    </w:p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6"/>
        <w:gridCol w:w="2838"/>
        <w:gridCol w:w="2884"/>
      </w:tblGrid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 xml:space="preserve">Alternatieve procedure </w:t>
            </w: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Limburg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124.160.716,32</w:t>
            </w:r>
          </w:p>
        </w:tc>
      </w:tr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Antwerpen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142.534.036,52</w:t>
            </w:r>
          </w:p>
        </w:tc>
      </w:tr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Vlaams Brabant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124.934.112,71</w:t>
            </w:r>
          </w:p>
        </w:tc>
      </w:tr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Oost Vlaanderen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141.730.095,23</w:t>
            </w:r>
          </w:p>
        </w:tc>
      </w:tr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West Vlaanderen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270.187.145,79</w:t>
            </w:r>
          </w:p>
        </w:tc>
      </w:tr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 xml:space="preserve">Klassieke procedure </w:t>
            </w: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Limburg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BD28B7">
              <w:rPr>
                <w:sz w:val="22"/>
                <w:szCs w:val="22"/>
              </w:rPr>
              <w:t>10.398.492,87</w:t>
            </w:r>
          </w:p>
        </w:tc>
      </w:tr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Antwerpen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20.187.716,73</w:t>
            </w:r>
          </w:p>
        </w:tc>
      </w:tr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Vlaams Brabant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22.238.737,91</w:t>
            </w:r>
          </w:p>
        </w:tc>
      </w:tr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Oost Vlaanderen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13.896.023,57</w:t>
            </w:r>
          </w:p>
        </w:tc>
      </w:tr>
      <w:tr w:rsidR="001D2B90" w:rsidRPr="00B57081" w:rsidTr="00BD28B7">
        <w:tc>
          <w:tcPr>
            <w:tcW w:w="2846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West Vlaanderen</w:t>
            </w:r>
          </w:p>
        </w:tc>
        <w:tc>
          <w:tcPr>
            <w:tcW w:w="2884" w:type="dxa"/>
          </w:tcPr>
          <w:p w:rsidR="001D2B90" w:rsidRPr="00BD28B7" w:rsidRDefault="001D2B90" w:rsidP="00FB472F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BD28B7">
              <w:rPr>
                <w:rFonts w:ascii="Times New Roman" w:hAnsi="Times New Roman"/>
              </w:rPr>
              <w:t>10.414.197,87</w:t>
            </w:r>
          </w:p>
        </w:tc>
      </w:tr>
    </w:tbl>
    <w:p w:rsidR="001D2B90" w:rsidRPr="00B57081" w:rsidRDefault="001D2B90" w:rsidP="00FB472F">
      <w:pPr>
        <w:pStyle w:val="ListParagraph"/>
        <w:spacing w:line="240" w:lineRule="auto"/>
        <w:ind w:left="426"/>
        <w:jc w:val="both"/>
        <w:rPr>
          <w:rFonts w:ascii="Times New Roman" w:hAnsi="Times New Roman"/>
        </w:rPr>
      </w:pPr>
    </w:p>
    <w:p w:rsidR="001D2B90" w:rsidRPr="00B57081" w:rsidRDefault="001D2B90" w:rsidP="00FB472F">
      <w:pPr>
        <w:ind w:left="426"/>
        <w:jc w:val="both"/>
        <w:outlineLvl w:val="0"/>
        <w:rPr>
          <w:b/>
          <w:bCs/>
          <w:smallCaps/>
          <w:color w:val="FF0000"/>
          <w:sz w:val="22"/>
          <w:szCs w:val="22"/>
          <w:u w:val="single"/>
        </w:rPr>
      </w:pPr>
      <w:r w:rsidRPr="00B57081">
        <w:rPr>
          <w:b/>
          <w:bCs/>
          <w:smallCaps/>
          <w:color w:val="FF0000"/>
          <w:sz w:val="22"/>
          <w:szCs w:val="22"/>
          <w:u w:val="single"/>
        </w:rPr>
        <w:t>bijlagen</w:t>
      </w:r>
    </w:p>
    <w:p w:rsidR="001D2B90" w:rsidRPr="00B57081" w:rsidRDefault="001D2B90" w:rsidP="00FB472F">
      <w:pPr>
        <w:ind w:left="426"/>
        <w:jc w:val="both"/>
        <w:outlineLvl w:val="0"/>
        <w:rPr>
          <w:b/>
          <w:bCs/>
          <w:smallCaps/>
          <w:color w:val="FF0000"/>
          <w:sz w:val="22"/>
          <w:szCs w:val="22"/>
          <w:u w:val="single"/>
        </w:rPr>
      </w:pPr>
    </w:p>
    <w:p w:rsidR="001D2B90" w:rsidRPr="00B57081" w:rsidRDefault="001D2B90" w:rsidP="00FB472F">
      <w:pPr>
        <w:numPr>
          <w:ilvl w:val="0"/>
          <w:numId w:val="4"/>
        </w:numPr>
        <w:tabs>
          <w:tab w:val="clear" w:pos="340"/>
        </w:tabs>
        <w:ind w:left="426"/>
        <w:jc w:val="both"/>
        <w:rPr>
          <w:sz w:val="22"/>
          <w:szCs w:val="22"/>
        </w:rPr>
      </w:pPr>
      <w:r w:rsidRPr="00B57081">
        <w:rPr>
          <w:sz w:val="22"/>
          <w:szCs w:val="22"/>
        </w:rPr>
        <w:t>Bijlage 1 – overzicht alternatieve dossiers</w:t>
      </w:r>
      <w:r w:rsidRPr="00B57081">
        <w:rPr>
          <w:bCs/>
          <w:sz w:val="22"/>
          <w:szCs w:val="22"/>
        </w:rPr>
        <w:t xml:space="preserve"> Limburg</w:t>
      </w:r>
    </w:p>
    <w:p w:rsidR="001D2B90" w:rsidRPr="00B57081" w:rsidRDefault="001D2B90" w:rsidP="00FB472F">
      <w:pPr>
        <w:numPr>
          <w:ilvl w:val="0"/>
          <w:numId w:val="4"/>
        </w:numPr>
        <w:tabs>
          <w:tab w:val="clear" w:pos="340"/>
        </w:tabs>
        <w:ind w:left="426"/>
        <w:jc w:val="both"/>
        <w:rPr>
          <w:sz w:val="22"/>
          <w:szCs w:val="22"/>
        </w:rPr>
      </w:pPr>
      <w:r w:rsidRPr="00B57081">
        <w:rPr>
          <w:bCs/>
          <w:sz w:val="22"/>
          <w:szCs w:val="22"/>
        </w:rPr>
        <w:t xml:space="preserve">Bijlage 2 – overzicht </w:t>
      </w:r>
      <w:r w:rsidRPr="00B57081">
        <w:rPr>
          <w:sz w:val="22"/>
          <w:szCs w:val="22"/>
        </w:rPr>
        <w:t>klassieke dossiers Limburg</w:t>
      </w:r>
    </w:p>
    <w:p w:rsidR="001D2B90" w:rsidRPr="00B57081" w:rsidRDefault="001D2B90" w:rsidP="00FB472F">
      <w:pPr>
        <w:pStyle w:val="StandaardSV"/>
        <w:ind w:left="426"/>
        <w:rPr>
          <w:szCs w:val="22"/>
        </w:rPr>
      </w:pPr>
    </w:p>
    <w:sectPr w:rsidR="001D2B90" w:rsidRPr="00B57081" w:rsidSect="00B2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E1F"/>
    <w:multiLevelType w:val="hybridMultilevel"/>
    <w:tmpl w:val="CAACD532"/>
    <w:lvl w:ilvl="0" w:tplc="F8929F52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988EFC4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imes New Roman" w:hAnsi="Tunga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56A48"/>
    <w:multiLevelType w:val="hybridMultilevel"/>
    <w:tmpl w:val="288C03C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62740DA"/>
    <w:multiLevelType w:val="hybridMultilevel"/>
    <w:tmpl w:val="9E4682E0"/>
    <w:lvl w:ilvl="0" w:tplc="6C126F9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C9B3428"/>
    <w:multiLevelType w:val="hybridMultilevel"/>
    <w:tmpl w:val="BCFEF7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9D774CF"/>
    <w:multiLevelType w:val="hybridMultilevel"/>
    <w:tmpl w:val="E2D6CDA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98C10CB"/>
    <w:multiLevelType w:val="multilevel"/>
    <w:tmpl w:val="E2D6C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DD04A01"/>
    <w:multiLevelType w:val="hybridMultilevel"/>
    <w:tmpl w:val="ED9E7DC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D13CFC"/>
    <w:multiLevelType w:val="multilevel"/>
    <w:tmpl w:val="288C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00C"/>
    <w:rsid w:val="00022DAC"/>
    <w:rsid w:val="001D2B90"/>
    <w:rsid w:val="001F1FD2"/>
    <w:rsid w:val="00222EBF"/>
    <w:rsid w:val="002F79FC"/>
    <w:rsid w:val="00345C9B"/>
    <w:rsid w:val="0037600C"/>
    <w:rsid w:val="00430713"/>
    <w:rsid w:val="004B2E5C"/>
    <w:rsid w:val="007356B1"/>
    <w:rsid w:val="007967D5"/>
    <w:rsid w:val="007D2370"/>
    <w:rsid w:val="009047E7"/>
    <w:rsid w:val="00932768"/>
    <w:rsid w:val="00AA48FD"/>
    <w:rsid w:val="00AE2FA0"/>
    <w:rsid w:val="00B23505"/>
    <w:rsid w:val="00B57081"/>
    <w:rsid w:val="00B95BB1"/>
    <w:rsid w:val="00BD28B7"/>
    <w:rsid w:val="00C90229"/>
    <w:rsid w:val="00CF6E19"/>
    <w:rsid w:val="00D827F0"/>
    <w:rsid w:val="00E1062A"/>
    <w:rsid w:val="00E20F57"/>
    <w:rsid w:val="00ED71B8"/>
    <w:rsid w:val="00F274F7"/>
    <w:rsid w:val="00FB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0C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37600C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37600C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37600C"/>
    <w:pPr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ED7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table" w:styleId="TableGrid">
    <w:name w:val="Table Grid"/>
    <w:basedOn w:val="TableNormal"/>
    <w:uiPriority w:val="99"/>
    <w:rsid w:val="00ED7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0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62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426</Words>
  <Characters>2345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Neste, Ulrike</dc:creator>
  <cp:keywords/>
  <dc:description/>
  <cp:lastModifiedBy>Nathalie De Keyzer</cp:lastModifiedBy>
  <cp:revision>3</cp:revision>
  <cp:lastPrinted>2011-02-23T12:50:00Z</cp:lastPrinted>
  <dcterms:created xsi:type="dcterms:W3CDTF">2011-02-23T12:50:00Z</dcterms:created>
  <dcterms:modified xsi:type="dcterms:W3CDTF">2011-02-25T14:43:00Z</dcterms:modified>
</cp:coreProperties>
</file>