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F44FD" w:rsidRPr="00DD4121" w:rsidRDefault="00CF44F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F44FD" w:rsidRPr="00015BF7" w:rsidRDefault="00CF44F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F44FD" w:rsidRPr="00015BF7" w:rsidRDefault="00CF44FD" w:rsidP="000976E9">
      <w:pPr>
        <w:rPr>
          <w:szCs w:val="22"/>
        </w:rPr>
      </w:pPr>
    </w:p>
    <w:p w:rsidR="00CF44FD" w:rsidRPr="00DB41C0" w:rsidRDefault="00CF44FD" w:rsidP="000976E9">
      <w:pPr>
        <w:pStyle w:val="A-Lijn"/>
      </w:pPr>
    </w:p>
    <w:p w:rsidR="00CF44FD" w:rsidRDefault="00CF44FD" w:rsidP="000976E9">
      <w:pPr>
        <w:pStyle w:val="A-Type"/>
        <w:sectPr w:rsidR="00CF44FD">
          <w:pgSz w:w="11906" w:h="16838"/>
          <w:pgMar w:top="1417" w:right="1417" w:bottom="1417" w:left="1417" w:header="708" w:footer="708" w:gutter="0"/>
          <w:cols w:space="708"/>
          <w:rtlGutter/>
          <w:docGrid w:linePitch="360"/>
        </w:sectPr>
      </w:pPr>
    </w:p>
    <w:p w:rsidR="00CF44FD" w:rsidRDefault="00CF44FD" w:rsidP="000976E9">
      <w:pPr>
        <w:pStyle w:val="A-Type"/>
      </w:pPr>
      <w:r>
        <w:t>gecoördineerd a</w:t>
      </w:r>
      <w:r w:rsidRPr="00E31F4D">
        <w:t>ntwoord</w:t>
      </w:r>
    </w:p>
    <w:p w:rsidR="00CF44FD" w:rsidRDefault="00CF44FD" w:rsidP="000976E9">
      <w:pPr>
        <w:pStyle w:val="A-Type"/>
        <w:sectPr w:rsidR="00CF44FD" w:rsidSect="000976E9">
          <w:type w:val="continuous"/>
          <w:pgSz w:w="11906" w:h="16838"/>
          <w:pgMar w:top="1417" w:right="1417" w:bottom="1417" w:left="1417" w:header="708" w:footer="708" w:gutter="0"/>
          <w:cols w:space="708"/>
          <w:formProt w:val="0"/>
          <w:docGrid w:linePitch="360"/>
        </w:sectPr>
      </w:pPr>
    </w:p>
    <w:p w:rsidR="00CF44FD" w:rsidRPr="00326A58" w:rsidRDefault="00CF44F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140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F44FD" w:rsidRDefault="00CF44F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robrecht bothuyne</w:t>
      </w:r>
      <w:r w:rsidRPr="009D7043">
        <w:rPr>
          <w:rStyle w:val="AntwoordNaamMinisterChar"/>
          <w:sz w:val="22"/>
        </w:rPr>
        <w:fldChar w:fldCharType="end"/>
      </w:r>
    </w:p>
    <w:p w:rsidR="00CF44FD" w:rsidRPr="00015BF7" w:rsidRDefault="00CF44FD" w:rsidP="000976E9">
      <w:pPr>
        <w:rPr>
          <w:szCs w:val="22"/>
        </w:rPr>
      </w:pPr>
    </w:p>
    <w:p w:rsidR="00CF44FD" w:rsidRPr="00DB41C0" w:rsidRDefault="00CF44FD" w:rsidP="000976E9">
      <w:pPr>
        <w:pStyle w:val="A-Lijn"/>
      </w:pPr>
    </w:p>
    <w:p w:rsidR="00CF44FD" w:rsidRPr="00DB41C0" w:rsidRDefault="00CF44FD" w:rsidP="000976E9">
      <w:pPr>
        <w:pStyle w:val="A-Lijn"/>
      </w:pPr>
    </w:p>
    <w:p w:rsidR="00CF44FD" w:rsidRDefault="00CF44FD" w:rsidP="00DB41C0">
      <w:pPr>
        <w:sectPr w:rsidR="00CF44FD" w:rsidSect="000976E9">
          <w:type w:val="continuous"/>
          <w:pgSz w:w="11906" w:h="16838"/>
          <w:pgMar w:top="1417" w:right="1417" w:bottom="1417" w:left="1417" w:header="708" w:footer="708" w:gutter="0"/>
          <w:cols w:space="708"/>
          <w:rtlGutter/>
          <w:docGrid w:linePitch="360"/>
        </w:sectPr>
      </w:pPr>
    </w:p>
    <w:p w:rsidR="00CF44FD" w:rsidRPr="004723D1" w:rsidRDefault="00CF44FD" w:rsidP="0053721D">
      <w:pPr>
        <w:widowControl w:val="0"/>
        <w:tabs>
          <w:tab w:val="left" w:pos="360"/>
        </w:tabs>
        <w:autoSpaceDE w:val="0"/>
        <w:autoSpaceDN w:val="0"/>
        <w:adjustRightInd w:val="0"/>
        <w:ind w:left="360" w:hanging="360"/>
        <w:jc w:val="both"/>
        <w:rPr>
          <w:szCs w:val="22"/>
          <w:lang w:val="nl-BE" w:bidi="he-IL"/>
        </w:rPr>
      </w:pPr>
      <w:r w:rsidRPr="004723D1">
        <w:rPr>
          <w:szCs w:val="22"/>
          <w:lang w:bidi="he-IL"/>
        </w:rPr>
        <w:t>1.</w:t>
      </w:r>
      <w:r w:rsidRPr="004723D1">
        <w:rPr>
          <w:szCs w:val="22"/>
          <w:lang w:bidi="he-IL"/>
        </w:rPr>
        <w:tab/>
      </w:r>
      <w:r>
        <w:rPr>
          <w:szCs w:val="22"/>
          <w:lang w:bidi="he-IL"/>
        </w:rPr>
        <w:t>Gelet op het belangrijk aandeel ontvoogde gemeenten, kan er door het Agentschap Ruimte en Erf</w:t>
      </w:r>
      <w:r>
        <w:rPr>
          <w:szCs w:val="22"/>
          <w:lang w:bidi="he-IL"/>
        </w:rPr>
        <w:softHyphen/>
        <w:t>goed geen volledig overzicht worden gegeven van het aantal stedenbouwkundige vergunningaan</w:t>
      </w:r>
      <w:r>
        <w:rPr>
          <w:szCs w:val="22"/>
          <w:lang w:bidi="he-IL"/>
        </w:rPr>
        <w:softHyphen/>
        <w:t xml:space="preserve">vragen voor nieuwe vestigingen van paardenhouderijen. </w:t>
      </w:r>
      <w:r>
        <w:t xml:space="preserve">Bovendien zijn de gegevens van het Agentschap Ruimte en Erfgoed onvoldoende gedetailleerd om een sluitend antwoord te geven op het aantal aanvragen voor nieuwe vestigingen van paardenhouderijen. </w:t>
      </w:r>
      <w:r>
        <w:rPr>
          <w:szCs w:val="22"/>
          <w:lang w:val="nl-BE" w:bidi="he-IL"/>
        </w:rPr>
        <w:t>De Afdeling Duurzame Land</w:t>
      </w:r>
      <w:r>
        <w:rPr>
          <w:szCs w:val="22"/>
          <w:lang w:val="nl-BE" w:bidi="he-IL"/>
        </w:rPr>
        <w:softHyphen/>
        <w:t xml:space="preserve">bouwontwikkeling beschikt wel over gedetailleerde gegevens. </w:t>
      </w:r>
      <w:r w:rsidRPr="004723D1">
        <w:rPr>
          <w:szCs w:val="22"/>
          <w:lang w:val="nl-BE" w:bidi="he-IL"/>
        </w:rPr>
        <w:t>In 2009 en 2010 werden 45 aan</w:t>
      </w:r>
      <w:r>
        <w:rPr>
          <w:szCs w:val="22"/>
          <w:lang w:val="nl-BE" w:bidi="he-IL"/>
        </w:rPr>
        <w:softHyphen/>
      </w:r>
      <w:r w:rsidRPr="004723D1">
        <w:rPr>
          <w:szCs w:val="22"/>
          <w:lang w:val="nl-BE" w:bidi="he-IL"/>
        </w:rPr>
        <w:t>vragen voor nieuwe bedrijfsvestigingen van paarden</w:t>
      </w:r>
      <w:r w:rsidRPr="00950D1D">
        <w:rPr>
          <w:szCs w:val="22"/>
          <w:u w:val="single"/>
          <w:lang w:val="nl-BE" w:bidi="he-IL"/>
        </w:rPr>
        <w:t>fokkerijen</w:t>
      </w:r>
      <w:r w:rsidRPr="004723D1">
        <w:rPr>
          <w:szCs w:val="22"/>
          <w:lang w:val="nl-BE" w:bidi="he-IL"/>
        </w:rPr>
        <w:t xml:space="preserve"> behandeld door het </w:t>
      </w:r>
      <w:r w:rsidRPr="00994EEB">
        <w:rPr>
          <w:szCs w:val="22"/>
          <w:lang w:val="nl-BE" w:bidi="he-IL"/>
        </w:rPr>
        <w:t>de Afdeling Duur</w:t>
      </w:r>
      <w:r>
        <w:rPr>
          <w:szCs w:val="22"/>
          <w:lang w:val="nl-BE" w:bidi="he-IL"/>
        </w:rPr>
        <w:softHyphen/>
      </w:r>
      <w:r w:rsidRPr="00994EEB">
        <w:rPr>
          <w:szCs w:val="22"/>
          <w:lang w:val="nl-BE" w:bidi="he-IL"/>
        </w:rPr>
        <w:t>zame Landbouwontwikkeling</w:t>
      </w:r>
      <w:r w:rsidRPr="004723D1">
        <w:rPr>
          <w:szCs w:val="22"/>
          <w:lang w:val="nl-BE" w:bidi="he-IL"/>
        </w:rPr>
        <w:t>. Hieronder volgt het overzicht voor 2009 en 2010 per provincie</w:t>
      </w:r>
      <w:r>
        <w:rPr>
          <w:szCs w:val="22"/>
          <w:lang w:val="nl-BE" w:bidi="he-IL"/>
        </w:rPr>
        <w:t>:</w:t>
      </w:r>
    </w:p>
    <w:p w:rsidR="00CF44FD" w:rsidRPr="004723D1" w:rsidRDefault="00CF44FD" w:rsidP="004723D1">
      <w:pPr>
        <w:widowControl w:val="0"/>
        <w:autoSpaceDE w:val="0"/>
        <w:autoSpaceDN w:val="0"/>
        <w:adjustRightInd w:val="0"/>
        <w:ind w:left="360"/>
        <w:jc w:val="both"/>
        <w:rPr>
          <w:szCs w:val="22"/>
          <w:lang w:bidi="he-IL"/>
        </w:rPr>
      </w:pPr>
    </w:p>
    <w:tbl>
      <w:tblPr>
        <w:tblW w:w="6176" w:type="dxa"/>
        <w:tblInd w:w="415" w:type="dxa"/>
        <w:tblLayout w:type="fixed"/>
        <w:tblCellMar>
          <w:left w:w="70" w:type="dxa"/>
          <w:right w:w="70" w:type="dxa"/>
        </w:tblCellMar>
        <w:tblLook w:val="0000"/>
      </w:tblPr>
      <w:tblGrid>
        <w:gridCol w:w="1782"/>
        <w:gridCol w:w="850"/>
        <w:gridCol w:w="1134"/>
        <w:gridCol w:w="851"/>
        <w:gridCol w:w="1559"/>
      </w:tblGrid>
      <w:tr w:rsidR="00CF44FD" w:rsidRPr="004723D1" w:rsidTr="004723D1">
        <w:trPr>
          <w:trHeight w:val="270"/>
        </w:trPr>
        <w:tc>
          <w:tcPr>
            <w:tcW w:w="1782" w:type="dxa"/>
            <w:tcBorders>
              <w:top w:val="single" w:sz="4" w:space="0" w:color="auto"/>
              <w:left w:val="single" w:sz="4" w:space="0" w:color="auto"/>
              <w:bottom w:val="nil"/>
              <w:right w:val="nil"/>
            </w:tcBorders>
            <w:shd w:val="clear" w:color="auto" w:fill="BFBFBF"/>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Provincie</w:t>
            </w:r>
          </w:p>
        </w:tc>
        <w:tc>
          <w:tcPr>
            <w:tcW w:w="850" w:type="dxa"/>
            <w:tcBorders>
              <w:top w:val="single" w:sz="4" w:space="0" w:color="auto"/>
              <w:left w:val="single" w:sz="8" w:space="0" w:color="auto"/>
              <w:bottom w:val="single" w:sz="8" w:space="0" w:color="auto"/>
              <w:right w:val="single" w:sz="8" w:space="0" w:color="auto"/>
            </w:tcBorders>
            <w:shd w:val="clear" w:color="auto" w:fill="BFBFBF"/>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jaar</w:t>
            </w:r>
          </w:p>
        </w:tc>
        <w:tc>
          <w:tcPr>
            <w:tcW w:w="1134" w:type="dxa"/>
            <w:tcBorders>
              <w:top w:val="single" w:sz="4" w:space="0" w:color="auto"/>
              <w:left w:val="nil"/>
              <w:bottom w:val="single" w:sz="8" w:space="0" w:color="auto"/>
              <w:right w:val="single" w:sz="4" w:space="0" w:color="auto"/>
            </w:tcBorders>
            <w:shd w:val="clear" w:color="auto" w:fill="BFBFBF"/>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ongunstig</w:t>
            </w:r>
          </w:p>
        </w:tc>
        <w:tc>
          <w:tcPr>
            <w:tcW w:w="851" w:type="dxa"/>
            <w:tcBorders>
              <w:top w:val="single" w:sz="4" w:space="0" w:color="auto"/>
              <w:left w:val="single" w:sz="4" w:space="0" w:color="auto"/>
              <w:bottom w:val="single" w:sz="8" w:space="0" w:color="auto"/>
              <w:right w:val="single" w:sz="4" w:space="0" w:color="auto"/>
            </w:tcBorders>
            <w:shd w:val="clear" w:color="auto" w:fill="BFBFBF"/>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gunstig</w:t>
            </w:r>
          </w:p>
        </w:tc>
        <w:tc>
          <w:tcPr>
            <w:tcW w:w="1559" w:type="dxa"/>
            <w:tcBorders>
              <w:top w:val="single" w:sz="4" w:space="0" w:color="auto"/>
              <w:left w:val="single" w:sz="4" w:space="0" w:color="auto"/>
              <w:bottom w:val="single" w:sz="8" w:space="0" w:color="auto"/>
              <w:right w:val="single" w:sz="4" w:space="0" w:color="auto"/>
            </w:tcBorders>
            <w:shd w:val="clear" w:color="auto" w:fill="BFBFBF"/>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totalen per jaar per provincie</w:t>
            </w:r>
          </w:p>
        </w:tc>
      </w:tr>
      <w:tr w:rsidR="00CF44FD" w:rsidRPr="004723D1" w:rsidTr="004723D1">
        <w:trPr>
          <w:trHeight w:val="255"/>
        </w:trPr>
        <w:tc>
          <w:tcPr>
            <w:tcW w:w="1782" w:type="dxa"/>
            <w:tcBorders>
              <w:top w:val="single" w:sz="8" w:space="0" w:color="auto"/>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Limburg</w:t>
            </w:r>
          </w:p>
        </w:tc>
        <w:tc>
          <w:tcPr>
            <w:tcW w:w="850" w:type="dxa"/>
            <w:tcBorders>
              <w:top w:val="nil"/>
              <w:left w:val="nil"/>
              <w:bottom w:val="nil"/>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2009</w:t>
            </w:r>
          </w:p>
        </w:tc>
        <w:tc>
          <w:tcPr>
            <w:tcW w:w="1134" w:type="dxa"/>
            <w:tcBorders>
              <w:top w:val="nil"/>
              <w:left w:val="single" w:sz="8"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1</w:t>
            </w:r>
          </w:p>
        </w:tc>
        <w:tc>
          <w:tcPr>
            <w:tcW w:w="851"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0</w:t>
            </w:r>
          </w:p>
        </w:tc>
        <w:tc>
          <w:tcPr>
            <w:tcW w:w="1559"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1</w:t>
            </w:r>
          </w:p>
        </w:tc>
      </w:tr>
      <w:tr w:rsidR="00CF44FD" w:rsidRPr="004723D1" w:rsidTr="004723D1">
        <w:trPr>
          <w:trHeight w:val="270"/>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w:t>
            </w:r>
          </w:p>
        </w:tc>
        <w:tc>
          <w:tcPr>
            <w:tcW w:w="850" w:type="dxa"/>
            <w:tcBorders>
              <w:top w:val="nil"/>
              <w:left w:val="nil"/>
              <w:bottom w:val="single" w:sz="8" w:space="0" w:color="auto"/>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2010</w:t>
            </w:r>
          </w:p>
        </w:tc>
        <w:tc>
          <w:tcPr>
            <w:tcW w:w="1134" w:type="dxa"/>
            <w:tcBorders>
              <w:top w:val="nil"/>
              <w:left w:val="single" w:sz="8"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w:t>
            </w:r>
          </w:p>
        </w:tc>
        <w:tc>
          <w:tcPr>
            <w:tcW w:w="851"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0</w:t>
            </w:r>
          </w:p>
        </w:tc>
        <w:tc>
          <w:tcPr>
            <w:tcW w:w="1559"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w:t>
            </w:r>
          </w:p>
        </w:tc>
      </w:tr>
      <w:tr w:rsidR="00CF44FD" w:rsidRPr="004723D1" w:rsidTr="004723D1">
        <w:trPr>
          <w:trHeight w:val="255"/>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Antwerpen</w:t>
            </w:r>
          </w:p>
        </w:tc>
        <w:tc>
          <w:tcPr>
            <w:tcW w:w="850" w:type="dxa"/>
            <w:tcBorders>
              <w:top w:val="nil"/>
              <w:left w:val="nil"/>
              <w:bottom w:val="nil"/>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2009</w:t>
            </w:r>
          </w:p>
        </w:tc>
        <w:tc>
          <w:tcPr>
            <w:tcW w:w="1134" w:type="dxa"/>
            <w:tcBorders>
              <w:top w:val="nil"/>
              <w:left w:val="single" w:sz="8"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w:t>
            </w:r>
          </w:p>
        </w:tc>
        <w:tc>
          <w:tcPr>
            <w:tcW w:w="851"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0</w:t>
            </w:r>
          </w:p>
        </w:tc>
        <w:tc>
          <w:tcPr>
            <w:tcW w:w="1559"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w:t>
            </w:r>
          </w:p>
        </w:tc>
      </w:tr>
      <w:tr w:rsidR="00CF44FD" w:rsidRPr="004723D1" w:rsidTr="004723D1">
        <w:trPr>
          <w:trHeight w:val="270"/>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w:t>
            </w:r>
          </w:p>
        </w:tc>
        <w:tc>
          <w:tcPr>
            <w:tcW w:w="850" w:type="dxa"/>
            <w:tcBorders>
              <w:top w:val="nil"/>
              <w:left w:val="nil"/>
              <w:bottom w:val="single" w:sz="8" w:space="0" w:color="auto"/>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2010</w:t>
            </w:r>
          </w:p>
        </w:tc>
        <w:tc>
          <w:tcPr>
            <w:tcW w:w="1134" w:type="dxa"/>
            <w:tcBorders>
              <w:top w:val="nil"/>
              <w:left w:val="single" w:sz="8"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c>
          <w:tcPr>
            <w:tcW w:w="851"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4</w:t>
            </w:r>
          </w:p>
        </w:tc>
        <w:tc>
          <w:tcPr>
            <w:tcW w:w="1559"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7</w:t>
            </w:r>
          </w:p>
        </w:tc>
      </w:tr>
      <w:tr w:rsidR="00CF44FD" w:rsidRPr="004723D1" w:rsidTr="004723D1">
        <w:trPr>
          <w:trHeight w:val="255"/>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Vlaams-Brabant</w:t>
            </w:r>
          </w:p>
        </w:tc>
        <w:tc>
          <w:tcPr>
            <w:tcW w:w="850" w:type="dxa"/>
            <w:tcBorders>
              <w:top w:val="nil"/>
              <w:left w:val="nil"/>
              <w:bottom w:val="nil"/>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2009</w:t>
            </w:r>
          </w:p>
        </w:tc>
        <w:tc>
          <w:tcPr>
            <w:tcW w:w="1134" w:type="dxa"/>
            <w:tcBorders>
              <w:top w:val="nil"/>
              <w:left w:val="single" w:sz="8"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c>
          <w:tcPr>
            <w:tcW w:w="851"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0</w:t>
            </w:r>
          </w:p>
        </w:tc>
        <w:tc>
          <w:tcPr>
            <w:tcW w:w="1559"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r>
      <w:tr w:rsidR="00CF44FD" w:rsidRPr="004723D1" w:rsidTr="004723D1">
        <w:trPr>
          <w:trHeight w:val="270"/>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w:t>
            </w:r>
          </w:p>
        </w:tc>
        <w:tc>
          <w:tcPr>
            <w:tcW w:w="850" w:type="dxa"/>
            <w:tcBorders>
              <w:top w:val="nil"/>
              <w:left w:val="nil"/>
              <w:bottom w:val="single" w:sz="8" w:space="0" w:color="auto"/>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2010</w:t>
            </w:r>
          </w:p>
        </w:tc>
        <w:tc>
          <w:tcPr>
            <w:tcW w:w="1134" w:type="dxa"/>
            <w:tcBorders>
              <w:top w:val="nil"/>
              <w:left w:val="single" w:sz="8"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4</w:t>
            </w:r>
          </w:p>
        </w:tc>
        <w:tc>
          <w:tcPr>
            <w:tcW w:w="851"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1</w:t>
            </w:r>
          </w:p>
        </w:tc>
        <w:tc>
          <w:tcPr>
            <w:tcW w:w="1559"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5</w:t>
            </w:r>
          </w:p>
        </w:tc>
      </w:tr>
      <w:tr w:rsidR="00CF44FD" w:rsidRPr="004723D1" w:rsidTr="004723D1">
        <w:trPr>
          <w:trHeight w:val="255"/>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xml:space="preserve">Oost-Vlaanderen </w:t>
            </w:r>
          </w:p>
        </w:tc>
        <w:tc>
          <w:tcPr>
            <w:tcW w:w="850" w:type="dxa"/>
            <w:tcBorders>
              <w:top w:val="nil"/>
              <w:left w:val="nil"/>
              <w:bottom w:val="nil"/>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2009</w:t>
            </w:r>
          </w:p>
        </w:tc>
        <w:tc>
          <w:tcPr>
            <w:tcW w:w="1134" w:type="dxa"/>
            <w:tcBorders>
              <w:top w:val="nil"/>
              <w:left w:val="single" w:sz="8"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0</w:t>
            </w:r>
          </w:p>
        </w:tc>
        <w:tc>
          <w:tcPr>
            <w:tcW w:w="851"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c>
          <w:tcPr>
            <w:tcW w:w="1559"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r>
      <w:tr w:rsidR="00CF44FD" w:rsidRPr="004723D1" w:rsidTr="004723D1">
        <w:trPr>
          <w:trHeight w:val="270"/>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w:t>
            </w:r>
          </w:p>
        </w:tc>
        <w:tc>
          <w:tcPr>
            <w:tcW w:w="850" w:type="dxa"/>
            <w:tcBorders>
              <w:top w:val="nil"/>
              <w:left w:val="nil"/>
              <w:bottom w:val="single" w:sz="8" w:space="0" w:color="auto"/>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2010</w:t>
            </w:r>
          </w:p>
        </w:tc>
        <w:tc>
          <w:tcPr>
            <w:tcW w:w="1134" w:type="dxa"/>
            <w:tcBorders>
              <w:top w:val="nil"/>
              <w:left w:val="single" w:sz="8"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6</w:t>
            </w:r>
          </w:p>
        </w:tc>
        <w:tc>
          <w:tcPr>
            <w:tcW w:w="851"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3</w:t>
            </w:r>
          </w:p>
        </w:tc>
        <w:tc>
          <w:tcPr>
            <w:tcW w:w="1559" w:type="dxa"/>
            <w:tcBorders>
              <w:top w:val="nil"/>
              <w:left w:val="single" w:sz="4" w:space="0" w:color="auto"/>
              <w:bottom w:val="single" w:sz="8"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9</w:t>
            </w:r>
          </w:p>
        </w:tc>
      </w:tr>
      <w:tr w:rsidR="00CF44FD" w:rsidRPr="004723D1" w:rsidTr="004723D1">
        <w:trPr>
          <w:trHeight w:val="255"/>
        </w:trPr>
        <w:tc>
          <w:tcPr>
            <w:tcW w:w="1782" w:type="dxa"/>
            <w:tcBorders>
              <w:top w:val="nil"/>
              <w:left w:val="single" w:sz="4" w:space="0" w:color="auto"/>
              <w:bottom w:val="nil"/>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xml:space="preserve">West-Vlaanderen </w:t>
            </w:r>
          </w:p>
        </w:tc>
        <w:tc>
          <w:tcPr>
            <w:tcW w:w="850" w:type="dxa"/>
            <w:tcBorders>
              <w:top w:val="nil"/>
              <w:left w:val="nil"/>
              <w:bottom w:val="nil"/>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2009</w:t>
            </w:r>
          </w:p>
        </w:tc>
        <w:tc>
          <w:tcPr>
            <w:tcW w:w="1134" w:type="dxa"/>
            <w:tcBorders>
              <w:top w:val="nil"/>
              <w:left w:val="single" w:sz="8"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6</w:t>
            </w:r>
          </w:p>
        </w:tc>
        <w:tc>
          <w:tcPr>
            <w:tcW w:w="851"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1</w:t>
            </w:r>
          </w:p>
        </w:tc>
        <w:tc>
          <w:tcPr>
            <w:tcW w:w="1559" w:type="dxa"/>
            <w:tcBorders>
              <w:top w:val="nil"/>
              <w:left w:val="single" w:sz="4" w:space="0" w:color="auto"/>
              <w:bottom w:val="nil"/>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7</w:t>
            </w:r>
          </w:p>
        </w:tc>
      </w:tr>
      <w:tr w:rsidR="00CF44FD" w:rsidRPr="004723D1" w:rsidTr="004723D1">
        <w:trPr>
          <w:trHeight w:val="270"/>
        </w:trPr>
        <w:tc>
          <w:tcPr>
            <w:tcW w:w="1782" w:type="dxa"/>
            <w:tcBorders>
              <w:top w:val="nil"/>
              <w:left w:val="single" w:sz="4" w:space="0" w:color="auto"/>
              <w:bottom w:val="single" w:sz="4" w:space="0" w:color="auto"/>
              <w:right w:val="single" w:sz="8" w:space="0" w:color="auto"/>
            </w:tcBorders>
            <w:vAlign w:val="bottom"/>
          </w:tcPr>
          <w:p w:rsidR="00CF44FD" w:rsidRPr="004723D1" w:rsidRDefault="00CF44FD" w:rsidP="004723D1">
            <w:pPr>
              <w:widowControl w:val="0"/>
              <w:autoSpaceDE w:val="0"/>
              <w:autoSpaceDN w:val="0"/>
              <w:adjustRightInd w:val="0"/>
              <w:jc w:val="both"/>
              <w:rPr>
                <w:szCs w:val="22"/>
                <w:lang w:val="nl-BE" w:bidi="he-IL"/>
              </w:rPr>
            </w:pPr>
            <w:r w:rsidRPr="004723D1">
              <w:rPr>
                <w:szCs w:val="22"/>
                <w:lang w:val="nl-BE" w:bidi="he-IL"/>
              </w:rPr>
              <w:t> </w:t>
            </w:r>
          </w:p>
        </w:tc>
        <w:tc>
          <w:tcPr>
            <w:tcW w:w="850" w:type="dxa"/>
            <w:tcBorders>
              <w:top w:val="nil"/>
              <w:left w:val="nil"/>
              <w:bottom w:val="single" w:sz="4" w:space="0" w:color="auto"/>
              <w:right w:val="nil"/>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2010</w:t>
            </w:r>
          </w:p>
        </w:tc>
        <w:tc>
          <w:tcPr>
            <w:tcW w:w="1134" w:type="dxa"/>
            <w:tcBorders>
              <w:top w:val="nil"/>
              <w:left w:val="single" w:sz="8" w:space="0" w:color="auto"/>
              <w:bottom w:val="single" w:sz="4"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1</w:t>
            </w:r>
          </w:p>
        </w:tc>
        <w:tc>
          <w:tcPr>
            <w:tcW w:w="851" w:type="dxa"/>
            <w:tcBorders>
              <w:top w:val="nil"/>
              <w:left w:val="single" w:sz="4" w:space="0" w:color="auto"/>
              <w:bottom w:val="single" w:sz="4"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5</w:t>
            </w:r>
          </w:p>
        </w:tc>
        <w:tc>
          <w:tcPr>
            <w:tcW w:w="1559" w:type="dxa"/>
            <w:tcBorders>
              <w:top w:val="nil"/>
              <w:left w:val="single" w:sz="4" w:space="0" w:color="auto"/>
              <w:bottom w:val="single" w:sz="4" w:space="0" w:color="auto"/>
              <w:right w:val="single" w:sz="4" w:space="0" w:color="auto"/>
            </w:tcBorders>
            <w:vAlign w:val="bottom"/>
          </w:tcPr>
          <w:p w:rsidR="00CF44FD" w:rsidRPr="004723D1" w:rsidRDefault="00CF44FD" w:rsidP="004723D1">
            <w:pPr>
              <w:widowControl w:val="0"/>
              <w:autoSpaceDE w:val="0"/>
              <w:autoSpaceDN w:val="0"/>
              <w:adjustRightInd w:val="0"/>
              <w:jc w:val="center"/>
              <w:rPr>
                <w:szCs w:val="22"/>
                <w:lang w:val="nl-BE" w:bidi="he-IL"/>
              </w:rPr>
            </w:pPr>
            <w:r w:rsidRPr="004723D1">
              <w:rPr>
                <w:szCs w:val="22"/>
                <w:lang w:val="nl-BE" w:bidi="he-IL"/>
              </w:rPr>
              <w:t>6</w:t>
            </w:r>
          </w:p>
        </w:tc>
      </w:tr>
      <w:tr w:rsidR="00CF44FD" w:rsidRPr="004723D1" w:rsidTr="00994EEB">
        <w:trPr>
          <w:trHeight w:val="270"/>
        </w:trPr>
        <w:tc>
          <w:tcPr>
            <w:tcW w:w="1782" w:type="dxa"/>
            <w:tcBorders>
              <w:top w:val="nil"/>
              <w:left w:val="single" w:sz="4" w:space="0" w:color="auto"/>
              <w:bottom w:val="single" w:sz="4" w:space="0" w:color="auto"/>
              <w:right w:val="single" w:sz="8" w:space="0" w:color="auto"/>
            </w:tcBorders>
            <w:shd w:val="clear" w:color="auto" w:fill="BFBFBF"/>
            <w:vAlign w:val="bottom"/>
          </w:tcPr>
          <w:p w:rsidR="00CF44FD" w:rsidRPr="004723D1" w:rsidRDefault="00CF44FD" w:rsidP="00AE32E0">
            <w:pPr>
              <w:widowControl w:val="0"/>
              <w:autoSpaceDE w:val="0"/>
              <w:autoSpaceDN w:val="0"/>
              <w:adjustRightInd w:val="0"/>
              <w:jc w:val="both"/>
              <w:rPr>
                <w:szCs w:val="22"/>
                <w:lang w:val="nl-BE" w:bidi="he-IL"/>
              </w:rPr>
            </w:pPr>
            <w:r>
              <w:rPr>
                <w:szCs w:val="22"/>
                <w:lang w:val="nl-BE" w:bidi="he-IL"/>
              </w:rPr>
              <w:t>Totaal:</w:t>
            </w:r>
          </w:p>
        </w:tc>
        <w:tc>
          <w:tcPr>
            <w:tcW w:w="850" w:type="dxa"/>
            <w:tcBorders>
              <w:top w:val="nil"/>
              <w:left w:val="nil"/>
              <w:bottom w:val="single" w:sz="4" w:space="0" w:color="auto"/>
              <w:right w:val="nil"/>
            </w:tcBorders>
            <w:shd w:val="clear" w:color="auto" w:fill="BFBFBF"/>
            <w:vAlign w:val="bottom"/>
          </w:tcPr>
          <w:p w:rsidR="00CF44FD" w:rsidRPr="004723D1" w:rsidRDefault="00CF44FD" w:rsidP="00994EEB">
            <w:pPr>
              <w:widowControl w:val="0"/>
              <w:autoSpaceDE w:val="0"/>
              <w:autoSpaceDN w:val="0"/>
              <w:adjustRightInd w:val="0"/>
              <w:jc w:val="center"/>
              <w:rPr>
                <w:szCs w:val="22"/>
                <w:lang w:val="nl-BE" w:bidi="he-IL"/>
              </w:rPr>
            </w:pPr>
          </w:p>
        </w:tc>
        <w:tc>
          <w:tcPr>
            <w:tcW w:w="1134" w:type="dxa"/>
            <w:tcBorders>
              <w:top w:val="nil"/>
              <w:left w:val="single" w:sz="8" w:space="0" w:color="auto"/>
              <w:bottom w:val="single" w:sz="4" w:space="0" w:color="auto"/>
              <w:right w:val="single" w:sz="4" w:space="0" w:color="auto"/>
            </w:tcBorders>
            <w:shd w:val="clear" w:color="auto" w:fill="BFBFBF"/>
            <w:vAlign w:val="bottom"/>
          </w:tcPr>
          <w:p w:rsidR="00CF44FD" w:rsidRPr="004723D1" w:rsidRDefault="00CF44FD" w:rsidP="00994EEB">
            <w:pPr>
              <w:widowControl w:val="0"/>
              <w:autoSpaceDE w:val="0"/>
              <w:autoSpaceDN w:val="0"/>
              <w:adjustRightInd w:val="0"/>
              <w:jc w:val="center"/>
              <w:rPr>
                <w:szCs w:val="22"/>
                <w:lang w:val="nl-BE" w:bidi="he-IL"/>
              </w:rPr>
            </w:pPr>
            <w:r>
              <w:rPr>
                <w:szCs w:val="22"/>
                <w:lang w:val="nl-BE" w:bidi="he-IL"/>
              </w:rPr>
              <w:t>28</w:t>
            </w:r>
          </w:p>
        </w:tc>
        <w:tc>
          <w:tcPr>
            <w:tcW w:w="851" w:type="dxa"/>
            <w:tcBorders>
              <w:top w:val="nil"/>
              <w:left w:val="single" w:sz="4" w:space="0" w:color="auto"/>
              <w:bottom w:val="single" w:sz="4" w:space="0" w:color="auto"/>
              <w:right w:val="single" w:sz="4" w:space="0" w:color="auto"/>
            </w:tcBorders>
            <w:shd w:val="clear" w:color="auto" w:fill="BFBFBF"/>
            <w:vAlign w:val="bottom"/>
          </w:tcPr>
          <w:p w:rsidR="00CF44FD" w:rsidRPr="004723D1" w:rsidRDefault="00CF44FD" w:rsidP="00994EEB">
            <w:pPr>
              <w:widowControl w:val="0"/>
              <w:autoSpaceDE w:val="0"/>
              <w:autoSpaceDN w:val="0"/>
              <w:adjustRightInd w:val="0"/>
              <w:jc w:val="center"/>
              <w:rPr>
                <w:szCs w:val="22"/>
                <w:lang w:val="nl-BE" w:bidi="he-IL"/>
              </w:rPr>
            </w:pPr>
            <w:r>
              <w:rPr>
                <w:szCs w:val="22"/>
                <w:lang w:val="nl-BE" w:bidi="he-IL"/>
              </w:rPr>
              <w:t>17</w:t>
            </w:r>
          </w:p>
        </w:tc>
        <w:tc>
          <w:tcPr>
            <w:tcW w:w="1559" w:type="dxa"/>
            <w:tcBorders>
              <w:top w:val="nil"/>
              <w:left w:val="single" w:sz="4" w:space="0" w:color="auto"/>
              <w:bottom w:val="single" w:sz="4" w:space="0" w:color="auto"/>
              <w:right w:val="single" w:sz="4" w:space="0" w:color="auto"/>
            </w:tcBorders>
            <w:shd w:val="clear" w:color="auto" w:fill="BFBFBF"/>
            <w:vAlign w:val="bottom"/>
          </w:tcPr>
          <w:p w:rsidR="00CF44FD" w:rsidRPr="004723D1" w:rsidRDefault="00CF44FD" w:rsidP="00994EEB">
            <w:pPr>
              <w:widowControl w:val="0"/>
              <w:autoSpaceDE w:val="0"/>
              <w:autoSpaceDN w:val="0"/>
              <w:adjustRightInd w:val="0"/>
              <w:jc w:val="center"/>
              <w:rPr>
                <w:szCs w:val="22"/>
                <w:lang w:val="nl-BE" w:bidi="he-IL"/>
              </w:rPr>
            </w:pPr>
            <w:r>
              <w:rPr>
                <w:szCs w:val="22"/>
                <w:lang w:val="nl-BE" w:bidi="he-IL"/>
              </w:rPr>
              <w:t>45</w:t>
            </w:r>
          </w:p>
        </w:tc>
      </w:tr>
    </w:tbl>
    <w:p w:rsidR="00CF44FD" w:rsidRPr="004723D1" w:rsidRDefault="00CF44FD" w:rsidP="004723D1">
      <w:pPr>
        <w:widowControl w:val="0"/>
        <w:autoSpaceDE w:val="0"/>
        <w:autoSpaceDN w:val="0"/>
        <w:adjustRightInd w:val="0"/>
        <w:jc w:val="both"/>
        <w:rPr>
          <w:szCs w:val="22"/>
          <w:lang w:bidi="he-IL"/>
        </w:rPr>
      </w:pPr>
    </w:p>
    <w:p w:rsidR="00CF44FD" w:rsidRDefault="00CF44FD" w:rsidP="004723D1">
      <w:pPr>
        <w:widowControl w:val="0"/>
        <w:tabs>
          <w:tab w:val="left" w:pos="360"/>
        </w:tabs>
        <w:autoSpaceDE w:val="0"/>
        <w:autoSpaceDN w:val="0"/>
        <w:adjustRightInd w:val="0"/>
        <w:ind w:left="360" w:hanging="360"/>
        <w:jc w:val="both"/>
        <w:rPr>
          <w:szCs w:val="22"/>
          <w:lang w:bidi="he-IL"/>
        </w:rPr>
      </w:pPr>
      <w:r w:rsidRPr="004723D1">
        <w:rPr>
          <w:szCs w:val="22"/>
          <w:lang w:bidi="he-IL"/>
        </w:rPr>
        <w:t>2.</w:t>
      </w:r>
      <w:r w:rsidRPr="004723D1">
        <w:rPr>
          <w:szCs w:val="22"/>
          <w:lang w:bidi="he-IL"/>
        </w:rPr>
        <w:tab/>
      </w:r>
      <w:r>
        <w:rPr>
          <w:szCs w:val="22"/>
          <w:lang w:bidi="he-IL"/>
        </w:rPr>
        <w:t>Het beoordelen van de stedenbouwkundige vergunningsaanvraag gebeurt conform de bepalingen van de Vlaamse Codex Ruimtelijke Ordening (VCRO). Op hoofdlijnen kan ik hierop antwoorden dat er naast een beoordeling van de verenigbaarheid van de aanvraag met de geldende bestemmin</w:t>
      </w:r>
      <w:r>
        <w:rPr>
          <w:szCs w:val="22"/>
          <w:lang w:bidi="he-IL"/>
        </w:rPr>
        <w:softHyphen/>
        <w:t>gen er ook een opportuniteitsbeoordeling (de beoordeling van de “goede ruimtelijke ordening”) wordt doorgevoerd. Ook wordt bekeken of er al of niet toepassing kan worden gemaakt van de verschillende afwijkingsbepalingen die in de VCRO zijn voorzien.</w:t>
      </w:r>
    </w:p>
    <w:p w:rsidR="00CF44FD" w:rsidRDefault="00CF44FD" w:rsidP="009D4C2E">
      <w:pPr>
        <w:widowControl w:val="0"/>
        <w:tabs>
          <w:tab w:val="left" w:pos="360"/>
        </w:tabs>
        <w:autoSpaceDE w:val="0"/>
        <w:autoSpaceDN w:val="0"/>
        <w:adjustRightInd w:val="0"/>
        <w:jc w:val="both"/>
        <w:rPr>
          <w:szCs w:val="22"/>
          <w:lang w:bidi="he-IL"/>
        </w:rPr>
      </w:pPr>
    </w:p>
    <w:p w:rsidR="00CF44FD" w:rsidRDefault="00CF44FD" w:rsidP="00EC1E26">
      <w:pPr>
        <w:widowControl w:val="0"/>
        <w:tabs>
          <w:tab w:val="left" w:pos="360"/>
        </w:tabs>
        <w:autoSpaceDE w:val="0"/>
        <w:autoSpaceDN w:val="0"/>
        <w:adjustRightInd w:val="0"/>
        <w:ind w:left="360" w:hanging="360"/>
        <w:jc w:val="both"/>
        <w:rPr>
          <w:szCs w:val="22"/>
          <w:lang w:bidi="he-IL"/>
        </w:rPr>
      </w:pPr>
      <w:r>
        <w:rPr>
          <w:szCs w:val="22"/>
          <w:lang w:bidi="he-IL"/>
        </w:rPr>
        <w:tab/>
        <w:t>De omzendbrief betreffende de inrichting en de toepassing van de ontwerpgewestplannen en ge</w:t>
      </w:r>
      <w:r>
        <w:rPr>
          <w:szCs w:val="22"/>
          <w:lang w:bidi="he-IL"/>
        </w:rPr>
        <w:softHyphen/>
        <w:t>westplannen van 8 juli 1997 (meermaals gewijzigd) bevat diverse bepalingen met betrekking tot paardenhouderijen. Voor vergunningsaanvragen die geen betrekking hebben op de effectieve be</w:t>
      </w:r>
      <w:r>
        <w:rPr>
          <w:szCs w:val="22"/>
          <w:lang w:bidi="he-IL"/>
        </w:rPr>
        <w:softHyphen/>
        <w:t>roepslandbouwbedrijven is de omzendbrief RO/2002/01 relevant. Ook het besluit van de Vlaamse Regering van 29 mei 2009 (meermaals gewijzigd) tot bepaling van de toelaatbare functiewijzi</w:t>
      </w:r>
      <w:r>
        <w:rPr>
          <w:szCs w:val="22"/>
          <w:lang w:bidi="he-IL"/>
        </w:rPr>
        <w:softHyphen/>
        <w:t>gin</w:t>
      </w:r>
      <w:r>
        <w:rPr>
          <w:szCs w:val="22"/>
          <w:lang w:bidi="he-IL"/>
        </w:rPr>
        <w:softHyphen/>
        <w:t>gen voor gebouwen gelegen buiten de geëigende bestemmingszone is in deze context van belang.</w:t>
      </w:r>
    </w:p>
    <w:p w:rsidR="00CF44FD" w:rsidRDefault="00CF44FD" w:rsidP="00EC1E26">
      <w:pPr>
        <w:widowControl w:val="0"/>
        <w:tabs>
          <w:tab w:val="left" w:pos="360"/>
        </w:tabs>
        <w:autoSpaceDE w:val="0"/>
        <w:autoSpaceDN w:val="0"/>
        <w:adjustRightInd w:val="0"/>
        <w:ind w:left="360" w:hanging="360"/>
        <w:jc w:val="both"/>
        <w:rPr>
          <w:szCs w:val="22"/>
          <w:lang w:bidi="he-IL"/>
        </w:rPr>
      </w:pPr>
    </w:p>
    <w:p w:rsidR="00CF44FD" w:rsidRPr="00EC1E26" w:rsidRDefault="00CF44FD" w:rsidP="00EC1E26">
      <w:pPr>
        <w:widowControl w:val="0"/>
        <w:tabs>
          <w:tab w:val="left" w:pos="360"/>
        </w:tabs>
        <w:autoSpaceDE w:val="0"/>
        <w:autoSpaceDN w:val="0"/>
        <w:adjustRightInd w:val="0"/>
        <w:ind w:left="360" w:hanging="360"/>
        <w:jc w:val="both"/>
        <w:rPr>
          <w:szCs w:val="22"/>
          <w:lang w:bidi="he-IL"/>
        </w:rPr>
      </w:pPr>
      <w:r>
        <w:rPr>
          <w:szCs w:val="22"/>
          <w:lang w:bidi="he-IL"/>
        </w:rPr>
        <w:tab/>
        <w:t>Bij de beoordeling van de stedenbouwkundige vergunningsaanvragen baseert het Agentschap Ruim</w:t>
      </w:r>
      <w:r>
        <w:rPr>
          <w:szCs w:val="22"/>
          <w:lang w:bidi="he-IL"/>
        </w:rPr>
        <w:softHyphen/>
        <w:t>te en Erfgoed zich in belangrijke mate op het advies van de Afdeling Duurzame Landbouw</w:t>
      </w:r>
      <w:r>
        <w:rPr>
          <w:szCs w:val="22"/>
          <w:lang w:bidi="he-IL"/>
        </w:rPr>
        <w:softHyphen/>
        <w:t>ontwikkeling.</w:t>
      </w:r>
    </w:p>
    <w:p w:rsidR="00CF44FD" w:rsidRPr="00E85373" w:rsidRDefault="00CF44FD" w:rsidP="009D4C2E">
      <w:pPr>
        <w:widowControl w:val="0"/>
        <w:tabs>
          <w:tab w:val="left" w:pos="360"/>
        </w:tabs>
        <w:autoSpaceDE w:val="0"/>
        <w:autoSpaceDN w:val="0"/>
        <w:adjustRightInd w:val="0"/>
        <w:ind w:left="360" w:hanging="360"/>
        <w:jc w:val="both"/>
        <w:rPr>
          <w:szCs w:val="22"/>
          <w:lang w:bidi="he-IL"/>
        </w:rPr>
      </w:pPr>
    </w:p>
    <w:p w:rsidR="00CF44FD" w:rsidRDefault="00CF44FD" w:rsidP="00F74B7C">
      <w:pPr>
        <w:widowControl w:val="0"/>
        <w:tabs>
          <w:tab w:val="left" w:pos="360"/>
        </w:tabs>
        <w:autoSpaceDE w:val="0"/>
        <w:autoSpaceDN w:val="0"/>
        <w:adjustRightInd w:val="0"/>
        <w:ind w:left="360" w:hanging="360"/>
        <w:jc w:val="both"/>
        <w:rPr>
          <w:szCs w:val="22"/>
        </w:rPr>
      </w:pPr>
      <w:r>
        <w:rPr>
          <w:szCs w:val="22"/>
          <w:lang w:bidi="he-IL"/>
        </w:rPr>
        <w:br w:type="page"/>
      </w:r>
      <w:r w:rsidRPr="004723D1">
        <w:rPr>
          <w:szCs w:val="22"/>
          <w:lang w:bidi="he-IL"/>
        </w:rPr>
        <w:t>3.</w:t>
      </w:r>
      <w:r w:rsidRPr="004723D1">
        <w:rPr>
          <w:szCs w:val="22"/>
          <w:lang w:bidi="he-IL"/>
        </w:rPr>
        <w:tab/>
      </w:r>
      <w:r w:rsidRPr="004723D1">
        <w:rPr>
          <w:szCs w:val="22"/>
        </w:rPr>
        <w:t xml:space="preserve">De </w:t>
      </w:r>
      <w:r>
        <w:rPr>
          <w:szCs w:val="22"/>
        </w:rPr>
        <w:t>A</w:t>
      </w:r>
      <w:r w:rsidRPr="004723D1">
        <w:rPr>
          <w:szCs w:val="22"/>
        </w:rPr>
        <w:t>fdeling Duurzame Landbouwontwikkeling van het departement Landbouw en Visserij moet om advies gevraagd voor alle aanvragen die verband houden met landbouw, alsook voor alle steden</w:t>
      </w:r>
      <w:r>
        <w:rPr>
          <w:szCs w:val="22"/>
        </w:rPr>
        <w:softHyphen/>
      </w:r>
      <w:r w:rsidRPr="004723D1">
        <w:rPr>
          <w:szCs w:val="22"/>
        </w:rPr>
        <w:t>bouwkundige aanvragen waarbij toepassing wordt gemaakt van de bepalingen van artikel 4.4.6, artikel 4.4.10 tot en met 4.4.23, en artikel 4.4.26, §2, van de VCRO, in gebieden die een agrarische bestemming hebben. Bij de adviesverlening wordt in de eerste plaats de regelgeving ruimtelijke ordening toegepast. Binnen dit wettelijk kader zijn er, gezien de vele complexe dos</w:t>
      </w:r>
      <w:r>
        <w:rPr>
          <w:szCs w:val="22"/>
        </w:rPr>
        <w:softHyphen/>
      </w:r>
      <w:r w:rsidRPr="004723D1">
        <w:rPr>
          <w:szCs w:val="22"/>
        </w:rPr>
        <w:t>siers, nog appreciatiemogelijkheden bij de advisering van de aanvragen van stedenbouwkundige vergunningen. Om deze appreciatiemogelijkheden bij de advisering van de aanvragen van de ste</w:t>
      </w:r>
      <w:r>
        <w:rPr>
          <w:szCs w:val="22"/>
        </w:rPr>
        <w:softHyphen/>
      </w:r>
      <w:r w:rsidRPr="004723D1">
        <w:rPr>
          <w:szCs w:val="22"/>
        </w:rPr>
        <w:t>denbouwkundige vergunningen door de afdeling Duurzame Landbouwontwikkeling zo beperkt en zo uniform mogelijk te houden hanteert de afdeling het zogenaamde beoordelingskader.</w:t>
      </w:r>
    </w:p>
    <w:p w:rsidR="00CF44FD" w:rsidRDefault="00CF44FD" w:rsidP="00F74B7C">
      <w:pPr>
        <w:widowControl w:val="0"/>
        <w:tabs>
          <w:tab w:val="left" w:pos="360"/>
        </w:tabs>
        <w:autoSpaceDE w:val="0"/>
        <w:autoSpaceDN w:val="0"/>
        <w:adjustRightInd w:val="0"/>
        <w:ind w:left="360" w:hanging="360"/>
        <w:jc w:val="both"/>
        <w:rPr>
          <w:szCs w:val="22"/>
        </w:rPr>
      </w:pPr>
    </w:p>
    <w:p w:rsidR="00CF44FD" w:rsidRDefault="00CF44FD" w:rsidP="009D4C2E">
      <w:pPr>
        <w:pStyle w:val="Heading1"/>
        <w:spacing w:before="0" w:after="0"/>
        <w:ind w:left="360"/>
        <w:jc w:val="both"/>
        <w:rPr>
          <w:rFonts w:ascii="Times New Roman" w:hAnsi="Times New Roman" w:cs="Times New Roman"/>
          <w:b w:val="0"/>
          <w:kern w:val="0"/>
          <w:sz w:val="22"/>
          <w:szCs w:val="22"/>
          <w:lang w:bidi="he-IL"/>
        </w:rPr>
      </w:pPr>
      <w:r w:rsidRPr="009D4C2E">
        <w:rPr>
          <w:rFonts w:ascii="Times New Roman" w:hAnsi="Times New Roman" w:cs="Times New Roman"/>
          <w:b w:val="0"/>
          <w:kern w:val="0"/>
          <w:sz w:val="22"/>
          <w:szCs w:val="22"/>
          <w:lang w:bidi="he-IL"/>
        </w:rPr>
        <w:t xml:space="preserve">In 2010 werd het beoordelingskader voor stedenbouwkundige aanvragen in het agrarisch gebied, met inbegrip van de aanvragen in het kader van de paardenhouderij, aangepast. In het voorjaar van 2011 zal een brochure betreffende deze problematiek worden gepubliceerd. </w:t>
      </w:r>
      <w:r>
        <w:rPr>
          <w:rFonts w:ascii="Times New Roman" w:hAnsi="Times New Roman" w:cs="Times New Roman"/>
          <w:b w:val="0"/>
          <w:kern w:val="0"/>
          <w:sz w:val="22"/>
          <w:szCs w:val="22"/>
          <w:lang w:bidi="he-IL"/>
        </w:rPr>
        <w:t>Het aangepaste beoor</w:t>
      </w:r>
      <w:r>
        <w:rPr>
          <w:rFonts w:ascii="Times New Roman" w:hAnsi="Times New Roman" w:cs="Times New Roman"/>
          <w:b w:val="0"/>
          <w:kern w:val="0"/>
          <w:sz w:val="22"/>
          <w:szCs w:val="22"/>
          <w:lang w:bidi="he-IL"/>
        </w:rPr>
        <w:softHyphen/>
        <w:t>delingskader</w:t>
      </w:r>
      <w:r w:rsidRPr="009D4C2E">
        <w:rPr>
          <w:rFonts w:ascii="Times New Roman" w:hAnsi="Times New Roman" w:cs="Times New Roman"/>
          <w:b w:val="0"/>
          <w:kern w:val="0"/>
          <w:sz w:val="22"/>
          <w:szCs w:val="22"/>
          <w:lang w:bidi="he-IL"/>
        </w:rPr>
        <w:t xml:space="preserve"> kwam tot stand in </w:t>
      </w:r>
      <w:r>
        <w:rPr>
          <w:rFonts w:ascii="Times New Roman" w:hAnsi="Times New Roman" w:cs="Times New Roman"/>
          <w:b w:val="0"/>
          <w:kern w:val="0"/>
          <w:sz w:val="22"/>
          <w:szCs w:val="22"/>
          <w:lang w:bidi="he-IL"/>
        </w:rPr>
        <w:t>overleg</w:t>
      </w:r>
      <w:r w:rsidRPr="009D4C2E">
        <w:rPr>
          <w:rFonts w:ascii="Times New Roman" w:hAnsi="Times New Roman" w:cs="Times New Roman"/>
          <w:b w:val="0"/>
          <w:kern w:val="0"/>
          <w:sz w:val="22"/>
          <w:szCs w:val="22"/>
          <w:lang w:bidi="he-IL"/>
        </w:rPr>
        <w:t xml:space="preserve"> met het Departement Ruimtelijke Ordening, afdeling Stedenbouwkundig Beleid en Onroerend Erfgoedbel</w:t>
      </w:r>
      <w:r>
        <w:rPr>
          <w:rFonts w:ascii="Times New Roman" w:hAnsi="Times New Roman" w:cs="Times New Roman"/>
          <w:b w:val="0"/>
          <w:kern w:val="0"/>
          <w:sz w:val="22"/>
          <w:szCs w:val="22"/>
          <w:lang w:bidi="he-IL"/>
        </w:rPr>
        <w:t>eid, het Agentschap Ruimte en Erfgoed en het Vlaams Paardenloket.</w:t>
      </w:r>
    </w:p>
    <w:p w:rsidR="00CF44FD" w:rsidRPr="009D4C2E" w:rsidRDefault="00CF44FD" w:rsidP="009D4C2E">
      <w:pPr>
        <w:rPr>
          <w:lang w:bidi="he-IL"/>
        </w:rPr>
      </w:pPr>
    </w:p>
    <w:p w:rsidR="00CF44FD" w:rsidRPr="009D4C2E" w:rsidRDefault="00CF44FD" w:rsidP="009D4C2E">
      <w:pPr>
        <w:pStyle w:val="Heading1"/>
        <w:spacing w:before="0" w:after="0"/>
        <w:ind w:left="360"/>
        <w:jc w:val="both"/>
        <w:rPr>
          <w:rFonts w:ascii="Times New Roman" w:hAnsi="Times New Roman" w:cs="Times New Roman"/>
          <w:b w:val="0"/>
          <w:kern w:val="0"/>
          <w:sz w:val="22"/>
          <w:szCs w:val="22"/>
          <w:lang w:bidi="he-IL"/>
        </w:rPr>
      </w:pPr>
      <w:r w:rsidRPr="009D4C2E">
        <w:rPr>
          <w:rFonts w:ascii="Times New Roman" w:hAnsi="Times New Roman" w:cs="Times New Roman"/>
          <w:b w:val="0"/>
          <w:kern w:val="0"/>
          <w:sz w:val="22"/>
          <w:szCs w:val="22"/>
          <w:lang w:bidi="he-IL"/>
        </w:rPr>
        <w:t>De paardenhouderij kent een grote diversiteit aan activiteiten. Deze verschillende activiteiten worden onderverdeeld in zuivere landbouwactiviteiten, landbouwaanverwante activiteiten (para-agrarische activiteiten) en recreatieve activiteiten. De paardenfokkerij behoort tot de zuivere land</w:t>
      </w:r>
      <w:r>
        <w:rPr>
          <w:rFonts w:ascii="Times New Roman" w:hAnsi="Times New Roman" w:cs="Times New Roman"/>
          <w:b w:val="0"/>
          <w:kern w:val="0"/>
          <w:sz w:val="22"/>
          <w:szCs w:val="22"/>
          <w:lang w:bidi="he-IL"/>
        </w:rPr>
        <w:softHyphen/>
      </w:r>
      <w:r w:rsidRPr="009D4C2E">
        <w:rPr>
          <w:rFonts w:ascii="Times New Roman" w:hAnsi="Times New Roman" w:cs="Times New Roman"/>
          <w:b w:val="0"/>
          <w:kern w:val="0"/>
          <w:sz w:val="22"/>
          <w:szCs w:val="22"/>
          <w:lang w:bidi="he-IL"/>
        </w:rPr>
        <w:t>bouwactiviteiten. Volgens de Afdeling Duurzame Landbouwontwikkeling dient de paardenfokker daarbij ingeschreven te zijn als landbouwer in hoofd- of bijberoep om tot de beroepslandbouw te behoren.</w:t>
      </w:r>
    </w:p>
    <w:p w:rsidR="00CF44FD" w:rsidRPr="004723D1" w:rsidRDefault="00CF44FD" w:rsidP="004723D1">
      <w:pPr>
        <w:widowControl w:val="0"/>
        <w:autoSpaceDE w:val="0"/>
        <w:autoSpaceDN w:val="0"/>
        <w:adjustRightInd w:val="0"/>
        <w:jc w:val="both"/>
        <w:rPr>
          <w:szCs w:val="22"/>
          <w:lang w:bidi="he-IL"/>
        </w:rPr>
      </w:pPr>
    </w:p>
    <w:p w:rsidR="00CF44FD" w:rsidRPr="004723D1" w:rsidRDefault="00CF44FD" w:rsidP="00F74B7C">
      <w:pPr>
        <w:widowControl w:val="0"/>
        <w:tabs>
          <w:tab w:val="left" w:pos="360"/>
        </w:tabs>
        <w:autoSpaceDE w:val="0"/>
        <w:autoSpaceDN w:val="0"/>
        <w:adjustRightInd w:val="0"/>
        <w:ind w:left="360" w:hanging="360"/>
        <w:jc w:val="both"/>
        <w:rPr>
          <w:szCs w:val="22"/>
          <w:lang w:val="nl-BE" w:bidi="he-IL"/>
        </w:rPr>
      </w:pPr>
      <w:r>
        <w:rPr>
          <w:szCs w:val="22"/>
          <w:lang w:bidi="he-IL"/>
        </w:rPr>
        <w:t>4.</w:t>
      </w:r>
      <w:r>
        <w:rPr>
          <w:szCs w:val="22"/>
          <w:lang w:bidi="he-IL"/>
        </w:rPr>
        <w:tab/>
      </w:r>
      <w:r w:rsidRPr="004723D1">
        <w:rPr>
          <w:szCs w:val="22"/>
          <w:lang w:val="nl-BE" w:bidi="he-IL"/>
        </w:rPr>
        <w:t>In het voorjaar 2011 zal de brochure “Paardenhouderij en stedenbouwkundige vergunningen in het agrarisch gebied” gepubliceerd worden. Hierin wordt duidelijk vermeld aan welke voorwaarden moet voldaan zijn bij diverse stedenbouwkundige aanvragen in het agrarisch gebied in functie van de paardenhouderij.</w:t>
      </w:r>
    </w:p>
    <w:p w:rsidR="00CF44FD" w:rsidRPr="004723D1" w:rsidRDefault="00CF44FD" w:rsidP="004723D1">
      <w:pPr>
        <w:widowControl w:val="0"/>
        <w:autoSpaceDE w:val="0"/>
        <w:autoSpaceDN w:val="0"/>
        <w:adjustRightInd w:val="0"/>
        <w:jc w:val="both"/>
        <w:rPr>
          <w:szCs w:val="22"/>
          <w:lang w:bidi="he-IL"/>
        </w:rPr>
      </w:pPr>
    </w:p>
    <w:p w:rsidR="00CF44FD" w:rsidRPr="004723D1" w:rsidRDefault="00CF44FD" w:rsidP="009D4C2E">
      <w:pPr>
        <w:widowControl w:val="0"/>
        <w:tabs>
          <w:tab w:val="left" w:pos="360"/>
        </w:tabs>
        <w:autoSpaceDE w:val="0"/>
        <w:autoSpaceDN w:val="0"/>
        <w:adjustRightInd w:val="0"/>
        <w:ind w:left="360" w:hanging="360"/>
        <w:jc w:val="both"/>
      </w:pPr>
      <w:r>
        <w:rPr>
          <w:szCs w:val="22"/>
          <w:lang w:bidi="he-IL"/>
        </w:rPr>
        <w:t>5.</w:t>
      </w:r>
      <w:r>
        <w:rPr>
          <w:szCs w:val="22"/>
          <w:lang w:bidi="he-IL"/>
        </w:rPr>
        <w:tab/>
      </w:r>
      <w:r w:rsidRPr="004723D1">
        <w:rPr>
          <w:szCs w:val="22"/>
          <w:lang w:val="nl-BE" w:bidi="he-IL"/>
        </w:rPr>
        <w:t xml:space="preserve">Vanuit landbouwkundig standpunt </w:t>
      </w:r>
      <w:r>
        <w:rPr>
          <w:szCs w:val="22"/>
          <w:lang w:val="nl-BE" w:bidi="he-IL"/>
        </w:rPr>
        <w:t xml:space="preserve">is </w:t>
      </w:r>
      <w:r w:rsidRPr="004723D1">
        <w:rPr>
          <w:szCs w:val="22"/>
          <w:lang w:val="nl-BE" w:bidi="he-IL"/>
        </w:rPr>
        <w:t>een volwaardig en leefbaar landbouwbedrijf (paardenfokke</w:t>
      </w:r>
      <w:r>
        <w:rPr>
          <w:szCs w:val="22"/>
          <w:lang w:val="nl-BE" w:bidi="he-IL"/>
        </w:rPr>
        <w:softHyphen/>
      </w:r>
      <w:r w:rsidRPr="004723D1">
        <w:rPr>
          <w:szCs w:val="22"/>
          <w:lang w:val="nl-BE" w:bidi="he-IL"/>
        </w:rPr>
        <w:t xml:space="preserve">rij) in uitbating op de site </w:t>
      </w:r>
      <w:r>
        <w:rPr>
          <w:szCs w:val="22"/>
          <w:lang w:val="nl-BE" w:bidi="he-IL"/>
        </w:rPr>
        <w:t>een prioritaire voorwaarde vo</w:t>
      </w:r>
      <w:r w:rsidRPr="004723D1">
        <w:rPr>
          <w:szCs w:val="22"/>
          <w:lang w:val="nl-BE" w:bidi="he-IL"/>
        </w:rPr>
        <w:t xml:space="preserve">or de </w:t>
      </w:r>
      <w:r>
        <w:rPr>
          <w:szCs w:val="22"/>
          <w:lang w:val="nl-BE" w:bidi="he-IL"/>
        </w:rPr>
        <w:t xml:space="preserve">goedkeuring van een </w:t>
      </w:r>
      <w:r w:rsidRPr="004723D1">
        <w:rPr>
          <w:szCs w:val="22"/>
          <w:lang w:val="nl-BE" w:bidi="he-IL"/>
        </w:rPr>
        <w:t>nieuwbouw van een bedrijfswoning. De reden hiervoor is dat vermeden moet worden dat zelfs bij elke solitair gelegen stal in het agrarisch gebied een nieuwe woning zou kunnen opgericht worden, onder het mom van een to</w:t>
      </w:r>
      <w:r>
        <w:rPr>
          <w:szCs w:val="22"/>
          <w:lang w:val="nl-BE" w:bidi="he-IL"/>
        </w:rPr>
        <w:t>ekomstgerichte paardenfokkerij.</w:t>
      </w:r>
    </w:p>
    <w:sectPr w:rsidR="00CF44FD" w:rsidRPr="004723D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FD" w:rsidRDefault="00CF44FD" w:rsidP="00C2611B">
      <w:r>
        <w:separator/>
      </w:r>
    </w:p>
  </w:endnote>
  <w:endnote w:type="continuationSeparator" w:id="1">
    <w:p w:rsidR="00CF44FD" w:rsidRDefault="00CF44FD" w:rsidP="00C2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FD" w:rsidRDefault="00CF44FD" w:rsidP="00C2611B">
      <w:r>
        <w:separator/>
      </w:r>
    </w:p>
  </w:footnote>
  <w:footnote w:type="continuationSeparator" w:id="1">
    <w:p w:rsidR="00CF44FD" w:rsidRDefault="00CF44FD" w:rsidP="00C26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AD7"/>
    <w:multiLevelType w:val="hybridMultilevel"/>
    <w:tmpl w:val="F67EEA0C"/>
    <w:lvl w:ilvl="0" w:tplc="85ACB574">
      <w:start w:val="23"/>
      <w:numFmt w:val="bullet"/>
      <w:lvlText w:val="-"/>
      <w:lvlJc w:val="left"/>
      <w:pPr>
        <w:tabs>
          <w:tab w:val="num" w:pos="170"/>
        </w:tabs>
        <w:ind w:left="170" w:hanging="170"/>
      </w:pPr>
      <w:rPr>
        <w:rFonts w:ascii="Times New Roman" w:hAnsi="Times New Roman" w:hint="default"/>
        <w:b w:val="0"/>
        <w:i w:val="0"/>
        <w:sz w:val="22"/>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97D3A2B"/>
    <w:multiLevelType w:val="hybridMultilevel"/>
    <w:tmpl w:val="816A1E74"/>
    <w:lvl w:ilvl="0" w:tplc="6FBC1768">
      <w:start w:val="1"/>
      <w:numFmt w:val="bullet"/>
      <w:lvlText w:val="-"/>
      <w:lvlJc w:val="left"/>
      <w:pPr>
        <w:tabs>
          <w:tab w:val="num" w:pos="1776"/>
        </w:tabs>
        <w:ind w:left="1776" w:hanging="360"/>
      </w:pPr>
      <w:rPr>
        <w:rFonts w:ascii="Arial" w:eastAsia="Times New Roman" w:hAnsi="Arial" w:hint="default"/>
      </w:rPr>
    </w:lvl>
    <w:lvl w:ilvl="1" w:tplc="04130003">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
    <w:nsid w:val="107163BF"/>
    <w:multiLevelType w:val="hybridMultilevel"/>
    <w:tmpl w:val="6EAE9A8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120D2AF4"/>
    <w:multiLevelType w:val="hybridMultilevel"/>
    <w:tmpl w:val="19342FB4"/>
    <w:lvl w:ilvl="0" w:tplc="6FBC1768">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3A57E9"/>
    <w:multiLevelType w:val="hybridMultilevel"/>
    <w:tmpl w:val="D2DA79A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21B30907"/>
    <w:multiLevelType w:val="hybridMultilevel"/>
    <w:tmpl w:val="F830D2B8"/>
    <w:lvl w:ilvl="0" w:tplc="FC5A9FB8">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3AA2F00"/>
    <w:multiLevelType w:val="hybridMultilevel"/>
    <w:tmpl w:val="1C1CA426"/>
    <w:lvl w:ilvl="0" w:tplc="6A081DEC">
      <w:start w:val="7"/>
      <w:numFmt w:val="bullet"/>
      <w:lvlText w:val="-"/>
      <w:lvlJc w:val="left"/>
      <w:pPr>
        <w:tabs>
          <w:tab w:val="num" w:pos="1065"/>
        </w:tabs>
        <w:ind w:left="1065" w:hanging="705"/>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8960CB2"/>
    <w:multiLevelType w:val="hybridMultilevel"/>
    <w:tmpl w:val="6EE016AE"/>
    <w:lvl w:ilvl="0" w:tplc="6FBC1768">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75C462E"/>
    <w:multiLevelType w:val="hybridMultilevel"/>
    <w:tmpl w:val="20CA7068"/>
    <w:lvl w:ilvl="0" w:tplc="6FBC1768">
      <w:start w:val="1"/>
      <w:numFmt w:val="bullet"/>
      <w:lvlText w:val="-"/>
      <w:lvlJc w:val="left"/>
      <w:pPr>
        <w:tabs>
          <w:tab w:val="num" w:pos="720"/>
        </w:tabs>
        <w:ind w:left="720" w:hanging="360"/>
      </w:pPr>
      <w:rPr>
        <w:rFonts w:ascii="Arial" w:eastAsia="Times New Roman" w:hAnsi="Arial" w:hint="default"/>
      </w:rPr>
    </w:lvl>
    <w:lvl w:ilvl="1" w:tplc="62AA78AA">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0">
    <w:nsid w:val="642E7DFF"/>
    <w:multiLevelType w:val="hybridMultilevel"/>
    <w:tmpl w:val="1E6C590C"/>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79E75A51"/>
    <w:multiLevelType w:val="hybridMultilevel"/>
    <w:tmpl w:val="447244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990"/>
        </w:tabs>
        <w:ind w:left="990" w:hanging="360"/>
      </w:pPr>
      <w:rPr>
        <w:rFonts w:cs="Times New Roman"/>
      </w:rPr>
    </w:lvl>
    <w:lvl w:ilvl="2" w:tplc="0413001B" w:tentative="1">
      <w:start w:val="1"/>
      <w:numFmt w:val="lowerRoman"/>
      <w:lvlText w:val="%3."/>
      <w:lvlJc w:val="right"/>
      <w:pPr>
        <w:tabs>
          <w:tab w:val="num" w:pos="1710"/>
        </w:tabs>
        <w:ind w:left="1710" w:hanging="180"/>
      </w:pPr>
      <w:rPr>
        <w:rFonts w:cs="Times New Roman"/>
      </w:rPr>
    </w:lvl>
    <w:lvl w:ilvl="3" w:tplc="0413000F" w:tentative="1">
      <w:start w:val="1"/>
      <w:numFmt w:val="decimal"/>
      <w:lvlText w:val="%4."/>
      <w:lvlJc w:val="left"/>
      <w:pPr>
        <w:tabs>
          <w:tab w:val="num" w:pos="2430"/>
        </w:tabs>
        <w:ind w:left="2430" w:hanging="360"/>
      </w:pPr>
      <w:rPr>
        <w:rFonts w:cs="Times New Roman"/>
      </w:rPr>
    </w:lvl>
    <w:lvl w:ilvl="4" w:tplc="04130019" w:tentative="1">
      <w:start w:val="1"/>
      <w:numFmt w:val="lowerLetter"/>
      <w:lvlText w:val="%5."/>
      <w:lvlJc w:val="left"/>
      <w:pPr>
        <w:tabs>
          <w:tab w:val="num" w:pos="3150"/>
        </w:tabs>
        <w:ind w:left="3150" w:hanging="360"/>
      </w:pPr>
      <w:rPr>
        <w:rFonts w:cs="Times New Roman"/>
      </w:rPr>
    </w:lvl>
    <w:lvl w:ilvl="5" w:tplc="0413001B" w:tentative="1">
      <w:start w:val="1"/>
      <w:numFmt w:val="lowerRoman"/>
      <w:lvlText w:val="%6."/>
      <w:lvlJc w:val="right"/>
      <w:pPr>
        <w:tabs>
          <w:tab w:val="num" w:pos="3870"/>
        </w:tabs>
        <w:ind w:left="3870" w:hanging="180"/>
      </w:pPr>
      <w:rPr>
        <w:rFonts w:cs="Times New Roman"/>
      </w:rPr>
    </w:lvl>
    <w:lvl w:ilvl="6" w:tplc="0413000F" w:tentative="1">
      <w:start w:val="1"/>
      <w:numFmt w:val="decimal"/>
      <w:lvlText w:val="%7."/>
      <w:lvlJc w:val="left"/>
      <w:pPr>
        <w:tabs>
          <w:tab w:val="num" w:pos="4590"/>
        </w:tabs>
        <w:ind w:left="4590" w:hanging="360"/>
      </w:pPr>
      <w:rPr>
        <w:rFonts w:cs="Times New Roman"/>
      </w:rPr>
    </w:lvl>
    <w:lvl w:ilvl="7" w:tplc="04130019" w:tentative="1">
      <w:start w:val="1"/>
      <w:numFmt w:val="lowerLetter"/>
      <w:lvlText w:val="%8."/>
      <w:lvlJc w:val="left"/>
      <w:pPr>
        <w:tabs>
          <w:tab w:val="num" w:pos="5310"/>
        </w:tabs>
        <w:ind w:left="5310" w:hanging="360"/>
      </w:pPr>
      <w:rPr>
        <w:rFonts w:cs="Times New Roman"/>
      </w:rPr>
    </w:lvl>
    <w:lvl w:ilvl="8" w:tplc="0413001B" w:tentative="1">
      <w:start w:val="1"/>
      <w:numFmt w:val="lowerRoman"/>
      <w:lvlText w:val="%9."/>
      <w:lvlJc w:val="right"/>
      <w:pPr>
        <w:tabs>
          <w:tab w:val="num" w:pos="6030"/>
        </w:tabs>
        <w:ind w:left="6030" w:hanging="180"/>
      </w:pPr>
      <w:rPr>
        <w:rFonts w:cs="Times New Roman"/>
      </w:rPr>
    </w:lvl>
  </w:abstractNum>
  <w:num w:numId="1">
    <w:abstractNumId w:val="9"/>
  </w:num>
  <w:num w:numId="2">
    <w:abstractNumId w:val="9"/>
  </w:num>
  <w:num w:numId="3">
    <w:abstractNumId w:val="4"/>
  </w:num>
  <w:num w:numId="4">
    <w:abstractNumId w:val="0"/>
  </w:num>
  <w:num w:numId="5">
    <w:abstractNumId w:val="11"/>
  </w:num>
  <w:num w:numId="6">
    <w:abstractNumId w:val="10"/>
  </w:num>
  <w:num w:numId="7">
    <w:abstractNumId w:val="1"/>
  </w:num>
  <w:num w:numId="8">
    <w:abstractNumId w:val="3"/>
  </w:num>
  <w:num w:numId="9">
    <w:abstractNumId w:val="7"/>
  </w:num>
  <w:num w:numId="10">
    <w:abstractNumId w:val="8"/>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166B8"/>
    <w:rsid w:val="00053A42"/>
    <w:rsid w:val="000865DB"/>
    <w:rsid w:val="000869E5"/>
    <w:rsid w:val="000976E9"/>
    <w:rsid w:val="000A62C4"/>
    <w:rsid w:val="000B1E42"/>
    <w:rsid w:val="000B4A98"/>
    <w:rsid w:val="000C0688"/>
    <w:rsid w:val="000C4E8C"/>
    <w:rsid w:val="000E76F3"/>
    <w:rsid w:val="000F3532"/>
    <w:rsid w:val="000F4725"/>
    <w:rsid w:val="001024DA"/>
    <w:rsid w:val="00105607"/>
    <w:rsid w:val="00116C47"/>
    <w:rsid w:val="00116EA2"/>
    <w:rsid w:val="00125FF8"/>
    <w:rsid w:val="00143882"/>
    <w:rsid w:val="00166CE4"/>
    <w:rsid w:val="00171E78"/>
    <w:rsid w:val="001B06C6"/>
    <w:rsid w:val="001B4635"/>
    <w:rsid w:val="001B6E48"/>
    <w:rsid w:val="001D03AC"/>
    <w:rsid w:val="001D79A5"/>
    <w:rsid w:val="001F116E"/>
    <w:rsid w:val="001F7390"/>
    <w:rsid w:val="00207A46"/>
    <w:rsid w:val="00210C07"/>
    <w:rsid w:val="0021357E"/>
    <w:rsid w:val="00220330"/>
    <w:rsid w:val="00232281"/>
    <w:rsid w:val="00260DE4"/>
    <w:rsid w:val="00262DD4"/>
    <w:rsid w:val="00266E3B"/>
    <w:rsid w:val="00273002"/>
    <w:rsid w:val="002C19AE"/>
    <w:rsid w:val="002D628D"/>
    <w:rsid w:val="002F49B8"/>
    <w:rsid w:val="00316449"/>
    <w:rsid w:val="00326A58"/>
    <w:rsid w:val="003340CF"/>
    <w:rsid w:val="00347412"/>
    <w:rsid w:val="00364896"/>
    <w:rsid w:val="003740A2"/>
    <w:rsid w:val="003929FD"/>
    <w:rsid w:val="00403A7F"/>
    <w:rsid w:val="0041242E"/>
    <w:rsid w:val="00421B11"/>
    <w:rsid w:val="00423DDC"/>
    <w:rsid w:val="00451233"/>
    <w:rsid w:val="004723D1"/>
    <w:rsid w:val="00476916"/>
    <w:rsid w:val="00476B30"/>
    <w:rsid w:val="00481DBA"/>
    <w:rsid w:val="00491E7D"/>
    <w:rsid w:val="004A574C"/>
    <w:rsid w:val="004B4E1B"/>
    <w:rsid w:val="004C5F8E"/>
    <w:rsid w:val="004E2833"/>
    <w:rsid w:val="004F0454"/>
    <w:rsid w:val="004F6748"/>
    <w:rsid w:val="005018B4"/>
    <w:rsid w:val="00514BA2"/>
    <w:rsid w:val="0053721D"/>
    <w:rsid w:val="00566C53"/>
    <w:rsid w:val="00567520"/>
    <w:rsid w:val="005900AD"/>
    <w:rsid w:val="005E38CA"/>
    <w:rsid w:val="006116C2"/>
    <w:rsid w:val="006130CD"/>
    <w:rsid w:val="00615FAD"/>
    <w:rsid w:val="0063138E"/>
    <w:rsid w:val="006548DD"/>
    <w:rsid w:val="006B1F75"/>
    <w:rsid w:val="006D2164"/>
    <w:rsid w:val="006D59D4"/>
    <w:rsid w:val="006F2230"/>
    <w:rsid w:val="006F781B"/>
    <w:rsid w:val="0071248C"/>
    <w:rsid w:val="007252C7"/>
    <w:rsid w:val="007323BB"/>
    <w:rsid w:val="007474BA"/>
    <w:rsid w:val="00752707"/>
    <w:rsid w:val="00785A0D"/>
    <w:rsid w:val="00796351"/>
    <w:rsid w:val="007E1DAB"/>
    <w:rsid w:val="007F60A8"/>
    <w:rsid w:val="00802A3C"/>
    <w:rsid w:val="00806D92"/>
    <w:rsid w:val="008346AE"/>
    <w:rsid w:val="0083792A"/>
    <w:rsid w:val="00846C95"/>
    <w:rsid w:val="00851DD6"/>
    <w:rsid w:val="008647C1"/>
    <w:rsid w:val="00894185"/>
    <w:rsid w:val="008A3AB6"/>
    <w:rsid w:val="008A6EA5"/>
    <w:rsid w:val="008A713D"/>
    <w:rsid w:val="008B1CE5"/>
    <w:rsid w:val="008C6B12"/>
    <w:rsid w:val="008D0B8B"/>
    <w:rsid w:val="008D5DB4"/>
    <w:rsid w:val="008D7793"/>
    <w:rsid w:val="008E1EF5"/>
    <w:rsid w:val="008F1565"/>
    <w:rsid w:val="008F7517"/>
    <w:rsid w:val="009347E0"/>
    <w:rsid w:val="00950D1D"/>
    <w:rsid w:val="00982152"/>
    <w:rsid w:val="00994EEB"/>
    <w:rsid w:val="009D4C2E"/>
    <w:rsid w:val="009D7043"/>
    <w:rsid w:val="009E4F30"/>
    <w:rsid w:val="00A00628"/>
    <w:rsid w:val="00A33F0B"/>
    <w:rsid w:val="00A35179"/>
    <w:rsid w:val="00A42280"/>
    <w:rsid w:val="00A677DC"/>
    <w:rsid w:val="00A75B0F"/>
    <w:rsid w:val="00A76EC9"/>
    <w:rsid w:val="00A804C0"/>
    <w:rsid w:val="00A823BF"/>
    <w:rsid w:val="00A97EAC"/>
    <w:rsid w:val="00AA6B88"/>
    <w:rsid w:val="00AB2879"/>
    <w:rsid w:val="00AC0E98"/>
    <w:rsid w:val="00AC5BCA"/>
    <w:rsid w:val="00AE32E0"/>
    <w:rsid w:val="00B1189A"/>
    <w:rsid w:val="00B401A4"/>
    <w:rsid w:val="00B403A8"/>
    <w:rsid w:val="00B45EB2"/>
    <w:rsid w:val="00B474BD"/>
    <w:rsid w:val="00B545FC"/>
    <w:rsid w:val="00B601DB"/>
    <w:rsid w:val="00B60F0E"/>
    <w:rsid w:val="00B70987"/>
    <w:rsid w:val="00B73F05"/>
    <w:rsid w:val="00BB6E25"/>
    <w:rsid w:val="00BD0F4A"/>
    <w:rsid w:val="00BD7BA9"/>
    <w:rsid w:val="00BE425A"/>
    <w:rsid w:val="00BF00B9"/>
    <w:rsid w:val="00C0707D"/>
    <w:rsid w:val="00C1052D"/>
    <w:rsid w:val="00C13EA6"/>
    <w:rsid w:val="00C16264"/>
    <w:rsid w:val="00C16854"/>
    <w:rsid w:val="00C2611B"/>
    <w:rsid w:val="00C6663F"/>
    <w:rsid w:val="00C833A1"/>
    <w:rsid w:val="00C950E3"/>
    <w:rsid w:val="00C97E7A"/>
    <w:rsid w:val="00CD1DB3"/>
    <w:rsid w:val="00CF00CD"/>
    <w:rsid w:val="00CF44FD"/>
    <w:rsid w:val="00D07D26"/>
    <w:rsid w:val="00D27372"/>
    <w:rsid w:val="00D303C0"/>
    <w:rsid w:val="00D5286F"/>
    <w:rsid w:val="00D71D99"/>
    <w:rsid w:val="00D754F2"/>
    <w:rsid w:val="00DA6742"/>
    <w:rsid w:val="00DB1EE4"/>
    <w:rsid w:val="00DB41C0"/>
    <w:rsid w:val="00DB5525"/>
    <w:rsid w:val="00DC4DB6"/>
    <w:rsid w:val="00DC7B67"/>
    <w:rsid w:val="00DD19EF"/>
    <w:rsid w:val="00DD411B"/>
    <w:rsid w:val="00DD4121"/>
    <w:rsid w:val="00DF4F75"/>
    <w:rsid w:val="00E12C5D"/>
    <w:rsid w:val="00E14095"/>
    <w:rsid w:val="00E31F4D"/>
    <w:rsid w:val="00E323CB"/>
    <w:rsid w:val="00E55200"/>
    <w:rsid w:val="00E75830"/>
    <w:rsid w:val="00E85373"/>
    <w:rsid w:val="00E94664"/>
    <w:rsid w:val="00EA7D60"/>
    <w:rsid w:val="00EB2451"/>
    <w:rsid w:val="00EB3EB7"/>
    <w:rsid w:val="00EC1E26"/>
    <w:rsid w:val="00F04405"/>
    <w:rsid w:val="00F05A81"/>
    <w:rsid w:val="00F0601C"/>
    <w:rsid w:val="00F1129A"/>
    <w:rsid w:val="00F369E3"/>
    <w:rsid w:val="00F37111"/>
    <w:rsid w:val="00F6300D"/>
    <w:rsid w:val="00F707FD"/>
    <w:rsid w:val="00F74B7C"/>
    <w:rsid w:val="00FA29D6"/>
    <w:rsid w:val="00FB3D24"/>
    <w:rsid w:val="00FD2B72"/>
    <w:rsid w:val="00FD5BF4"/>
    <w:rsid w:val="00FE5406"/>
    <w:rsid w:val="00FF5623"/>
    <w:rsid w:val="00FF6FF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2F49B8"/>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B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1B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1B4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2F49B8"/>
    <w:rPr>
      <w:rFonts w:ascii="Cambria" w:hAnsi="Cambria" w:cs="Times New Roman"/>
      <w:color w:val="243F60"/>
      <w:sz w:val="24"/>
      <w:szCs w:val="24"/>
      <w:lang w:val="nl-NL" w:eastAsia="nl-NL"/>
    </w:rPr>
  </w:style>
  <w:style w:type="character" w:styleId="Hyperlink">
    <w:name w:val="Hyperlink"/>
    <w:basedOn w:val="DefaultParagraphFont"/>
    <w:uiPriority w:val="99"/>
    <w:rsid w:val="00DC7B67"/>
    <w:rPr>
      <w:rFonts w:cs="Times New Roman"/>
      <w:color w:val="0000FF"/>
      <w:u w:val="singl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D1B40"/>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DC7B67"/>
    <w:pPr>
      <w:jc w:val="both"/>
    </w:pPr>
    <w:rPr>
      <w:szCs w:val="22"/>
    </w:rPr>
  </w:style>
  <w:style w:type="paragraph" w:customStyle="1" w:styleId="Tabletext">
    <w:name w:val="Table text"/>
    <w:basedOn w:val="Normal"/>
    <w:uiPriority w:val="99"/>
    <w:rsid w:val="00DC7B67"/>
    <w:pPr>
      <w:tabs>
        <w:tab w:val="left" w:pos="2835"/>
        <w:tab w:val="left" w:pos="6804"/>
      </w:tabs>
    </w:pPr>
    <w:rPr>
      <w:rFonts w:ascii="Garamond" w:eastAsia="Arial Unicode MS" w:hAnsi="Garamond" w:cs="Garamond"/>
      <w:sz w:val="24"/>
      <w:lang w:val="fr-BE" w:eastAsia="en-US"/>
    </w:rPr>
  </w:style>
  <w:style w:type="paragraph" w:customStyle="1" w:styleId="SVVlaamsParlement">
    <w:name w:val="SV Vlaams Parlement"/>
    <w:basedOn w:val="Normal"/>
    <w:uiPriority w:val="99"/>
    <w:rsid w:val="00C16854"/>
    <w:pPr>
      <w:jc w:val="both"/>
    </w:pPr>
    <w:rPr>
      <w:b/>
      <w:smallCaps/>
      <w:szCs w:val="20"/>
    </w:rPr>
  </w:style>
  <w:style w:type="paragraph" w:styleId="ListParagraph">
    <w:name w:val="List Paragraph"/>
    <w:basedOn w:val="Normal"/>
    <w:uiPriority w:val="99"/>
    <w:qFormat/>
    <w:rsid w:val="00DB5525"/>
    <w:pPr>
      <w:ind w:left="720"/>
      <w:contextualSpacing/>
    </w:pPr>
  </w:style>
  <w:style w:type="paragraph" w:styleId="FootnoteText">
    <w:name w:val="footnote text"/>
    <w:aliases w:val="ALTS FOOTNOTE,fn"/>
    <w:basedOn w:val="Normal"/>
    <w:link w:val="FootnoteTextChar"/>
    <w:uiPriority w:val="99"/>
    <w:rsid w:val="00C2611B"/>
    <w:pPr>
      <w:jc w:val="both"/>
    </w:pPr>
    <w:rPr>
      <w:rFonts w:ascii="Verdana" w:hAnsi="Verdana"/>
      <w:sz w:val="20"/>
      <w:szCs w:val="20"/>
      <w:lang w:eastAsia="en-US"/>
    </w:rPr>
  </w:style>
  <w:style w:type="character" w:customStyle="1" w:styleId="FootnoteTextChar">
    <w:name w:val="Footnote Text Char"/>
    <w:aliases w:val="ALTS FOOTNOTE Char,fn Char"/>
    <w:basedOn w:val="DefaultParagraphFont"/>
    <w:link w:val="FootnoteText"/>
    <w:uiPriority w:val="99"/>
    <w:locked/>
    <w:rsid w:val="00C2611B"/>
    <w:rPr>
      <w:rFonts w:ascii="Verdana" w:hAnsi="Verdana" w:cs="Times New Roman"/>
      <w:lang w:val="nl-NL" w:eastAsia="en-US"/>
    </w:rPr>
  </w:style>
  <w:style w:type="character" w:styleId="FootnoteReference">
    <w:name w:val="footnote reference"/>
    <w:basedOn w:val="DefaultParagraphFont"/>
    <w:uiPriority w:val="99"/>
    <w:rsid w:val="00C2611B"/>
    <w:rPr>
      <w:rFonts w:cs="Times New Roman"/>
      <w:vertAlign w:val="superscript"/>
    </w:rPr>
  </w:style>
  <w:style w:type="character" w:styleId="FollowedHyperlink">
    <w:name w:val="FollowedHyperlink"/>
    <w:basedOn w:val="DefaultParagraphFont"/>
    <w:uiPriority w:val="99"/>
    <w:rsid w:val="004F6748"/>
    <w:rPr>
      <w:rFonts w:cs="Times New Roman"/>
      <w:color w:val="800080"/>
      <w:u w:val="single"/>
    </w:rPr>
  </w:style>
  <w:style w:type="paragraph" w:styleId="PlainText">
    <w:name w:val="Plain Text"/>
    <w:basedOn w:val="Normal"/>
    <w:link w:val="PlainTextChar"/>
    <w:uiPriority w:val="99"/>
    <w:rsid w:val="002F49B8"/>
    <w:rPr>
      <w:rFonts w:ascii="Consolas" w:hAnsi="Consolas"/>
      <w:szCs w:val="21"/>
      <w:lang w:val="nl-BE" w:eastAsia="nl-BE"/>
    </w:rPr>
  </w:style>
  <w:style w:type="character" w:customStyle="1" w:styleId="PlainTextChar">
    <w:name w:val="Plain Text Char"/>
    <w:basedOn w:val="DefaultParagraphFont"/>
    <w:link w:val="PlainText"/>
    <w:uiPriority w:val="99"/>
    <w:locked/>
    <w:rsid w:val="002F49B8"/>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60914517">
      <w:marLeft w:val="0"/>
      <w:marRight w:val="0"/>
      <w:marTop w:val="0"/>
      <w:marBottom w:val="0"/>
      <w:divBdr>
        <w:top w:val="none" w:sz="0" w:space="0" w:color="auto"/>
        <w:left w:val="none" w:sz="0" w:space="0" w:color="auto"/>
        <w:bottom w:val="none" w:sz="0" w:space="0" w:color="auto"/>
        <w:right w:val="none" w:sz="0" w:space="0" w:color="auto"/>
      </w:divBdr>
      <w:divsChild>
        <w:div w:id="260914524">
          <w:marLeft w:val="0"/>
          <w:marRight w:val="0"/>
          <w:marTop w:val="100"/>
          <w:marBottom w:val="100"/>
          <w:divBdr>
            <w:top w:val="none" w:sz="0" w:space="0" w:color="auto"/>
            <w:left w:val="none" w:sz="0" w:space="0" w:color="auto"/>
            <w:bottom w:val="none" w:sz="0" w:space="0" w:color="auto"/>
            <w:right w:val="none" w:sz="0" w:space="0" w:color="auto"/>
          </w:divBdr>
          <w:divsChild>
            <w:div w:id="260914519">
              <w:marLeft w:val="0"/>
              <w:marRight w:val="0"/>
              <w:marTop w:val="0"/>
              <w:marBottom w:val="0"/>
              <w:divBdr>
                <w:top w:val="none" w:sz="0" w:space="0" w:color="auto"/>
                <w:left w:val="none" w:sz="0" w:space="0" w:color="auto"/>
                <w:bottom w:val="none" w:sz="0" w:space="0" w:color="auto"/>
                <w:right w:val="none" w:sz="0" w:space="0" w:color="auto"/>
              </w:divBdr>
              <w:divsChild>
                <w:div w:id="260914527">
                  <w:marLeft w:val="115"/>
                  <w:marRight w:val="115"/>
                  <w:marTop w:val="115"/>
                  <w:marBottom w:val="115"/>
                  <w:divBdr>
                    <w:top w:val="none" w:sz="0" w:space="0" w:color="auto"/>
                    <w:left w:val="none" w:sz="0" w:space="0" w:color="auto"/>
                    <w:bottom w:val="none" w:sz="0" w:space="0" w:color="auto"/>
                    <w:right w:val="none" w:sz="0" w:space="0" w:color="auto"/>
                  </w:divBdr>
                  <w:divsChild>
                    <w:div w:id="260914516">
                      <w:marLeft w:val="0"/>
                      <w:marRight w:val="0"/>
                      <w:marTop w:val="0"/>
                      <w:marBottom w:val="0"/>
                      <w:divBdr>
                        <w:top w:val="none" w:sz="0" w:space="0" w:color="auto"/>
                        <w:left w:val="none" w:sz="0" w:space="0" w:color="auto"/>
                        <w:bottom w:val="none" w:sz="0" w:space="0" w:color="auto"/>
                        <w:right w:val="none" w:sz="0" w:space="0" w:color="auto"/>
                      </w:divBdr>
                      <w:divsChild>
                        <w:div w:id="260914525">
                          <w:marLeft w:val="0"/>
                          <w:marRight w:val="0"/>
                          <w:marTop w:val="0"/>
                          <w:marBottom w:val="0"/>
                          <w:divBdr>
                            <w:top w:val="none" w:sz="0" w:space="0" w:color="auto"/>
                            <w:left w:val="none" w:sz="0" w:space="0" w:color="auto"/>
                            <w:bottom w:val="none" w:sz="0" w:space="0" w:color="auto"/>
                            <w:right w:val="none" w:sz="0" w:space="0" w:color="auto"/>
                          </w:divBdr>
                          <w:divsChild>
                            <w:div w:id="2609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4520">
      <w:marLeft w:val="0"/>
      <w:marRight w:val="0"/>
      <w:marTop w:val="0"/>
      <w:marBottom w:val="0"/>
      <w:divBdr>
        <w:top w:val="none" w:sz="0" w:space="0" w:color="auto"/>
        <w:left w:val="none" w:sz="0" w:space="0" w:color="auto"/>
        <w:bottom w:val="none" w:sz="0" w:space="0" w:color="auto"/>
        <w:right w:val="none" w:sz="0" w:space="0" w:color="auto"/>
      </w:divBdr>
    </w:div>
    <w:div w:id="260914526">
      <w:marLeft w:val="0"/>
      <w:marRight w:val="0"/>
      <w:marTop w:val="0"/>
      <w:marBottom w:val="0"/>
      <w:divBdr>
        <w:top w:val="none" w:sz="0" w:space="0" w:color="auto"/>
        <w:left w:val="none" w:sz="0" w:space="0" w:color="auto"/>
        <w:bottom w:val="none" w:sz="0" w:space="0" w:color="auto"/>
        <w:right w:val="none" w:sz="0" w:space="0" w:color="auto"/>
      </w:divBdr>
    </w:div>
    <w:div w:id="260914529">
      <w:marLeft w:val="0"/>
      <w:marRight w:val="0"/>
      <w:marTop w:val="0"/>
      <w:marBottom w:val="0"/>
      <w:divBdr>
        <w:top w:val="none" w:sz="0" w:space="0" w:color="auto"/>
        <w:left w:val="none" w:sz="0" w:space="0" w:color="auto"/>
        <w:bottom w:val="none" w:sz="0" w:space="0" w:color="auto"/>
        <w:right w:val="none" w:sz="0" w:space="0" w:color="auto"/>
      </w:divBdr>
      <w:divsChild>
        <w:div w:id="260914522">
          <w:marLeft w:val="0"/>
          <w:marRight w:val="0"/>
          <w:marTop w:val="100"/>
          <w:marBottom w:val="100"/>
          <w:divBdr>
            <w:top w:val="none" w:sz="0" w:space="0" w:color="auto"/>
            <w:left w:val="none" w:sz="0" w:space="0" w:color="auto"/>
            <w:bottom w:val="none" w:sz="0" w:space="0" w:color="auto"/>
            <w:right w:val="none" w:sz="0" w:space="0" w:color="auto"/>
          </w:divBdr>
          <w:divsChild>
            <w:div w:id="260914514">
              <w:marLeft w:val="0"/>
              <w:marRight w:val="0"/>
              <w:marTop w:val="0"/>
              <w:marBottom w:val="0"/>
              <w:divBdr>
                <w:top w:val="none" w:sz="0" w:space="0" w:color="auto"/>
                <w:left w:val="none" w:sz="0" w:space="0" w:color="auto"/>
                <w:bottom w:val="none" w:sz="0" w:space="0" w:color="auto"/>
                <w:right w:val="none" w:sz="0" w:space="0" w:color="auto"/>
              </w:divBdr>
              <w:divsChild>
                <w:div w:id="260914523">
                  <w:marLeft w:val="150"/>
                  <w:marRight w:val="150"/>
                  <w:marTop w:val="150"/>
                  <w:marBottom w:val="150"/>
                  <w:divBdr>
                    <w:top w:val="none" w:sz="0" w:space="0" w:color="auto"/>
                    <w:left w:val="none" w:sz="0" w:space="0" w:color="auto"/>
                    <w:bottom w:val="none" w:sz="0" w:space="0" w:color="auto"/>
                    <w:right w:val="none" w:sz="0" w:space="0" w:color="auto"/>
                  </w:divBdr>
                  <w:divsChild>
                    <w:div w:id="260914528">
                      <w:marLeft w:val="0"/>
                      <w:marRight w:val="0"/>
                      <w:marTop w:val="0"/>
                      <w:marBottom w:val="0"/>
                      <w:divBdr>
                        <w:top w:val="none" w:sz="0" w:space="0" w:color="auto"/>
                        <w:left w:val="none" w:sz="0" w:space="0" w:color="auto"/>
                        <w:bottom w:val="none" w:sz="0" w:space="0" w:color="auto"/>
                        <w:right w:val="none" w:sz="0" w:space="0" w:color="auto"/>
                      </w:divBdr>
                      <w:divsChild>
                        <w:div w:id="260914521">
                          <w:marLeft w:val="0"/>
                          <w:marRight w:val="0"/>
                          <w:marTop w:val="0"/>
                          <w:marBottom w:val="0"/>
                          <w:divBdr>
                            <w:top w:val="none" w:sz="0" w:space="0" w:color="auto"/>
                            <w:left w:val="none" w:sz="0" w:space="0" w:color="auto"/>
                            <w:bottom w:val="none" w:sz="0" w:space="0" w:color="auto"/>
                            <w:right w:val="none" w:sz="0" w:space="0" w:color="auto"/>
                          </w:divBdr>
                          <w:divsChild>
                            <w:div w:id="2609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2</Pages>
  <Words>809</Words>
  <Characters>4454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Isabelle Cauwel</cp:lastModifiedBy>
  <cp:revision>7</cp:revision>
  <cp:lastPrinted>2010-06-08T09:28:00Z</cp:lastPrinted>
  <dcterms:created xsi:type="dcterms:W3CDTF">2011-02-09T13:16:00Z</dcterms:created>
  <dcterms:modified xsi:type="dcterms:W3CDTF">2011-02-10T13:15:00Z</dcterms:modified>
</cp:coreProperties>
</file>