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F9" w:rsidRPr="00A8473D" w:rsidRDefault="002D70F9" w:rsidP="002730B7">
      <w:pPr>
        <w:jc w:val="both"/>
        <w:rPr>
          <w:rFonts w:ascii="Times New Roman Vet" w:hAnsi="Times New Roman Vet"/>
          <w:b/>
          <w:smallCaps/>
          <w:sz w:val="22"/>
          <w:szCs w:val="22"/>
          <w:lang w:val="nl-BE"/>
        </w:rPr>
      </w:pPr>
      <w:smartTag w:uri="urn:schemas-microsoft-com:office:smarttags" w:element="PersonName">
        <w:smartTagPr>
          <w:attr w:name="ProductID" w:val="KRIS PEETERS"/>
        </w:smartTagPr>
        <w:r w:rsidRPr="00A8473D">
          <w:rPr>
            <w:rFonts w:ascii="Times New Roman Vet" w:hAnsi="Times New Roman Vet"/>
            <w:b/>
            <w:smallCaps/>
            <w:sz w:val="22"/>
            <w:szCs w:val="22"/>
            <w:lang w:val="nl-BE"/>
          </w:rPr>
          <w:t>kris peeters</w:t>
        </w:r>
      </w:smartTag>
    </w:p>
    <w:p w:rsidR="002D70F9" w:rsidRDefault="002D70F9" w:rsidP="002730B7">
      <w:pPr>
        <w:pStyle w:val="StandaardSV"/>
        <w:rPr>
          <w:smallCaps/>
        </w:rPr>
      </w:pPr>
      <w:r w:rsidRPr="00A8473D">
        <w:rPr>
          <w:smallCaps/>
          <w:szCs w:val="22"/>
          <w:lang w:val="nl-BE"/>
        </w:rPr>
        <w:t>minister-president van de vlaamse regering, vlaams minister van economie, buitenlands beleid, landbouw en plattelandsbeleid</w:t>
      </w:r>
    </w:p>
    <w:p w:rsidR="002D70F9" w:rsidRDefault="002D70F9">
      <w:pPr>
        <w:pBdr>
          <w:bottom w:val="single" w:sz="4" w:space="1" w:color="auto"/>
        </w:pBdr>
        <w:rPr>
          <w:sz w:val="22"/>
        </w:rPr>
      </w:pPr>
    </w:p>
    <w:p w:rsidR="002D70F9" w:rsidRDefault="002D70F9">
      <w:pPr>
        <w:rPr>
          <w:sz w:val="22"/>
        </w:rPr>
      </w:pPr>
    </w:p>
    <w:p w:rsidR="002D70F9" w:rsidRDefault="002D70F9" w:rsidP="00045E43">
      <w:pPr>
        <w:rPr>
          <w:b/>
          <w:smallCaps/>
          <w:sz w:val="22"/>
        </w:rPr>
      </w:pPr>
      <w:r>
        <w:rPr>
          <w:b/>
          <w:smallCaps/>
          <w:sz w:val="22"/>
        </w:rPr>
        <w:t>antwoord</w:t>
      </w:r>
    </w:p>
    <w:p w:rsidR="002D70F9" w:rsidRDefault="002D70F9" w:rsidP="00045E43">
      <w:pPr>
        <w:rPr>
          <w:sz w:val="22"/>
        </w:rPr>
      </w:pPr>
      <w:r>
        <w:rPr>
          <w:sz w:val="22"/>
        </w:rPr>
        <w:t>op vraag nr. 93 van 2 december 2010</w:t>
      </w:r>
    </w:p>
    <w:p w:rsidR="002D70F9" w:rsidRDefault="002D70F9" w:rsidP="00045E43">
      <w:pPr>
        <w:rPr>
          <w:sz w:val="22"/>
        </w:rPr>
      </w:pPr>
      <w:r>
        <w:rPr>
          <w:sz w:val="22"/>
        </w:rPr>
        <w:t xml:space="preserve">van </w:t>
      </w:r>
      <w:r>
        <w:rPr>
          <w:b/>
          <w:smallCaps/>
          <w:sz w:val="22"/>
        </w:rPr>
        <w:t>chris janssens</w:t>
      </w:r>
    </w:p>
    <w:p w:rsidR="002D70F9" w:rsidRDefault="002D70F9" w:rsidP="009976C1">
      <w:pPr>
        <w:pBdr>
          <w:bottom w:val="single" w:sz="4" w:space="1" w:color="auto"/>
        </w:pBdr>
        <w:jc w:val="both"/>
        <w:rPr>
          <w:sz w:val="22"/>
        </w:rPr>
      </w:pPr>
    </w:p>
    <w:p w:rsidR="002D70F9" w:rsidRPr="00544584" w:rsidRDefault="002D70F9" w:rsidP="009976C1">
      <w:pPr>
        <w:jc w:val="both"/>
        <w:rPr>
          <w:sz w:val="22"/>
          <w:szCs w:val="22"/>
        </w:rPr>
      </w:pPr>
    </w:p>
    <w:p w:rsidR="002D70F9" w:rsidRPr="00544584" w:rsidRDefault="002D70F9" w:rsidP="009976C1">
      <w:pPr>
        <w:jc w:val="both"/>
        <w:rPr>
          <w:sz w:val="22"/>
          <w:szCs w:val="22"/>
        </w:rPr>
      </w:pPr>
    </w:p>
    <w:p w:rsidR="002D70F9" w:rsidRPr="00544584" w:rsidRDefault="002D70F9" w:rsidP="009976C1">
      <w:pPr>
        <w:jc w:val="both"/>
        <w:rPr>
          <w:sz w:val="22"/>
          <w:szCs w:val="22"/>
        </w:rPr>
        <w:sectPr w:rsidR="002D70F9" w:rsidRPr="00544584">
          <w:pgSz w:w="11906" w:h="16838"/>
          <w:pgMar w:top="1417" w:right="1417" w:bottom="1417" w:left="1417" w:header="708" w:footer="708" w:gutter="0"/>
          <w:cols w:space="708"/>
          <w:docGrid w:linePitch="360"/>
        </w:sectPr>
      </w:pPr>
    </w:p>
    <w:p w:rsidR="002D70F9" w:rsidRDefault="002D70F9" w:rsidP="00E9635C">
      <w:pPr>
        <w:jc w:val="both"/>
        <w:rPr>
          <w:sz w:val="22"/>
          <w:szCs w:val="22"/>
        </w:rPr>
      </w:pPr>
      <w:r>
        <w:rPr>
          <w:sz w:val="22"/>
          <w:szCs w:val="22"/>
        </w:rPr>
        <w:t>Het Vlaamse Operationeel Programma (OP) ter uitvoering van de Europese cohesied</w:t>
      </w:r>
      <w:r w:rsidRPr="00544584">
        <w:rPr>
          <w:sz w:val="22"/>
          <w:szCs w:val="22"/>
        </w:rPr>
        <w:t xml:space="preserve">oelstelling 2 </w:t>
      </w:r>
      <w:r>
        <w:rPr>
          <w:sz w:val="22"/>
          <w:szCs w:val="22"/>
        </w:rPr>
        <w:t>“</w:t>
      </w:r>
      <w:r w:rsidRPr="00544584">
        <w:rPr>
          <w:sz w:val="22"/>
          <w:szCs w:val="22"/>
        </w:rPr>
        <w:t>Regionaal Concurrentievermogen en Werkgelegenheid</w:t>
      </w:r>
      <w:r>
        <w:rPr>
          <w:sz w:val="22"/>
          <w:szCs w:val="22"/>
        </w:rPr>
        <w:t>” (D2) met steun uit het Europees Fonds voor Regionale Ontwikkeling (EFRO) gedurende de programmaperiode 2007 – 2013, heeft</w:t>
      </w:r>
      <w:r w:rsidRPr="00544584">
        <w:rPr>
          <w:sz w:val="22"/>
          <w:szCs w:val="22"/>
        </w:rPr>
        <w:t xml:space="preserve"> als hoofddoelstellingen</w:t>
      </w:r>
      <w:r>
        <w:rPr>
          <w:sz w:val="22"/>
          <w:szCs w:val="22"/>
        </w:rPr>
        <w:t xml:space="preserve"> (1) bevordering</w:t>
      </w:r>
      <w:r w:rsidRPr="00544584">
        <w:rPr>
          <w:sz w:val="22"/>
          <w:szCs w:val="22"/>
        </w:rPr>
        <w:t xml:space="preserve"> van de verdere ontwikkeling van Vlaanderen tot één van de meest competitieve regio</w:t>
      </w:r>
      <w:r>
        <w:rPr>
          <w:sz w:val="22"/>
          <w:szCs w:val="22"/>
        </w:rPr>
        <w:t>’</w:t>
      </w:r>
      <w:r w:rsidRPr="00544584">
        <w:rPr>
          <w:sz w:val="22"/>
          <w:szCs w:val="22"/>
        </w:rPr>
        <w:t>s</w:t>
      </w:r>
      <w:r>
        <w:rPr>
          <w:sz w:val="22"/>
          <w:szCs w:val="22"/>
        </w:rPr>
        <w:t xml:space="preserve"> in Europa</w:t>
      </w:r>
      <w:r w:rsidRPr="00544584">
        <w:rPr>
          <w:sz w:val="22"/>
          <w:szCs w:val="22"/>
        </w:rPr>
        <w:t xml:space="preserve">, </w:t>
      </w:r>
      <w:r>
        <w:rPr>
          <w:sz w:val="22"/>
          <w:szCs w:val="22"/>
        </w:rPr>
        <w:t xml:space="preserve">(2) </w:t>
      </w:r>
      <w:r w:rsidRPr="00544584">
        <w:rPr>
          <w:sz w:val="22"/>
          <w:szCs w:val="22"/>
        </w:rPr>
        <w:t xml:space="preserve">duurzame economische groei, </w:t>
      </w:r>
      <w:r>
        <w:rPr>
          <w:sz w:val="22"/>
          <w:szCs w:val="22"/>
        </w:rPr>
        <w:t xml:space="preserve">(3) </w:t>
      </w:r>
      <w:r w:rsidRPr="00544584">
        <w:rPr>
          <w:sz w:val="22"/>
          <w:szCs w:val="22"/>
        </w:rPr>
        <w:t xml:space="preserve">creatie van meer en betere tewerkstelling en </w:t>
      </w:r>
      <w:r>
        <w:rPr>
          <w:sz w:val="22"/>
          <w:szCs w:val="22"/>
        </w:rPr>
        <w:t>(4)</w:t>
      </w:r>
      <w:r w:rsidRPr="00544584">
        <w:rPr>
          <w:sz w:val="22"/>
          <w:szCs w:val="22"/>
        </w:rPr>
        <w:t xml:space="preserve"> bescherming en verbetering van het milieu. </w:t>
      </w:r>
      <w:r>
        <w:rPr>
          <w:sz w:val="22"/>
          <w:szCs w:val="22"/>
        </w:rPr>
        <w:t>Hiertoe stelt het Vlaamse OP D2/EFRO vier prioriteiten voorop: (1) k</w:t>
      </w:r>
      <w:r w:rsidRPr="0086288E">
        <w:rPr>
          <w:sz w:val="22"/>
          <w:szCs w:val="22"/>
        </w:rPr>
        <w:t>enniseconomie en</w:t>
      </w:r>
      <w:r>
        <w:rPr>
          <w:sz w:val="22"/>
          <w:szCs w:val="22"/>
        </w:rPr>
        <w:t xml:space="preserve"> i</w:t>
      </w:r>
      <w:r w:rsidRPr="0086288E">
        <w:rPr>
          <w:sz w:val="22"/>
          <w:szCs w:val="22"/>
        </w:rPr>
        <w:t>nnovatie</w:t>
      </w:r>
      <w:r>
        <w:rPr>
          <w:sz w:val="22"/>
          <w:szCs w:val="22"/>
        </w:rPr>
        <w:t>, (2) o</w:t>
      </w:r>
      <w:r w:rsidRPr="0086288E">
        <w:rPr>
          <w:sz w:val="22"/>
          <w:szCs w:val="22"/>
        </w:rPr>
        <w:t>ndernemerschap</w:t>
      </w:r>
      <w:r>
        <w:rPr>
          <w:sz w:val="22"/>
          <w:szCs w:val="22"/>
        </w:rPr>
        <w:t>, (3) r</w:t>
      </w:r>
      <w:r w:rsidRPr="0086288E">
        <w:rPr>
          <w:sz w:val="22"/>
          <w:szCs w:val="22"/>
        </w:rPr>
        <w:t>uimtelijk</w:t>
      </w:r>
      <w:r>
        <w:rPr>
          <w:sz w:val="22"/>
          <w:szCs w:val="22"/>
        </w:rPr>
        <w:t>/e</w:t>
      </w:r>
      <w:r w:rsidRPr="0086288E">
        <w:rPr>
          <w:sz w:val="22"/>
          <w:szCs w:val="22"/>
        </w:rPr>
        <w:t xml:space="preserve">conomische </w:t>
      </w:r>
      <w:r>
        <w:rPr>
          <w:sz w:val="22"/>
          <w:szCs w:val="22"/>
        </w:rPr>
        <w:t>o</w:t>
      </w:r>
      <w:r w:rsidRPr="0086288E">
        <w:rPr>
          <w:sz w:val="22"/>
          <w:szCs w:val="22"/>
        </w:rPr>
        <w:t>mgevingsfactoren</w:t>
      </w:r>
      <w:r>
        <w:rPr>
          <w:sz w:val="22"/>
          <w:szCs w:val="22"/>
        </w:rPr>
        <w:t xml:space="preserve"> en (4) s</w:t>
      </w:r>
      <w:r w:rsidRPr="0086288E">
        <w:rPr>
          <w:sz w:val="22"/>
          <w:szCs w:val="22"/>
        </w:rPr>
        <w:t xml:space="preserve">tedelijke </w:t>
      </w:r>
      <w:r>
        <w:rPr>
          <w:sz w:val="22"/>
          <w:szCs w:val="22"/>
        </w:rPr>
        <w:t>o</w:t>
      </w:r>
      <w:r w:rsidRPr="0086288E">
        <w:rPr>
          <w:sz w:val="22"/>
          <w:szCs w:val="22"/>
        </w:rPr>
        <w:t>ntwikkeling</w:t>
      </w:r>
      <w:r>
        <w:rPr>
          <w:sz w:val="22"/>
          <w:szCs w:val="22"/>
        </w:rPr>
        <w:t>.</w:t>
      </w:r>
    </w:p>
    <w:p w:rsidR="002D70F9" w:rsidRDefault="002D70F9" w:rsidP="0086288E">
      <w:pPr>
        <w:ind w:left="360"/>
        <w:jc w:val="both"/>
        <w:rPr>
          <w:sz w:val="22"/>
          <w:szCs w:val="22"/>
        </w:rPr>
      </w:pPr>
    </w:p>
    <w:p w:rsidR="002D70F9" w:rsidRPr="00544584" w:rsidRDefault="002D70F9" w:rsidP="00E9635C">
      <w:pPr>
        <w:jc w:val="both"/>
        <w:rPr>
          <w:sz w:val="22"/>
          <w:szCs w:val="22"/>
        </w:rPr>
      </w:pPr>
      <w:r>
        <w:rPr>
          <w:sz w:val="22"/>
          <w:szCs w:val="22"/>
        </w:rPr>
        <w:t>In het kader van de vierde prioriteit van het Vlaamse OP D2/EFRO k</w:t>
      </w:r>
      <w:r w:rsidRPr="00544584">
        <w:rPr>
          <w:sz w:val="22"/>
          <w:szCs w:val="22"/>
        </w:rPr>
        <w:t xml:space="preserve">unnen promotoren uit de steden Antwerpen en Gent kleinschalige projecten op buurt- en wijkniveau indienen die </w:t>
      </w:r>
      <w:r>
        <w:rPr>
          <w:sz w:val="22"/>
          <w:szCs w:val="22"/>
        </w:rPr>
        <w:t>de verhoging</w:t>
      </w:r>
      <w:r w:rsidRPr="00544584">
        <w:rPr>
          <w:sz w:val="22"/>
          <w:szCs w:val="22"/>
        </w:rPr>
        <w:t xml:space="preserve"> van de stedelijke vitaliteit in </w:t>
      </w:r>
      <w:r>
        <w:rPr>
          <w:sz w:val="22"/>
          <w:szCs w:val="22"/>
        </w:rPr>
        <w:t>beide</w:t>
      </w:r>
      <w:r w:rsidRPr="00544584">
        <w:rPr>
          <w:sz w:val="22"/>
          <w:szCs w:val="22"/>
        </w:rPr>
        <w:t xml:space="preserve"> steden</w:t>
      </w:r>
      <w:r>
        <w:rPr>
          <w:sz w:val="22"/>
          <w:szCs w:val="22"/>
        </w:rPr>
        <w:t xml:space="preserve"> vooropstellen</w:t>
      </w:r>
      <w:r w:rsidRPr="00544584">
        <w:rPr>
          <w:sz w:val="22"/>
          <w:szCs w:val="22"/>
        </w:rPr>
        <w:t xml:space="preserve">, met bijzondere aandacht voor achtergestelde buurten. In dit </w:t>
      </w:r>
      <w:r>
        <w:rPr>
          <w:sz w:val="22"/>
          <w:szCs w:val="22"/>
        </w:rPr>
        <w:t>verband</w:t>
      </w:r>
      <w:r w:rsidRPr="00544584">
        <w:rPr>
          <w:sz w:val="22"/>
          <w:szCs w:val="22"/>
        </w:rPr>
        <w:t xml:space="preserve"> heeft het </w:t>
      </w:r>
      <w:r>
        <w:rPr>
          <w:sz w:val="22"/>
          <w:szCs w:val="22"/>
        </w:rPr>
        <w:t xml:space="preserve">bevoegde </w:t>
      </w:r>
      <w:r w:rsidRPr="00544584">
        <w:rPr>
          <w:sz w:val="22"/>
          <w:szCs w:val="22"/>
        </w:rPr>
        <w:t>beslissingsorgaan</w:t>
      </w:r>
      <w:r>
        <w:rPr>
          <w:sz w:val="22"/>
          <w:szCs w:val="22"/>
        </w:rPr>
        <w:t xml:space="preserve">, het </w:t>
      </w:r>
      <w:r w:rsidRPr="00544584">
        <w:rPr>
          <w:sz w:val="22"/>
          <w:szCs w:val="22"/>
        </w:rPr>
        <w:t xml:space="preserve">Comité van Toezicht, </w:t>
      </w:r>
      <w:r>
        <w:rPr>
          <w:sz w:val="22"/>
          <w:szCs w:val="22"/>
        </w:rPr>
        <w:t xml:space="preserve">het </w:t>
      </w:r>
      <w:r w:rsidRPr="00544584">
        <w:rPr>
          <w:sz w:val="22"/>
          <w:szCs w:val="22"/>
        </w:rPr>
        <w:t>project</w:t>
      </w:r>
      <w:r>
        <w:rPr>
          <w:sz w:val="22"/>
          <w:szCs w:val="22"/>
        </w:rPr>
        <w:t xml:space="preserve"> “</w:t>
      </w:r>
      <w:r w:rsidRPr="00544584">
        <w:rPr>
          <w:sz w:val="22"/>
          <w:szCs w:val="22"/>
        </w:rPr>
        <w:t>Winkelgebied Antwerpen-Noord en Centraal Station</w:t>
      </w:r>
      <w:r>
        <w:rPr>
          <w:sz w:val="22"/>
          <w:szCs w:val="22"/>
        </w:rPr>
        <w:t>: t</w:t>
      </w:r>
      <w:r w:rsidRPr="00544584">
        <w:rPr>
          <w:sz w:val="22"/>
          <w:szCs w:val="22"/>
        </w:rPr>
        <w:t>erreinmanagement</w:t>
      </w:r>
      <w:r>
        <w:rPr>
          <w:sz w:val="22"/>
          <w:szCs w:val="22"/>
        </w:rPr>
        <w:t>” goedgekeurd.</w:t>
      </w:r>
    </w:p>
    <w:p w:rsidR="002D70F9" w:rsidRPr="00544584" w:rsidRDefault="002D70F9" w:rsidP="00544584">
      <w:pPr>
        <w:jc w:val="both"/>
        <w:rPr>
          <w:sz w:val="22"/>
          <w:szCs w:val="22"/>
        </w:rPr>
      </w:pPr>
    </w:p>
    <w:p w:rsidR="002D70F9" w:rsidRPr="00544584" w:rsidRDefault="002D70F9" w:rsidP="00E9635C">
      <w:pPr>
        <w:jc w:val="both"/>
        <w:rPr>
          <w:sz w:val="22"/>
          <w:szCs w:val="22"/>
        </w:rPr>
      </w:pPr>
      <w:r w:rsidRPr="00544584">
        <w:rPr>
          <w:sz w:val="22"/>
          <w:szCs w:val="22"/>
        </w:rPr>
        <w:t>Wijkcentra zijn belangrijk omdat zij de inwoners een basisaanbod aan lokale voorzieningen</w:t>
      </w:r>
      <w:r>
        <w:rPr>
          <w:sz w:val="22"/>
          <w:szCs w:val="22"/>
        </w:rPr>
        <w:t xml:space="preserve"> kunnen verschaffen</w:t>
      </w:r>
      <w:r w:rsidRPr="00544584">
        <w:rPr>
          <w:sz w:val="22"/>
          <w:szCs w:val="22"/>
        </w:rPr>
        <w:t>. Door de handelsfunctie in de winkelgebieden Antwerpen-Noord en Centraal Station te versterken en nieuwe klanten aan te trekken, genereert het project de basis voor een duurzame ontwikkeling van deze strategische buurten die essentieel is voor het versterken van de handelsfunctie.</w:t>
      </w:r>
    </w:p>
    <w:p w:rsidR="002D70F9" w:rsidRPr="00544584" w:rsidRDefault="002D70F9" w:rsidP="00544584">
      <w:pPr>
        <w:jc w:val="both"/>
        <w:rPr>
          <w:sz w:val="22"/>
          <w:szCs w:val="22"/>
        </w:rPr>
      </w:pPr>
    </w:p>
    <w:p w:rsidR="002D70F9" w:rsidRPr="00544584" w:rsidRDefault="002D70F9" w:rsidP="00E9635C">
      <w:pPr>
        <w:jc w:val="both"/>
        <w:rPr>
          <w:sz w:val="22"/>
          <w:szCs w:val="22"/>
        </w:rPr>
      </w:pPr>
      <w:r w:rsidRPr="00544584">
        <w:rPr>
          <w:sz w:val="22"/>
          <w:szCs w:val="22"/>
        </w:rPr>
        <w:t>Via zichtbare veranderingen wil het project de attractiviteit van beide gebieden op lange termijn versterken. Resultaatgericht terreinmanagement</w:t>
      </w:r>
      <w:r>
        <w:rPr>
          <w:sz w:val="22"/>
          <w:szCs w:val="22"/>
        </w:rPr>
        <w:t>,</w:t>
      </w:r>
      <w:r w:rsidRPr="00544584">
        <w:rPr>
          <w:sz w:val="22"/>
          <w:szCs w:val="22"/>
        </w:rPr>
        <w:t xml:space="preserve"> in combinatie met acties rond beeldkwaliteit in de buurt</w:t>
      </w:r>
      <w:r>
        <w:rPr>
          <w:sz w:val="22"/>
          <w:szCs w:val="22"/>
        </w:rPr>
        <w:t>,</w:t>
      </w:r>
      <w:r w:rsidRPr="00544584">
        <w:rPr>
          <w:sz w:val="22"/>
          <w:szCs w:val="22"/>
        </w:rPr>
        <w:t xml:space="preserve"> versterkt zowel het stedelijk als het economisch weefsel. Verschillende partners zoals de terreinmanager, stedelijke diensten, winkeliersverenigingen en bewonersgroeperingen werken actief samen aan de geïntegreerde aanpak die voor duurzame resultaten zorgt. </w:t>
      </w:r>
    </w:p>
    <w:p w:rsidR="002D70F9" w:rsidRPr="00544584" w:rsidRDefault="002D70F9" w:rsidP="00544584">
      <w:pPr>
        <w:jc w:val="both"/>
        <w:rPr>
          <w:sz w:val="22"/>
          <w:szCs w:val="22"/>
        </w:rPr>
      </w:pPr>
    </w:p>
    <w:p w:rsidR="002D70F9" w:rsidRPr="00544584" w:rsidRDefault="002D70F9" w:rsidP="00E9635C">
      <w:pPr>
        <w:jc w:val="both"/>
        <w:rPr>
          <w:sz w:val="22"/>
          <w:szCs w:val="22"/>
        </w:rPr>
      </w:pPr>
      <w:r w:rsidRPr="00544584">
        <w:rPr>
          <w:sz w:val="22"/>
          <w:szCs w:val="22"/>
        </w:rPr>
        <w:t xml:space="preserve">Het Comité van Toezicht keurde </w:t>
      </w:r>
      <w:r>
        <w:rPr>
          <w:sz w:val="22"/>
          <w:szCs w:val="22"/>
        </w:rPr>
        <w:t xml:space="preserve">voor dit project </w:t>
      </w:r>
      <w:r w:rsidRPr="00544584">
        <w:rPr>
          <w:sz w:val="22"/>
          <w:szCs w:val="22"/>
        </w:rPr>
        <w:t>de volgende steun goed:</w:t>
      </w:r>
    </w:p>
    <w:p w:rsidR="002D70F9" w:rsidRPr="00544584" w:rsidRDefault="002D70F9" w:rsidP="00E9635C">
      <w:pPr>
        <w:numPr>
          <w:ilvl w:val="0"/>
          <w:numId w:val="7"/>
        </w:numPr>
        <w:tabs>
          <w:tab w:val="num" w:pos="720"/>
        </w:tabs>
        <w:jc w:val="both"/>
        <w:rPr>
          <w:sz w:val="22"/>
          <w:szCs w:val="22"/>
        </w:rPr>
      </w:pPr>
      <w:r>
        <w:rPr>
          <w:sz w:val="22"/>
          <w:szCs w:val="22"/>
        </w:rPr>
        <w:t xml:space="preserve">een steunbedrag van </w:t>
      </w:r>
      <w:r w:rsidRPr="00544584">
        <w:rPr>
          <w:sz w:val="22"/>
          <w:szCs w:val="22"/>
        </w:rPr>
        <w:t>178.386,00</w:t>
      </w:r>
      <w:r>
        <w:rPr>
          <w:sz w:val="22"/>
          <w:szCs w:val="22"/>
        </w:rPr>
        <w:t xml:space="preserve"> euro uit het </w:t>
      </w:r>
      <w:r w:rsidRPr="00544584">
        <w:rPr>
          <w:sz w:val="22"/>
          <w:szCs w:val="22"/>
        </w:rPr>
        <w:t>EFRO</w:t>
      </w:r>
      <w:r>
        <w:rPr>
          <w:sz w:val="22"/>
          <w:szCs w:val="22"/>
        </w:rPr>
        <w:t>;</w:t>
      </w:r>
      <w:r w:rsidRPr="00544584">
        <w:rPr>
          <w:sz w:val="22"/>
          <w:szCs w:val="22"/>
        </w:rPr>
        <w:t xml:space="preserve"> </w:t>
      </w:r>
    </w:p>
    <w:p w:rsidR="002D70F9" w:rsidRPr="00056EB2" w:rsidRDefault="002D70F9" w:rsidP="00E9635C">
      <w:pPr>
        <w:numPr>
          <w:ilvl w:val="0"/>
          <w:numId w:val="7"/>
        </w:numPr>
        <w:tabs>
          <w:tab w:val="num" w:pos="720"/>
        </w:tabs>
        <w:jc w:val="both"/>
        <w:rPr>
          <w:sz w:val="22"/>
          <w:szCs w:val="22"/>
        </w:rPr>
      </w:pPr>
      <w:r>
        <w:rPr>
          <w:sz w:val="22"/>
          <w:szCs w:val="22"/>
        </w:rPr>
        <w:t xml:space="preserve">een steunbedrag van </w:t>
      </w:r>
      <w:r w:rsidRPr="00544584">
        <w:rPr>
          <w:sz w:val="22"/>
          <w:szCs w:val="22"/>
        </w:rPr>
        <w:t>133.789,50</w:t>
      </w:r>
      <w:r>
        <w:rPr>
          <w:sz w:val="22"/>
          <w:szCs w:val="22"/>
        </w:rPr>
        <w:t xml:space="preserve"> euro uit het </w:t>
      </w:r>
      <w:r w:rsidRPr="00056EB2">
        <w:rPr>
          <w:sz w:val="22"/>
          <w:szCs w:val="22"/>
        </w:rPr>
        <w:t>Fonds voor Flankerend Economisch Beleid</w:t>
      </w:r>
      <w:r>
        <w:rPr>
          <w:sz w:val="22"/>
          <w:szCs w:val="22"/>
        </w:rPr>
        <w:t xml:space="preserve"> (</w:t>
      </w:r>
      <w:r w:rsidRPr="00056EB2">
        <w:rPr>
          <w:sz w:val="22"/>
          <w:szCs w:val="22"/>
        </w:rPr>
        <w:t>Hermesfonds).</w:t>
      </w:r>
    </w:p>
    <w:p w:rsidR="002D70F9" w:rsidRPr="00544584" w:rsidRDefault="002D70F9" w:rsidP="00544584">
      <w:pPr>
        <w:jc w:val="both"/>
        <w:rPr>
          <w:sz w:val="22"/>
          <w:szCs w:val="22"/>
        </w:rPr>
      </w:pPr>
    </w:p>
    <w:p w:rsidR="002D70F9" w:rsidRDefault="002D70F9" w:rsidP="00E9635C">
      <w:pPr>
        <w:jc w:val="both"/>
        <w:rPr>
          <w:sz w:val="22"/>
          <w:szCs w:val="22"/>
        </w:rPr>
      </w:pPr>
      <w:r w:rsidRPr="00544584">
        <w:rPr>
          <w:sz w:val="22"/>
          <w:szCs w:val="22"/>
        </w:rPr>
        <w:t xml:space="preserve">In geval </w:t>
      </w:r>
      <w:r>
        <w:rPr>
          <w:sz w:val="22"/>
          <w:szCs w:val="22"/>
        </w:rPr>
        <w:t xml:space="preserve">van </w:t>
      </w:r>
      <w:r w:rsidRPr="00544584">
        <w:rPr>
          <w:sz w:val="22"/>
          <w:szCs w:val="22"/>
        </w:rPr>
        <w:t xml:space="preserve">steun </w:t>
      </w:r>
      <w:r>
        <w:rPr>
          <w:sz w:val="22"/>
          <w:szCs w:val="22"/>
        </w:rPr>
        <w:t xml:space="preserve">uit het Hermesfonds </w:t>
      </w:r>
      <w:r w:rsidRPr="00544584">
        <w:rPr>
          <w:sz w:val="22"/>
          <w:szCs w:val="22"/>
        </w:rPr>
        <w:t>vraagt het Agentschap Ondernemen aan de projectpromotor om zowel het logo van het Agentschap Ondernemen als het ViA-logo visibiliteit te geven. Dit is een generieke aanpak die gehanteerd wordt voor alle projecten waar steun aan verleend wordt.</w:t>
      </w:r>
    </w:p>
    <w:p w:rsidR="002D70F9" w:rsidRDefault="002D70F9" w:rsidP="00544584">
      <w:pPr>
        <w:ind w:left="360"/>
        <w:jc w:val="both"/>
        <w:rPr>
          <w:sz w:val="22"/>
          <w:szCs w:val="22"/>
        </w:rPr>
      </w:pPr>
    </w:p>
    <w:p w:rsidR="002D70F9" w:rsidRDefault="002D70F9" w:rsidP="00E9635C">
      <w:pPr>
        <w:jc w:val="both"/>
        <w:rPr>
          <w:sz w:val="22"/>
          <w:szCs w:val="22"/>
        </w:rPr>
      </w:pPr>
      <w:r w:rsidRPr="00544584">
        <w:rPr>
          <w:sz w:val="22"/>
          <w:szCs w:val="22"/>
        </w:rPr>
        <w:t>Het Agentschap Ondernemen ondersteunt de ViA</w:t>
      </w:r>
      <w:r>
        <w:rPr>
          <w:sz w:val="22"/>
          <w:szCs w:val="22"/>
        </w:rPr>
        <w:t>-</w:t>
      </w:r>
      <w:r w:rsidRPr="00544584">
        <w:rPr>
          <w:sz w:val="22"/>
          <w:szCs w:val="22"/>
        </w:rPr>
        <w:t xml:space="preserve">doorbraak </w:t>
      </w:r>
      <w:r>
        <w:rPr>
          <w:sz w:val="22"/>
          <w:szCs w:val="22"/>
        </w:rPr>
        <w:t>“D</w:t>
      </w:r>
      <w:r w:rsidRPr="00544584">
        <w:rPr>
          <w:sz w:val="22"/>
          <w:szCs w:val="22"/>
        </w:rPr>
        <w:t xml:space="preserve">e </w:t>
      </w:r>
      <w:r>
        <w:rPr>
          <w:sz w:val="22"/>
          <w:szCs w:val="22"/>
        </w:rPr>
        <w:t>O</w:t>
      </w:r>
      <w:r w:rsidRPr="00544584">
        <w:rPr>
          <w:sz w:val="22"/>
          <w:szCs w:val="22"/>
        </w:rPr>
        <w:t xml:space="preserve">pen </w:t>
      </w:r>
      <w:r>
        <w:rPr>
          <w:sz w:val="22"/>
          <w:szCs w:val="22"/>
        </w:rPr>
        <w:t>O</w:t>
      </w:r>
      <w:r w:rsidRPr="00544584">
        <w:rPr>
          <w:sz w:val="22"/>
          <w:szCs w:val="22"/>
        </w:rPr>
        <w:t>ndernemer</w:t>
      </w:r>
      <w:r>
        <w:rPr>
          <w:sz w:val="22"/>
          <w:szCs w:val="22"/>
        </w:rPr>
        <w:t>”</w:t>
      </w:r>
      <w:r w:rsidRPr="00544584">
        <w:rPr>
          <w:sz w:val="22"/>
          <w:szCs w:val="22"/>
        </w:rPr>
        <w:t>.</w:t>
      </w:r>
    </w:p>
    <w:sectPr w:rsidR="002D70F9" w:rsidSect="00825ABA">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81E"/>
    <w:multiLevelType w:val="hybridMultilevel"/>
    <w:tmpl w:val="349802E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nsid w:val="145E0798"/>
    <w:multiLevelType w:val="hybridMultilevel"/>
    <w:tmpl w:val="0538871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24A512C1"/>
    <w:multiLevelType w:val="hybridMultilevel"/>
    <w:tmpl w:val="6BDC3120"/>
    <w:lvl w:ilvl="0" w:tplc="D41E1256">
      <w:start w:val="2"/>
      <w:numFmt w:val="decimal"/>
      <w:lvlText w:val="%1."/>
      <w:lvlJc w:val="left"/>
      <w:pPr>
        <w:tabs>
          <w:tab w:val="num" w:pos="720"/>
        </w:tabs>
        <w:ind w:left="720" w:hanging="360"/>
      </w:pPr>
      <w:rPr>
        <w:rFonts w:cs="Times New Roman" w:hint="default"/>
      </w:rPr>
    </w:lvl>
    <w:lvl w:ilvl="1" w:tplc="AA8AE518" w:tentative="1">
      <w:start w:val="1"/>
      <w:numFmt w:val="lowerLetter"/>
      <w:lvlText w:val="%2."/>
      <w:lvlJc w:val="left"/>
      <w:pPr>
        <w:tabs>
          <w:tab w:val="num" w:pos="1440"/>
        </w:tabs>
        <w:ind w:left="1440" w:hanging="360"/>
      </w:pPr>
      <w:rPr>
        <w:rFonts w:cs="Times New Roman"/>
      </w:rPr>
    </w:lvl>
    <w:lvl w:ilvl="2" w:tplc="8A72BB14" w:tentative="1">
      <w:start w:val="1"/>
      <w:numFmt w:val="lowerRoman"/>
      <w:lvlText w:val="%3."/>
      <w:lvlJc w:val="right"/>
      <w:pPr>
        <w:tabs>
          <w:tab w:val="num" w:pos="2160"/>
        </w:tabs>
        <w:ind w:left="2160" w:hanging="180"/>
      </w:pPr>
      <w:rPr>
        <w:rFonts w:cs="Times New Roman"/>
      </w:rPr>
    </w:lvl>
    <w:lvl w:ilvl="3" w:tplc="624ED010" w:tentative="1">
      <w:start w:val="1"/>
      <w:numFmt w:val="decimal"/>
      <w:lvlText w:val="%4."/>
      <w:lvlJc w:val="left"/>
      <w:pPr>
        <w:tabs>
          <w:tab w:val="num" w:pos="2880"/>
        </w:tabs>
        <w:ind w:left="2880" w:hanging="360"/>
      </w:pPr>
      <w:rPr>
        <w:rFonts w:cs="Times New Roman"/>
      </w:rPr>
    </w:lvl>
    <w:lvl w:ilvl="4" w:tplc="8C3EC44E" w:tentative="1">
      <w:start w:val="1"/>
      <w:numFmt w:val="lowerLetter"/>
      <w:lvlText w:val="%5."/>
      <w:lvlJc w:val="left"/>
      <w:pPr>
        <w:tabs>
          <w:tab w:val="num" w:pos="3600"/>
        </w:tabs>
        <w:ind w:left="3600" w:hanging="360"/>
      </w:pPr>
      <w:rPr>
        <w:rFonts w:cs="Times New Roman"/>
      </w:rPr>
    </w:lvl>
    <w:lvl w:ilvl="5" w:tplc="97BA45DE" w:tentative="1">
      <w:start w:val="1"/>
      <w:numFmt w:val="lowerRoman"/>
      <w:lvlText w:val="%6."/>
      <w:lvlJc w:val="right"/>
      <w:pPr>
        <w:tabs>
          <w:tab w:val="num" w:pos="4320"/>
        </w:tabs>
        <w:ind w:left="4320" w:hanging="180"/>
      </w:pPr>
      <w:rPr>
        <w:rFonts w:cs="Times New Roman"/>
      </w:rPr>
    </w:lvl>
    <w:lvl w:ilvl="6" w:tplc="B4BE8342" w:tentative="1">
      <w:start w:val="1"/>
      <w:numFmt w:val="decimal"/>
      <w:lvlText w:val="%7."/>
      <w:lvlJc w:val="left"/>
      <w:pPr>
        <w:tabs>
          <w:tab w:val="num" w:pos="5040"/>
        </w:tabs>
        <w:ind w:left="5040" w:hanging="360"/>
      </w:pPr>
      <w:rPr>
        <w:rFonts w:cs="Times New Roman"/>
      </w:rPr>
    </w:lvl>
    <w:lvl w:ilvl="7" w:tplc="0AACE298" w:tentative="1">
      <w:start w:val="1"/>
      <w:numFmt w:val="lowerLetter"/>
      <w:lvlText w:val="%8."/>
      <w:lvlJc w:val="left"/>
      <w:pPr>
        <w:tabs>
          <w:tab w:val="num" w:pos="5760"/>
        </w:tabs>
        <w:ind w:left="5760" w:hanging="360"/>
      </w:pPr>
      <w:rPr>
        <w:rFonts w:cs="Times New Roman"/>
      </w:rPr>
    </w:lvl>
    <w:lvl w:ilvl="8" w:tplc="89E6E56C" w:tentative="1">
      <w:start w:val="1"/>
      <w:numFmt w:val="lowerRoman"/>
      <w:lvlText w:val="%9."/>
      <w:lvlJc w:val="right"/>
      <w:pPr>
        <w:tabs>
          <w:tab w:val="num" w:pos="6480"/>
        </w:tabs>
        <w:ind w:left="6480" w:hanging="180"/>
      </w:pPr>
      <w:rPr>
        <w:rFonts w:cs="Times New Roman"/>
      </w:rPr>
    </w:lvl>
  </w:abstractNum>
  <w:abstractNum w:abstractNumId="3">
    <w:nsid w:val="2ECA4276"/>
    <w:multiLevelType w:val="hybridMultilevel"/>
    <w:tmpl w:val="C7F2199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4BF4883"/>
    <w:multiLevelType w:val="hybridMultilevel"/>
    <w:tmpl w:val="1FDCBDA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6B05733B"/>
    <w:multiLevelType w:val="hybridMultilevel"/>
    <w:tmpl w:val="045EC800"/>
    <w:lvl w:ilvl="0" w:tplc="E090B45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C40"/>
    <w:rsid w:val="00045E43"/>
    <w:rsid w:val="00056EB2"/>
    <w:rsid w:val="00157A87"/>
    <w:rsid w:val="001747B4"/>
    <w:rsid w:val="001F0937"/>
    <w:rsid w:val="002730B7"/>
    <w:rsid w:val="002D70F9"/>
    <w:rsid w:val="0037652C"/>
    <w:rsid w:val="005431C7"/>
    <w:rsid w:val="00544584"/>
    <w:rsid w:val="00571789"/>
    <w:rsid w:val="005D2511"/>
    <w:rsid w:val="00627353"/>
    <w:rsid w:val="006A324D"/>
    <w:rsid w:val="006E10AE"/>
    <w:rsid w:val="006F7264"/>
    <w:rsid w:val="007A666B"/>
    <w:rsid w:val="007B527F"/>
    <w:rsid w:val="00825ABA"/>
    <w:rsid w:val="0086288E"/>
    <w:rsid w:val="009976C1"/>
    <w:rsid w:val="009E2C40"/>
    <w:rsid w:val="00A8473D"/>
    <w:rsid w:val="00AB0AA4"/>
    <w:rsid w:val="00BB49C6"/>
    <w:rsid w:val="00D522C8"/>
    <w:rsid w:val="00E9635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BA"/>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825ABA"/>
    <w:pPr>
      <w:jc w:val="both"/>
    </w:pPr>
    <w:rPr>
      <w:sz w:val="22"/>
      <w:szCs w:val="20"/>
    </w:rPr>
  </w:style>
  <w:style w:type="paragraph" w:styleId="BalloonText">
    <w:name w:val="Balloon Text"/>
    <w:basedOn w:val="Normal"/>
    <w:link w:val="BalloonTextChar"/>
    <w:uiPriority w:val="99"/>
    <w:semiHidden/>
    <w:rsid w:val="00825ABA"/>
    <w:rPr>
      <w:rFonts w:ascii="Tahoma" w:hAnsi="Tahoma" w:cs="Tahoma"/>
      <w:sz w:val="16"/>
      <w:szCs w:val="16"/>
    </w:rPr>
  </w:style>
  <w:style w:type="character" w:customStyle="1" w:styleId="BalloonTextChar">
    <w:name w:val="Balloon Text Char"/>
    <w:basedOn w:val="DefaultParagraphFont"/>
    <w:link w:val="BalloonText"/>
    <w:uiPriority w:val="99"/>
    <w:semiHidden/>
    <w:rsid w:val="00AD7EE8"/>
    <w:rPr>
      <w:sz w:val="0"/>
      <w:szCs w:val="0"/>
      <w:lang w:val="nl-NL" w:eastAsia="nl-NL"/>
    </w:rPr>
  </w:style>
  <w:style w:type="paragraph" w:styleId="EnvelopeAddress">
    <w:name w:val="envelope address"/>
    <w:basedOn w:val="Normal"/>
    <w:uiPriority w:val="99"/>
    <w:rsid w:val="002730B7"/>
    <w:pPr>
      <w:framePr w:w="7920" w:h="1980" w:hRule="exact" w:hSpace="141" w:wrap="auto" w:hAnchor="page" w:xAlign="center" w:yAlign="bottom"/>
      <w:ind w:left="288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2</TotalTime>
  <Pages>1</Pages>
  <Words>438</Words>
  <Characters>2411</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dewaller</dc:creator>
  <cp:keywords/>
  <dc:description/>
  <cp:lastModifiedBy>Nathalie De Keyzer</cp:lastModifiedBy>
  <cp:revision>4</cp:revision>
  <cp:lastPrinted>2007-12-14T08:15:00Z</cp:lastPrinted>
  <dcterms:created xsi:type="dcterms:W3CDTF">2011-01-04T08:14:00Z</dcterms:created>
  <dcterms:modified xsi:type="dcterms:W3CDTF">2011-01-10T10:15:00Z</dcterms:modified>
</cp:coreProperties>
</file>