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83292" w:rsidRPr="00DD4121" w:rsidRDefault="00C83292"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C83292" w:rsidRPr="00015BF7" w:rsidRDefault="00C83292"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C83292" w:rsidRPr="00015BF7" w:rsidRDefault="00C83292" w:rsidP="000976E9">
      <w:pPr>
        <w:rPr>
          <w:szCs w:val="22"/>
        </w:rPr>
      </w:pPr>
    </w:p>
    <w:p w:rsidR="00C83292" w:rsidRPr="00DB41C0" w:rsidRDefault="00C83292" w:rsidP="000976E9">
      <w:pPr>
        <w:pStyle w:val="A-Lijn"/>
      </w:pPr>
    </w:p>
    <w:p w:rsidR="00C83292" w:rsidRDefault="00C83292" w:rsidP="000976E9">
      <w:pPr>
        <w:pStyle w:val="A-Type"/>
        <w:sectPr w:rsidR="00C83292">
          <w:pgSz w:w="11906" w:h="16838"/>
          <w:pgMar w:top="1417" w:right="1417" w:bottom="1417" w:left="1417" w:header="708" w:footer="708" w:gutter="0"/>
          <w:cols w:space="708"/>
          <w:rtlGutter/>
          <w:docGrid w:linePitch="360"/>
        </w:sectPr>
      </w:pPr>
    </w:p>
    <w:p w:rsidR="00C83292" w:rsidRDefault="00C83292" w:rsidP="000976E9">
      <w:pPr>
        <w:pStyle w:val="A-Type"/>
        <w:sectPr w:rsidR="00C8329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C83292" w:rsidRPr="00326A58" w:rsidRDefault="00C83292"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70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17</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83292" w:rsidRDefault="00C83292"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els robeyns</w:t>
      </w:r>
      <w:r w:rsidRPr="009D7043">
        <w:rPr>
          <w:rStyle w:val="AntwoordNaamMinisterChar"/>
          <w:sz w:val="22"/>
        </w:rPr>
        <w:fldChar w:fldCharType="end"/>
      </w:r>
    </w:p>
    <w:p w:rsidR="00C83292" w:rsidRPr="00015BF7" w:rsidRDefault="00C83292" w:rsidP="000976E9">
      <w:pPr>
        <w:rPr>
          <w:szCs w:val="22"/>
        </w:rPr>
      </w:pPr>
    </w:p>
    <w:p w:rsidR="00C83292" w:rsidRPr="00DB41C0" w:rsidRDefault="00C83292" w:rsidP="000976E9">
      <w:pPr>
        <w:pStyle w:val="A-Lijn"/>
      </w:pPr>
    </w:p>
    <w:p w:rsidR="00C83292" w:rsidRPr="00DB41C0" w:rsidRDefault="00C83292" w:rsidP="000976E9">
      <w:pPr>
        <w:pStyle w:val="A-Lijn"/>
      </w:pPr>
    </w:p>
    <w:p w:rsidR="00C83292" w:rsidRDefault="00C83292" w:rsidP="00DB41C0">
      <w:pPr>
        <w:sectPr w:rsidR="00C83292" w:rsidSect="000976E9">
          <w:type w:val="continuous"/>
          <w:pgSz w:w="11906" w:h="16838"/>
          <w:pgMar w:top="1417" w:right="1417" w:bottom="1417" w:left="1417" w:header="708" w:footer="708" w:gutter="0"/>
          <w:cols w:space="708"/>
          <w:rtlGutter/>
          <w:docGrid w:linePitch="360"/>
        </w:sectPr>
      </w:pPr>
    </w:p>
    <w:p w:rsidR="00C83292" w:rsidRPr="00784F6D" w:rsidRDefault="00C83292" w:rsidP="009F1800">
      <w:pPr>
        <w:pStyle w:val="StandaardSV"/>
        <w:numPr>
          <w:ilvl w:val="0"/>
          <w:numId w:val="3"/>
        </w:numPr>
      </w:pPr>
      <w:r w:rsidRPr="00784F6D">
        <w:t xml:space="preserve">Vanaf 2007 konden geen nieuwe verbintenissen groenbedekking meer afgesloten worden. Deze maatregel was enkel van toepassing in de programmaperiode 2000-2006. vanaf 1 januari 2007 wordt enkel subsidie verleend aan de landbouwers met een lopende vijfjarige verbintenis </w:t>
      </w:r>
    </w:p>
    <w:p w:rsidR="00C83292" w:rsidRPr="00784F6D" w:rsidRDefault="00C83292" w:rsidP="009F1800">
      <w:pPr>
        <w:pStyle w:val="StandaardSV"/>
        <w:ind w:left="360"/>
      </w:pPr>
      <w:r w:rsidRPr="00784F6D">
        <w:t>Dit betekent concreet dat deze verbintenissen aflopen in 2010.</w:t>
      </w:r>
    </w:p>
    <w:p w:rsidR="00C83292" w:rsidRPr="00784F6D" w:rsidRDefault="00C83292" w:rsidP="009F1800">
      <w:pPr>
        <w:pStyle w:val="StandaardSV"/>
        <w:ind w:left="360"/>
      </w:pPr>
      <w:r w:rsidRPr="00784F6D">
        <w:t>Hieronder wordt voor 2009 en 2010 het aantal lopende verbintenissen groenbedekking weergegeven evenals het areaal waarvoor ‘GB’ werd aangegeven.</w:t>
      </w:r>
    </w:p>
    <w:p w:rsidR="00C83292" w:rsidRPr="00784F6D" w:rsidRDefault="00C83292" w:rsidP="009F1800">
      <w:pPr>
        <w:pStyle w:val="StandaardSV"/>
        <w:ind w:left="360"/>
      </w:pPr>
    </w:p>
    <w:p w:rsidR="00C83292" w:rsidRPr="00784F6D" w:rsidRDefault="00C83292" w:rsidP="009F1800">
      <w:pPr>
        <w:pStyle w:val="StandaardSV"/>
        <w:ind w:left="360"/>
      </w:pPr>
      <w:r w:rsidRPr="00784F6D">
        <w:t>Tabel 1: overzicht van aantal en arealen van de lopende verbintenissen in 2009 en 2010</w:t>
      </w:r>
    </w:p>
    <w:p w:rsidR="00C83292" w:rsidRPr="00784F6D" w:rsidRDefault="00C83292" w:rsidP="009F1800">
      <w:pPr>
        <w:pStyle w:val="StandaardSV"/>
        <w:ind w:left="360"/>
      </w:pPr>
    </w:p>
    <w:tbl>
      <w:tblPr>
        <w:tblW w:w="793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2"/>
        <w:gridCol w:w="1489"/>
        <w:gridCol w:w="1489"/>
        <w:gridCol w:w="1489"/>
        <w:gridCol w:w="1489"/>
      </w:tblGrid>
      <w:tr w:rsidR="00C83292" w:rsidRPr="00784F6D" w:rsidTr="009F1800">
        <w:tc>
          <w:tcPr>
            <w:tcW w:w="1982" w:type="dxa"/>
          </w:tcPr>
          <w:p w:rsidR="00C83292" w:rsidRPr="00784F6D" w:rsidRDefault="00C83292" w:rsidP="00F83168">
            <w:pPr>
              <w:pStyle w:val="StandaardSV"/>
            </w:pPr>
            <w:r w:rsidRPr="00784F6D">
              <w:t>Jaar</w:t>
            </w:r>
          </w:p>
        </w:tc>
        <w:tc>
          <w:tcPr>
            <w:tcW w:w="2978" w:type="dxa"/>
            <w:gridSpan w:val="2"/>
          </w:tcPr>
          <w:p w:rsidR="00C83292" w:rsidRPr="00784F6D" w:rsidRDefault="00C83292" w:rsidP="00F83168">
            <w:pPr>
              <w:pStyle w:val="StandaardSV"/>
              <w:jc w:val="center"/>
            </w:pPr>
            <w:r w:rsidRPr="00784F6D">
              <w:t>2009</w:t>
            </w:r>
          </w:p>
        </w:tc>
        <w:tc>
          <w:tcPr>
            <w:tcW w:w="2978" w:type="dxa"/>
            <w:gridSpan w:val="2"/>
          </w:tcPr>
          <w:p w:rsidR="00C83292" w:rsidRPr="00784F6D" w:rsidRDefault="00C83292" w:rsidP="00F83168">
            <w:pPr>
              <w:pStyle w:val="StandaardSV"/>
              <w:jc w:val="center"/>
            </w:pPr>
            <w:r w:rsidRPr="00784F6D">
              <w:t>2010</w:t>
            </w:r>
          </w:p>
        </w:tc>
      </w:tr>
      <w:tr w:rsidR="00C83292" w:rsidRPr="00784F6D" w:rsidTr="009F1800">
        <w:tc>
          <w:tcPr>
            <w:tcW w:w="1982" w:type="dxa"/>
          </w:tcPr>
          <w:p w:rsidR="00C83292" w:rsidRPr="00784F6D" w:rsidRDefault="00C83292" w:rsidP="00F83168">
            <w:pPr>
              <w:pStyle w:val="StandaardSV"/>
            </w:pPr>
            <w:r w:rsidRPr="00784F6D">
              <w:t>Provincie</w:t>
            </w:r>
          </w:p>
        </w:tc>
        <w:tc>
          <w:tcPr>
            <w:tcW w:w="1489" w:type="dxa"/>
          </w:tcPr>
          <w:p w:rsidR="00C83292" w:rsidRPr="00784F6D" w:rsidRDefault="00C83292" w:rsidP="00F83168">
            <w:pPr>
              <w:pStyle w:val="StandaardSV"/>
            </w:pPr>
            <w:r w:rsidRPr="00784F6D">
              <w:t>Aantal</w:t>
            </w:r>
          </w:p>
        </w:tc>
        <w:tc>
          <w:tcPr>
            <w:tcW w:w="1489" w:type="dxa"/>
          </w:tcPr>
          <w:p w:rsidR="00C83292" w:rsidRPr="00784F6D" w:rsidRDefault="00C83292" w:rsidP="00F83168">
            <w:pPr>
              <w:pStyle w:val="StandaardSV"/>
            </w:pPr>
            <w:r w:rsidRPr="00784F6D">
              <w:t>Areaal (ha)</w:t>
            </w:r>
          </w:p>
        </w:tc>
        <w:tc>
          <w:tcPr>
            <w:tcW w:w="1489" w:type="dxa"/>
          </w:tcPr>
          <w:p w:rsidR="00C83292" w:rsidRPr="00784F6D" w:rsidRDefault="00C83292" w:rsidP="00F83168">
            <w:pPr>
              <w:pStyle w:val="StandaardSV"/>
            </w:pPr>
            <w:r w:rsidRPr="00784F6D">
              <w:t>Aantal</w:t>
            </w:r>
          </w:p>
        </w:tc>
        <w:tc>
          <w:tcPr>
            <w:tcW w:w="1489" w:type="dxa"/>
          </w:tcPr>
          <w:p w:rsidR="00C83292" w:rsidRPr="00784F6D" w:rsidRDefault="00C83292" w:rsidP="00F83168">
            <w:pPr>
              <w:pStyle w:val="StandaardSV"/>
            </w:pPr>
            <w:r w:rsidRPr="00784F6D">
              <w:t>Areaal (ha)</w:t>
            </w:r>
          </w:p>
        </w:tc>
      </w:tr>
      <w:tr w:rsidR="00C83292" w:rsidRPr="00784F6D" w:rsidTr="009F1800">
        <w:tc>
          <w:tcPr>
            <w:tcW w:w="1982" w:type="dxa"/>
          </w:tcPr>
          <w:p w:rsidR="00C83292" w:rsidRPr="00784F6D" w:rsidRDefault="00C83292" w:rsidP="00F83168">
            <w:pPr>
              <w:pStyle w:val="StandaardSV"/>
            </w:pPr>
            <w:r w:rsidRPr="00784F6D">
              <w:t>Antwerpen</w:t>
            </w:r>
          </w:p>
        </w:tc>
        <w:tc>
          <w:tcPr>
            <w:tcW w:w="1489" w:type="dxa"/>
          </w:tcPr>
          <w:p w:rsidR="00C83292" w:rsidRPr="00784F6D" w:rsidRDefault="00C83292" w:rsidP="00F83168">
            <w:pPr>
              <w:pStyle w:val="StandaardSV"/>
              <w:jc w:val="right"/>
            </w:pPr>
            <w:r w:rsidRPr="00784F6D">
              <w:t>310</w:t>
            </w:r>
          </w:p>
        </w:tc>
        <w:tc>
          <w:tcPr>
            <w:tcW w:w="1489" w:type="dxa"/>
          </w:tcPr>
          <w:p w:rsidR="00C83292" w:rsidRPr="00784F6D" w:rsidRDefault="00C83292" w:rsidP="00F83168">
            <w:pPr>
              <w:pStyle w:val="StandaardSV"/>
              <w:jc w:val="right"/>
            </w:pPr>
            <w:r w:rsidRPr="00784F6D">
              <w:t>3777</w:t>
            </w:r>
          </w:p>
        </w:tc>
        <w:tc>
          <w:tcPr>
            <w:tcW w:w="1489" w:type="dxa"/>
          </w:tcPr>
          <w:p w:rsidR="00C83292" w:rsidRPr="00784F6D" w:rsidRDefault="00C83292" w:rsidP="00F83168">
            <w:pPr>
              <w:pStyle w:val="StandaardSV"/>
              <w:jc w:val="right"/>
            </w:pPr>
            <w:r w:rsidRPr="00784F6D">
              <w:t>118</w:t>
            </w:r>
          </w:p>
        </w:tc>
        <w:tc>
          <w:tcPr>
            <w:tcW w:w="1489" w:type="dxa"/>
          </w:tcPr>
          <w:p w:rsidR="00C83292" w:rsidRPr="00784F6D" w:rsidRDefault="00C83292" w:rsidP="00F83168">
            <w:pPr>
              <w:pStyle w:val="StandaardSV"/>
              <w:jc w:val="right"/>
            </w:pPr>
            <w:r w:rsidRPr="00784F6D">
              <w:t xml:space="preserve">1304 </w:t>
            </w:r>
          </w:p>
        </w:tc>
      </w:tr>
      <w:tr w:rsidR="00C83292" w:rsidRPr="00784F6D" w:rsidTr="009F1800">
        <w:tc>
          <w:tcPr>
            <w:tcW w:w="1982" w:type="dxa"/>
          </w:tcPr>
          <w:p w:rsidR="00C83292" w:rsidRPr="00784F6D" w:rsidRDefault="00C83292" w:rsidP="00F83168">
            <w:pPr>
              <w:pStyle w:val="StandaardSV"/>
            </w:pPr>
            <w:r w:rsidRPr="00784F6D">
              <w:t>Vlaams-Brabant</w:t>
            </w:r>
          </w:p>
        </w:tc>
        <w:tc>
          <w:tcPr>
            <w:tcW w:w="1489" w:type="dxa"/>
          </w:tcPr>
          <w:p w:rsidR="00C83292" w:rsidRPr="00784F6D" w:rsidRDefault="00C83292" w:rsidP="00F83168">
            <w:pPr>
              <w:pStyle w:val="StandaardSV"/>
              <w:jc w:val="right"/>
            </w:pPr>
            <w:r w:rsidRPr="00784F6D">
              <w:t>193</w:t>
            </w:r>
          </w:p>
        </w:tc>
        <w:tc>
          <w:tcPr>
            <w:tcW w:w="1489" w:type="dxa"/>
          </w:tcPr>
          <w:p w:rsidR="00C83292" w:rsidRPr="00784F6D" w:rsidRDefault="00C83292" w:rsidP="00F83168">
            <w:pPr>
              <w:pStyle w:val="StandaardSV"/>
              <w:jc w:val="right"/>
            </w:pPr>
            <w:r w:rsidRPr="00784F6D">
              <w:t>1369</w:t>
            </w:r>
          </w:p>
        </w:tc>
        <w:tc>
          <w:tcPr>
            <w:tcW w:w="1489" w:type="dxa"/>
          </w:tcPr>
          <w:p w:rsidR="00C83292" w:rsidRPr="00784F6D" w:rsidRDefault="00C83292" w:rsidP="00F83168">
            <w:pPr>
              <w:pStyle w:val="StandaardSV"/>
              <w:jc w:val="right"/>
            </w:pPr>
            <w:r w:rsidRPr="00784F6D">
              <w:t>75</w:t>
            </w:r>
          </w:p>
        </w:tc>
        <w:tc>
          <w:tcPr>
            <w:tcW w:w="1489" w:type="dxa"/>
          </w:tcPr>
          <w:p w:rsidR="00C83292" w:rsidRPr="00784F6D" w:rsidRDefault="00C83292" w:rsidP="00F83168">
            <w:pPr>
              <w:pStyle w:val="StandaardSV"/>
              <w:jc w:val="right"/>
            </w:pPr>
            <w:r w:rsidRPr="00784F6D">
              <w:t>494</w:t>
            </w:r>
          </w:p>
        </w:tc>
      </w:tr>
      <w:tr w:rsidR="00C83292" w:rsidRPr="00784F6D" w:rsidTr="009F1800">
        <w:tc>
          <w:tcPr>
            <w:tcW w:w="1982" w:type="dxa"/>
          </w:tcPr>
          <w:p w:rsidR="00C83292" w:rsidRPr="00784F6D" w:rsidRDefault="00C83292" w:rsidP="00F83168">
            <w:pPr>
              <w:pStyle w:val="StandaardSV"/>
            </w:pPr>
            <w:r w:rsidRPr="00784F6D">
              <w:t>West-Vlaanderen</w:t>
            </w:r>
          </w:p>
        </w:tc>
        <w:tc>
          <w:tcPr>
            <w:tcW w:w="1489" w:type="dxa"/>
          </w:tcPr>
          <w:p w:rsidR="00C83292" w:rsidRPr="00784F6D" w:rsidRDefault="00C83292" w:rsidP="00F83168">
            <w:pPr>
              <w:pStyle w:val="StandaardSV"/>
              <w:jc w:val="right"/>
            </w:pPr>
            <w:r w:rsidRPr="00784F6D">
              <w:t>712</w:t>
            </w:r>
          </w:p>
        </w:tc>
        <w:tc>
          <w:tcPr>
            <w:tcW w:w="1489" w:type="dxa"/>
          </w:tcPr>
          <w:p w:rsidR="00C83292" w:rsidRPr="00784F6D" w:rsidRDefault="00C83292" w:rsidP="00F83168">
            <w:pPr>
              <w:pStyle w:val="StandaardSV"/>
              <w:jc w:val="right"/>
            </w:pPr>
            <w:r w:rsidRPr="00784F6D">
              <w:t>4355</w:t>
            </w:r>
          </w:p>
        </w:tc>
        <w:tc>
          <w:tcPr>
            <w:tcW w:w="1489" w:type="dxa"/>
          </w:tcPr>
          <w:p w:rsidR="00C83292" w:rsidRPr="00784F6D" w:rsidRDefault="00C83292" w:rsidP="00F83168">
            <w:pPr>
              <w:pStyle w:val="StandaardSV"/>
              <w:jc w:val="right"/>
            </w:pPr>
            <w:r w:rsidRPr="00784F6D">
              <w:t>227</w:t>
            </w:r>
          </w:p>
        </w:tc>
        <w:tc>
          <w:tcPr>
            <w:tcW w:w="1489" w:type="dxa"/>
          </w:tcPr>
          <w:p w:rsidR="00C83292" w:rsidRPr="00784F6D" w:rsidRDefault="00C83292" w:rsidP="00F83168">
            <w:pPr>
              <w:pStyle w:val="StandaardSV"/>
              <w:jc w:val="right"/>
            </w:pPr>
            <w:r w:rsidRPr="00784F6D">
              <w:t>1143</w:t>
            </w:r>
          </w:p>
        </w:tc>
      </w:tr>
      <w:tr w:rsidR="00C83292" w:rsidRPr="00784F6D" w:rsidTr="009F1800">
        <w:tc>
          <w:tcPr>
            <w:tcW w:w="1982" w:type="dxa"/>
          </w:tcPr>
          <w:p w:rsidR="00C83292" w:rsidRPr="00784F6D" w:rsidRDefault="00C83292" w:rsidP="00F83168">
            <w:pPr>
              <w:pStyle w:val="StandaardSV"/>
            </w:pPr>
            <w:r w:rsidRPr="00784F6D">
              <w:t>Oost-Vlaanderen</w:t>
            </w:r>
          </w:p>
        </w:tc>
        <w:tc>
          <w:tcPr>
            <w:tcW w:w="1489" w:type="dxa"/>
          </w:tcPr>
          <w:p w:rsidR="00C83292" w:rsidRPr="00784F6D" w:rsidRDefault="00C83292" w:rsidP="00F83168">
            <w:pPr>
              <w:pStyle w:val="StandaardSV"/>
              <w:jc w:val="right"/>
            </w:pPr>
            <w:r w:rsidRPr="00784F6D">
              <w:t>608</w:t>
            </w:r>
          </w:p>
        </w:tc>
        <w:tc>
          <w:tcPr>
            <w:tcW w:w="1489" w:type="dxa"/>
          </w:tcPr>
          <w:p w:rsidR="00C83292" w:rsidRPr="00784F6D" w:rsidRDefault="00C83292" w:rsidP="00F83168">
            <w:pPr>
              <w:pStyle w:val="StandaardSV"/>
              <w:jc w:val="right"/>
            </w:pPr>
            <w:r w:rsidRPr="00784F6D">
              <w:t>4509</w:t>
            </w:r>
          </w:p>
        </w:tc>
        <w:tc>
          <w:tcPr>
            <w:tcW w:w="1489" w:type="dxa"/>
          </w:tcPr>
          <w:p w:rsidR="00C83292" w:rsidRPr="00784F6D" w:rsidRDefault="00C83292" w:rsidP="00F83168">
            <w:pPr>
              <w:pStyle w:val="StandaardSV"/>
              <w:jc w:val="right"/>
            </w:pPr>
            <w:r w:rsidRPr="00784F6D">
              <w:t>215</w:t>
            </w:r>
          </w:p>
        </w:tc>
        <w:tc>
          <w:tcPr>
            <w:tcW w:w="1489" w:type="dxa"/>
          </w:tcPr>
          <w:p w:rsidR="00C83292" w:rsidRPr="00784F6D" w:rsidRDefault="00C83292" w:rsidP="00F83168">
            <w:pPr>
              <w:pStyle w:val="StandaardSV"/>
              <w:jc w:val="right"/>
            </w:pPr>
            <w:r w:rsidRPr="00784F6D">
              <w:t>1315</w:t>
            </w:r>
          </w:p>
        </w:tc>
      </w:tr>
      <w:tr w:rsidR="00C83292" w:rsidRPr="00784F6D" w:rsidTr="009F1800">
        <w:tc>
          <w:tcPr>
            <w:tcW w:w="1982" w:type="dxa"/>
          </w:tcPr>
          <w:p w:rsidR="00C83292" w:rsidRPr="00784F6D" w:rsidRDefault="00C83292" w:rsidP="00F83168">
            <w:pPr>
              <w:pStyle w:val="StandaardSV"/>
            </w:pPr>
            <w:r w:rsidRPr="00784F6D">
              <w:t>Limburg</w:t>
            </w:r>
          </w:p>
        </w:tc>
        <w:tc>
          <w:tcPr>
            <w:tcW w:w="1489" w:type="dxa"/>
          </w:tcPr>
          <w:p w:rsidR="00C83292" w:rsidRPr="00784F6D" w:rsidRDefault="00C83292" w:rsidP="00F83168">
            <w:pPr>
              <w:pStyle w:val="StandaardSV"/>
              <w:jc w:val="right"/>
            </w:pPr>
            <w:r w:rsidRPr="00784F6D">
              <w:t>220</w:t>
            </w:r>
          </w:p>
        </w:tc>
        <w:tc>
          <w:tcPr>
            <w:tcW w:w="1489" w:type="dxa"/>
          </w:tcPr>
          <w:p w:rsidR="00C83292" w:rsidRPr="00784F6D" w:rsidRDefault="00C83292" w:rsidP="00F83168">
            <w:pPr>
              <w:pStyle w:val="StandaardSV"/>
              <w:jc w:val="right"/>
            </w:pPr>
            <w:r w:rsidRPr="00784F6D">
              <w:t>2339</w:t>
            </w:r>
          </w:p>
        </w:tc>
        <w:tc>
          <w:tcPr>
            <w:tcW w:w="1489" w:type="dxa"/>
          </w:tcPr>
          <w:p w:rsidR="00C83292" w:rsidRPr="00784F6D" w:rsidRDefault="00C83292" w:rsidP="00F83168">
            <w:pPr>
              <w:pStyle w:val="StandaardSV"/>
              <w:jc w:val="right"/>
            </w:pPr>
            <w:r w:rsidRPr="00784F6D">
              <w:t>96</w:t>
            </w:r>
          </w:p>
        </w:tc>
        <w:tc>
          <w:tcPr>
            <w:tcW w:w="1489" w:type="dxa"/>
          </w:tcPr>
          <w:p w:rsidR="00C83292" w:rsidRPr="00784F6D" w:rsidRDefault="00C83292" w:rsidP="00F83168">
            <w:pPr>
              <w:pStyle w:val="StandaardSV"/>
              <w:jc w:val="right"/>
            </w:pPr>
            <w:r w:rsidRPr="00784F6D">
              <w:t>1079</w:t>
            </w:r>
          </w:p>
        </w:tc>
      </w:tr>
      <w:tr w:rsidR="00C83292" w:rsidRPr="00784F6D" w:rsidTr="009F1800">
        <w:tc>
          <w:tcPr>
            <w:tcW w:w="1982" w:type="dxa"/>
          </w:tcPr>
          <w:p w:rsidR="00C83292" w:rsidRPr="00784F6D" w:rsidRDefault="00C83292" w:rsidP="00F83168">
            <w:pPr>
              <w:pStyle w:val="StandaardSV"/>
            </w:pPr>
            <w:r w:rsidRPr="00784F6D">
              <w:t>TOTAAL</w:t>
            </w:r>
          </w:p>
        </w:tc>
        <w:tc>
          <w:tcPr>
            <w:tcW w:w="1489" w:type="dxa"/>
          </w:tcPr>
          <w:p w:rsidR="00C83292" w:rsidRPr="00784F6D" w:rsidRDefault="00C83292" w:rsidP="00F83168">
            <w:pPr>
              <w:pStyle w:val="StandaardSV"/>
              <w:jc w:val="right"/>
            </w:pPr>
            <w:r w:rsidRPr="00784F6D">
              <w:t>2043</w:t>
            </w:r>
          </w:p>
        </w:tc>
        <w:tc>
          <w:tcPr>
            <w:tcW w:w="1489" w:type="dxa"/>
          </w:tcPr>
          <w:p w:rsidR="00C83292" w:rsidRPr="00784F6D" w:rsidRDefault="00C83292" w:rsidP="00F83168">
            <w:pPr>
              <w:pStyle w:val="StandaardSV"/>
              <w:jc w:val="right"/>
            </w:pPr>
            <w:r w:rsidRPr="00784F6D">
              <w:t>16349</w:t>
            </w:r>
          </w:p>
        </w:tc>
        <w:tc>
          <w:tcPr>
            <w:tcW w:w="1489" w:type="dxa"/>
          </w:tcPr>
          <w:p w:rsidR="00C83292" w:rsidRPr="00784F6D" w:rsidRDefault="00C83292" w:rsidP="00F83168">
            <w:pPr>
              <w:pStyle w:val="StandaardSV"/>
              <w:jc w:val="right"/>
            </w:pPr>
            <w:r w:rsidRPr="00784F6D">
              <w:t>731</w:t>
            </w:r>
          </w:p>
        </w:tc>
        <w:tc>
          <w:tcPr>
            <w:tcW w:w="1489" w:type="dxa"/>
          </w:tcPr>
          <w:p w:rsidR="00C83292" w:rsidRPr="00784F6D" w:rsidRDefault="00C83292" w:rsidP="00F83168">
            <w:pPr>
              <w:pStyle w:val="StandaardSV"/>
              <w:jc w:val="right"/>
            </w:pPr>
            <w:r w:rsidRPr="00784F6D">
              <w:t>5335</w:t>
            </w:r>
          </w:p>
        </w:tc>
      </w:tr>
    </w:tbl>
    <w:p w:rsidR="00C83292" w:rsidRPr="00784F6D" w:rsidRDefault="00C83292" w:rsidP="009F1800">
      <w:pPr>
        <w:pStyle w:val="StandaardSV"/>
      </w:pPr>
    </w:p>
    <w:p w:rsidR="00C83292" w:rsidRDefault="00C83292" w:rsidP="005E7E5B">
      <w:pPr>
        <w:pStyle w:val="StandaardSV"/>
        <w:numPr>
          <w:ilvl w:val="0"/>
          <w:numId w:val="3"/>
        </w:numPr>
      </w:pPr>
      <w:r>
        <w:t>Tabel 2: uitbetaalde subsidie per provincie voor groenbedekking in 2009</w:t>
      </w:r>
    </w:p>
    <w:p w:rsidR="00C83292" w:rsidRDefault="00C83292" w:rsidP="009F1800">
      <w:pPr>
        <w:pStyle w:val="StandaardSV"/>
        <w:ind w:firstLine="426"/>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1843"/>
      </w:tblGrid>
      <w:tr w:rsidR="00C83292" w:rsidRPr="00784F6D" w:rsidTr="009F1800">
        <w:tc>
          <w:tcPr>
            <w:tcW w:w="2126" w:type="dxa"/>
          </w:tcPr>
          <w:p w:rsidR="00C83292" w:rsidRPr="00784F6D" w:rsidRDefault="00C83292" w:rsidP="00F83168">
            <w:pPr>
              <w:pStyle w:val="StandaardSV"/>
            </w:pPr>
            <w:r w:rsidRPr="00784F6D">
              <w:t>2009</w:t>
            </w:r>
          </w:p>
        </w:tc>
        <w:tc>
          <w:tcPr>
            <w:tcW w:w="1843" w:type="dxa"/>
          </w:tcPr>
          <w:p w:rsidR="00C83292" w:rsidRPr="00784F6D" w:rsidRDefault="00C83292" w:rsidP="00F83168">
            <w:pPr>
              <w:pStyle w:val="StandaardSV"/>
            </w:pPr>
            <w:r w:rsidRPr="00784F6D">
              <w:t>Bedrag (in euro)</w:t>
            </w:r>
          </w:p>
        </w:tc>
      </w:tr>
      <w:tr w:rsidR="00C83292" w:rsidRPr="00784F6D" w:rsidTr="009F1800">
        <w:tc>
          <w:tcPr>
            <w:tcW w:w="2126" w:type="dxa"/>
          </w:tcPr>
          <w:p w:rsidR="00C83292" w:rsidRPr="00784F6D" w:rsidRDefault="00C83292" w:rsidP="00F83168">
            <w:pPr>
              <w:pStyle w:val="StandaardSV"/>
            </w:pPr>
            <w:r w:rsidRPr="00784F6D">
              <w:t>Antwerpen</w:t>
            </w:r>
          </w:p>
        </w:tc>
        <w:tc>
          <w:tcPr>
            <w:tcW w:w="1843" w:type="dxa"/>
          </w:tcPr>
          <w:p w:rsidR="00C83292" w:rsidRPr="00784F6D" w:rsidRDefault="00C83292" w:rsidP="00F83168">
            <w:pPr>
              <w:pStyle w:val="StandaardSV"/>
              <w:jc w:val="right"/>
            </w:pPr>
            <w:r w:rsidRPr="00784F6D">
              <w:t>179.845,00</w:t>
            </w:r>
          </w:p>
        </w:tc>
      </w:tr>
      <w:tr w:rsidR="00C83292" w:rsidRPr="00784F6D" w:rsidTr="009F1800">
        <w:tc>
          <w:tcPr>
            <w:tcW w:w="2126" w:type="dxa"/>
          </w:tcPr>
          <w:p w:rsidR="00C83292" w:rsidRPr="00784F6D" w:rsidRDefault="00C83292" w:rsidP="00F83168">
            <w:pPr>
              <w:pStyle w:val="StandaardSV"/>
            </w:pPr>
            <w:r w:rsidRPr="00784F6D">
              <w:t>Vlaams-Brabant</w:t>
            </w:r>
          </w:p>
        </w:tc>
        <w:tc>
          <w:tcPr>
            <w:tcW w:w="1843" w:type="dxa"/>
          </w:tcPr>
          <w:p w:rsidR="00C83292" w:rsidRPr="00784F6D" w:rsidRDefault="00C83292" w:rsidP="00F83168">
            <w:pPr>
              <w:pStyle w:val="StandaardSV"/>
              <w:jc w:val="right"/>
            </w:pPr>
            <w:r w:rsidRPr="00784F6D">
              <w:t>63.469,98</w:t>
            </w:r>
          </w:p>
        </w:tc>
      </w:tr>
      <w:tr w:rsidR="00C83292" w:rsidRPr="00784F6D" w:rsidTr="009F1800">
        <w:tc>
          <w:tcPr>
            <w:tcW w:w="2126" w:type="dxa"/>
          </w:tcPr>
          <w:p w:rsidR="00C83292" w:rsidRPr="00784F6D" w:rsidRDefault="00C83292" w:rsidP="00F83168">
            <w:pPr>
              <w:pStyle w:val="StandaardSV"/>
            </w:pPr>
            <w:r w:rsidRPr="00784F6D">
              <w:t>West-Vlaanderen</w:t>
            </w:r>
          </w:p>
        </w:tc>
        <w:tc>
          <w:tcPr>
            <w:tcW w:w="1843" w:type="dxa"/>
          </w:tcPr>
          <w:p w:rsidR="00C83292" w:rsidRPr="00784F6D" w:rsidRDefault="00C83292" w:rsidP="00F83168">
            <w:pPr>
              <w:pStyle w:val="StandaardSV"/>
              <w:jc w:val="right"/>
            </w:pPr>
            <w:r w:rsidRPr="00784F6D">
              <w:t>203.761,29</w:t>
            </w:r>
          </w:p>
        </w:tc>
      </w:tr>
      <w:tr w:rsidR="00C83292" w:rsidRPr="00784F6D" w:rsidTr="009F1800">
        <w:tc>
          <w:tcPr>
            <w:tcW w:w="2126" w:type="dxa"/>
          </w:tcPr>
          <w:p w:rsidR="00C83292" w:rsidRPr="00784F6D" w:rsidRDefault="00C83292" w:rsidP="00F83168">
            <w:pPr>
              <w:pStyle w:val="StandaardSV"/>
            </w:pPr>
            <w:r w:rsidRPr="00784F6D">
              <w:t>Oost-Vlaanderen</w:t>
            </w:r>
          </w:p>
        </w:tc>
        <w:tc>
          <w:tcPr>
            <w:tcW w:w="1843" w:type="dxa"/>
          </w:tcPr>
          <w:p w:rsidR="00C83292" w:rsidRPr="00784F6D" w:rsidRDefault="00C83292" w:rsidP="00F83168">
            <w:pPr>
              <w:pStyle w:val="StandaardSV"/>
              <w:jc w:val="right"/>
            </w:pPr>
            <w:r w:rsidRPr="00784F6D">
              <w:t>213.020,29</w:t>
            </w:r>
          </w:p>
        </w:tc>
      </w:tr>
      <w:tr w:rsidR="00C83292" w:rsidRPr="00784F6D" w:rsidTr="009F1800">
        <w:tc>
          <w:tcPr>
            <w:tcW w:w="2126" w:type="dxa"/>
          </w:tcPr>
          <w:p w:rsidR="00C83292" w:rsidRPr="00784F6D" w:rsidRDefault="00C83292" w:rsidP="00F83168">
            <w:pPr>
              <w:pStyle w:val="StandaardSV"/>
            </w:pPr>
            <w:r w:rsidRPr="00784F6D">
              <w:t>Limburg</w:t>
            </w:r>
          </w:p>
        </w:tc>
        <w:tc>
          <w:tcPr>
            <w:tcW w:w="1843" w:type="dxa"/>
          </w:tcPr>
          <w:p w:rsidR="00C83292" w:rsidRPr="00784F6D" w:rsidRDefault="00C83292" w:rsidP="00F83168">
            <w:pPr>
              <w:pStyle w:val="StandaardSV"/>
              <w:jc w:val="right"/>
            </w:pPr>
            <w:r w:rsidRPr="00784F6D">
              <w:t>118.654,20</w:t>
            </w:r>
          </w:p>
        </w:tc>
      </w:tr>
      <w:tr w:rsidR="00C83292" w:rsidRPr="00784F6D" w:rsidTr="009F1800">
        <w:tc>
          <w:tcPr>
            <w:tcW w:w="2126" w:type="dxa"/>
          </w:tcPr>
          <w:p w:rsidR="00C83292" w:rsidRPr="00784F6D" w:rsidRDefault="00C83292" w:rsidP="00F83168">
            <w:pPr>
              <w:pStyle w:val="StandaardSV"/>
            </w:pPr>
            <w:r w:rsidRPr="00784F6D">
              <w:t>TOTAAL</w:t>
            </w:r>
          </w:p>
        </w:tc>
        <w:tc>
          <w:tcPr>
            <w:tcW w:w="1843" w:type="dxa"/>
          </w:tcPr>
          <w:p w:rsidR="00C83292" w:rsidRPr="00784F6D" w:rsidRDefault="00C83292" w:rsidP="00F83168">
            <w:pPr>
              <w:pStyle w:val="StandaardSV"/>
              <w:jc w:val="right"/>
            </w:pPr>
            <w:r w:rsidRPr="00784F6D">
              <w:t>778.750,76</w:t>
            </w:r>
          </w:p>
        </w:tc>
      </w:tr>
    </w:tbl>
    <w:p w:rsidR="00C83292" w:rsidRPr="00784F6D" w:rsidRDefault="00C83292" w:rsidP="009F1800">
      <w:pPr>
        <w:pStyle w:val="StandaardSV"/>
        <w:ind w:left="708"/>
      </w:pPr>
    </w:p>
    <w:p w:rsidR="00C83292" w:rsidRPr="00784F6D" w:rsidRDefault="00C83292" w:rsidP="009F1800">
      <w:pPr>
        <w:pStyle w:val="StandaardSV"/>
        <w:ind w:left="426"/>
      </w:pPr>
      <w:r w:rsidRPr="00784F6D">
        <w:t>Voor 2010 is er nog geen betaling gebeurd.</w:t>
      </w:r>
    </w:p>
    <w:p w:rsidR="00C83292" w:rsidRDefault="00C83292" w:rsidP="009F1800">
      <w:pPr>
        <w:pStyle w:val="StandaardSV"/>
        <w:ind w:left="360"/>
      </w:pPr>
    </w:p>
    <w:p w:rsidR="00C83292" w:rsidRPr="00784F6D" w:rsidRDefault="00C83292" w:rsidP="009F1800">
      <w:pPr>
        <w:pStyle w:val="StandaardSV"/>
        <w:numPr>
          <w:ilvl w:val="0"/>
          <w:numId w:val="3"/>
        </w:numPr>
      </w:pPr>
      <w:r w:rsidRPr="00784F6D">
        <w:t>Op basis van de aangegeven nateelten in de verzamelaanvraag is een lichte daling van het areaal groenbedekking in Vlaanderen waar te nemen. Hierbij wordt elke geregistreerde nateelt meegenomen, ongeacht of er voor het perceel een subsidie voor groenbedekking is aangevraagd.</w:t>
      </w:r>
    </w:p>
    <w:p w:rsidR="00C83292" w:rsidRPr="00784F6D" w:rsidRDefault="00C83292" w:rsidP="009F1800">
      <w:pPr>
        <w:pStyle w:val="StandaardSV"/>
      </w:pPr>
    </w:p>
    <w:p w:rsidR="00C83292" w:rsidRDefault="00C83292" w:rsidP="009F1800">
      <w:pPr>
        <w:pStyle w:val="StandaardSV"/>
        <w:ind w:left="426"/>
      </w:pPr>
      <w:r w:rsidRPr="00784F6D">
        <w:t>Tabel 3: Totale arealen nateelten per jaar</w:t>
      </w:r>
    </w:p>
    <w:p w:rsidR="00C83292" w:rsidRPr="00784F6D" w:rsidRDefault="00C83292" w:rsidP="009F1800">
      <w:pPr>
        <w:pStyle w:val="StandaardSV"/>
        <w:ind w:left="426"/>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4"/>
        <w:gridCol w:w="2435"/>
        <w:gridCol w:w="2693"/>
      </w:tblGrid>
      <w:tr w:rsidR="00C83292" w:rsidRPr="00784F6D" w:rsidTr="009F1800">
        <w:tc>
          <w:tcPr>
            <w:tcW w:w="1534" w:type="dxa"/>
          </w:tcPr>
          <w:p w:rsidR="00C83292" w:rsidRPr="00784F6D" w:rsidRDefault="00C83292" w:rsidP="009F1800">
            <w:pPr>
              <w:pStyle w:val="StandaardSV"/>
              <w:ind w:left="426"/>
              <w:jc w:val="left"/>
            </w:pPr>
            <w:r w:rsidRPr="00784F6D">
              <w:t>campagne</w:t>
            </w:r>
          </w:p>
        </w:tc>
        <w:tc>
          <w:tcPr>
            <w:tcW w:w="2435" w:type="dxa"/>
          </w:tcPr>
          <w:p w:rsidR="00C83292" w:rsidRPr="00784F6D" w:rsidRDefault="00C83292" w:rsidP="009F1800">
            <w:pPr>
              <w:pStyle w:val="StandaardSV"/>
              <w:ind w:left="426"/>
              <w:jc w:val="left"/>
            </w:pPr>
            <w:r w:rsidRPr="00784F6D">
              <w:t>Aangegeven nateelt</w:t>
            </w:r>
          </w:p>
        </w:tc>
        <w:tc>
          <w:tcPr>
            <w:tcW w:w="2693" w:type="dxa"/>
          </w:tcPr>
          <w:p w:rsidR="00C83292" w:rsidRPr="00784F6D" w:rsidRDefault="00C83292" w:rsidP="009F1800">
            <w:pPr>
              <w:pStyle w:val="StandaardSV"/>
              <w:ind w:left="426"/>
              <w:jc w:val="left"/>
            </w:pPr>
            <w:r>
              <w:t>Premie groen</w:t>
            </w:r>
            <w:r w:rsidRPr="00784F6D">
              <w:t>bedekking</w:t>
            </w:r>
          </w:p>
        </w:tc>
      </w:tr>
      <w:tr w:rsidR="00C83292" w:rsidRPr="00784F6D" w:rsidTr="009F1800">
        <w:tc>
          <w:tcPr>
            <w:tcW w:w="1534" w:type="dxa"/>
          </w:tcPr>
          <w:p w:rsidR="00C83292" w:rsidRPr="00784F6D" w:rsidRDefault="00C83292" w:rsidP="009F1800">
            <w:pPr>
              <w:pStyle w:val="StandaardSV"/>
              <w:ind w:left="426"/>
            </w:pPr>
            <w:r w:rsidRPr="00784F6D">
              <w:t>2008</w:t>
            </w:r>
          </w:p>
        </w:tc>
        <w:tc>
          <w:tcPr>
            <w:tcW w:w="2435" w:type="dxa"/>
          </w:tcPr>
          <w:p w:rsidR="00C83292" w:rsidRPr="00784F6D" w:rsidRDefault="00C83292" w:rsidP="009F1800">
            <w:pPr>
              <w:pStyle w:val="StandaardSV"/>
              <w:ind w:left="426"/>
              <w:jc w:val="right"/>
            </w:pPr>
            <w:r w:rsidRPr="00784F6D">
              <w:t>100.196</w:t>
            </w:r>
          </w:p>
        </w:tc>
        <w:tc>
          <w:tcPr>
            <w:tcW w:w="2693" w:type="dxa"/>
          </w:tcPr>
          <w:p w:rsidR="00C83292" w:rsidRPr="00784F6D" w:rsidRDefault="00C83292" w:rsidP="009F1800">
            <w:pPr>
              <w:pStyle w:val="StandaardSV"/>
              <w:ind w:left="426"/>
              <w:jc w:val="right"/>
            </w:pPr>
            <w:r w:rsidRPr="00784F6D">
              <w:t>72.511</w:t>
            </w:r>
          </w:p>
        </w:tc>
      </w:tr>
      <w:tr w:rsidR="00C83292" w:rsidRPr="00784F6D" w:rsidTr="009F1800">
        <w:tc>
          <w:tcPr>
            <w:tcW w:w="1534" w:type="dxa"/>
          </w:tcPr>
          <w:p w:rsidR="00C83292" w:rsidRPr="00784F6D" w:rsidRDefault="00C83292" w:rsidP="009F1800">
            <w:pPr>
              <w:pStyle w:val="StandaardSV"/>
              <w:ind w:left="426"/>
            </w:pPr>
            <w:r w:rsidRPr="00784F6D">
              <w:t>2009</w:t>
            </w:r>
          </w:p>
        </w:tc>
        <w:tc>
          <w:tcPr>
            <w:tcW w:w="2435" w:type="dxa"/>
          </w:tcPr>
          <w:p w:rsidR="00C83292" w:rsidRPr="00784F6D" w:rsidRDefault="00C83292" w:rsidP="009F1800">
            <w:pPr>
              <w:pStyle w:val="StandaardSV"/>
              <w:ind w:left="426"/>
              <w:jc w:val="right"/>
            </w:pPr>
            <w:r w:rsidRPr="00784F6D">
              <w:t>77.338</w:t>
            </w:r>
          </w:p>
        </w:tc>
        <w:tc>
          <w:tcPr>
            <w:tcW w:w="2693" w:type="dxa"/>
          </w:tcPr>
          <w:p w:rsidR="00C83292" w:rsidRPr="00784F6D" w:rsidRDefault="00C83292" w:rsidP="009F1800">
            <w:pPr>
              <w:pStyle w:val="StandaardSV"/>
              <w:ind w:left="426"/>
              <w:jc w:val="right"/>
            </w:pPr>
            <w:r w:rsidRPr="00784F6D">
              <w:t>16.349</w:t>
            </w:r>
          </w:p>
        </w:tc>
      </w:tr>
      <w:tr w:rsidR="00C83292" w:rsidRPr="00784F6D" w:rsidTr="009F1800">
        <w:tc>
          <w:tcPr>
            <w:tcW w:w="1534" w:type="dxa"/>
          </w:tcPr>
          <w:p w:rsidR="00C83292" w:rsidRPr="00784F6D" w:rsidRDefault="00C83292" w:rsidP="009F1800">
            <w:pPr>
              <w:pStyle w:val="StandaardSV"/>
              <w:ind w:left="426"/>
            </w:pPr>
            <w:r w:rsidRPr="00784F6D">
              <w:t>2010</w:t>
            </w:r>
          </w:p>
        </w:tc>
        <w:tc>
          <w:tcPr>
            <w:tcW w:w="2435" w:type="dxa"/>
          </w:tcPr>
          <w:p w:rsidR="00C83292" w:rsidRPr="00784F6D" w:rsidRDefault="00C83292" w:rsidP="009F1800">
            <w:pPr>
              <w:pStyle w:val="StandaardSV"/>
              <w:ind w:left="426"/>
              <w:jc w:val="right"/>
            </w:pPr>
            <w:r w:rsidRPr="00784F6D">
              <w:t>60.341</w:t>
            </w:r>
          </w:p>
        </w:tc>
        <w:tc>
          <w:tcPr>
            <w:tcW w:w="2693" w:type="dxa"/>
          </w:tcPr>
          <w:p w:rsidR="00C83292" w:rsidRPr="00784F6D" w:rsidRDefault="00C83292" w:rsidP="009F1800">
            <w:pPr>
              <w:pStyle w:val="StandaardSV"/>
              <w:ind w:left="426"/>
              <w:jc w:val="right"/>
            </w:pPr>
            <w:r w:rsidRPr="00784F6D">
              <w:t>5.335</w:t>
            </w:r>
          </w:p>
        </w:tc>
      </w:tr>
    </w:tbl>
    <w:p w:rsidR="00C83292" w:rsidRPr="00784F6D" w:rsidRDefault="00C83292" w:rsidP="009F1800">
      <w:pPr>
        <w:pStyle w:val="StandaardSV"/>
        <w:ind w:left="426"/>
      </w:pPr>
    </w:p>
    <w:p w:rsidR="00C83292" w:rsidRPr="00784F6D" w:rsidRDefault="00C83292" w:rsidP="009F1800">
      <w:pPr>
        <w:pStyle w:val="StandaardSV"/>
        <w:ind w:left="360"/>
      </w:pPr>
      <w:r w:rsidRPr="00784F6D">
        <w:t xml:space="preserve">Er blijkt in 2010 toch nog meer dan </w:t>
      </w:r>
      <w:smartTag w:uri="urn:schemas-microsoft-com:office:smarttags" w:element="metricconverter">
        <w:smartTagPr>
          <w:attr w:name="ProductID" w:val="60.00 ha"/>
        </w:smartTagPr>
        <w:r w:rsidRPr="00784F6D">
          <w:t>60.00 ha</w:t>
        </w:r>
      </w:smartTag>
      <w:r w:rsidRPr="00784F6D">
        <w:t xml:space="preserve"> nateelt ingezaaid te zijn, zonder dat hieraan een subsidie verbonden is.</w:t>
      </w:r>
    </w:p>
    <w:p w:rsidR="00C83292" w:rsidRPr="00784F6D" w:rsidRDefault="00C83292" w:rsidP="009F1800">
      <w:pPr>
        <w:pStyle w:val="StandaardSV"/>
        <w:ind w:left="360"/>
      </w:pPr>
    </w:p>
    <w:p w:rsidR="00C83292" w:rsidRPr="00784F6D" w:rsidRDefault="00C83292" w:rsidP="009F1800">
      <w:pPr>
        <w:pStyle w:val="StandaardSV"/>
        <w:ind w:left="360"/>
      </w:pPr>
      <w:r w:rsidRPr="00784F6D">
        <w:t>Deze cijfers voor de nateelt zijn vermoedelijk een onderschatting aangezien de aangifte van een nateelt in de verzamelaanvraag enkel een verplichting is in het kader van bepaalde maatregelen, al wordt de aangifte ervan wel aangemoedigd.</w:t>
      </w:r>
    </w:p>
    <w:p w:rsidR="00C83292" w:rsidRPr="00784F6D" w:rsidRDefault="00C83292" w:rsidP="009F1800">
      <w:pPr>
        <w:pStyle w:val="StandaardSV"/>
        <w:ind w:left="360"/>
      </w:pPr>
    </w:p>
    <w:p w:rsidR="00C83292" w:rsidRPr="00784F6D" w:rsidRDefault="00C83292" w:rsidP="009F1800">
      <w:pPr>
        <w:pStyle w:val="StandaardSV"/>
        <w:ind w:left="360"/>
      </w:pPr>
      <w:r w:rsidRPr="00784F6D">
        <w:t>Ondanks het wegvallen van de subsidie voor groenbedekking blijkt de aangegeven oppervlakte groenbedekking toch slechts in mindere mate af te nemen.</w:t>
      </w:r>
    </w:p>
    <w:p w:rsidR="00C83292" w:rsidRPr="00784F6D" w:rsidRDefault="00C83292" w:rsidP="009F1800">
      <w:pPr>
        <w:pStyle w:val="StandaardSV"/>
        <w:ind w:left="360"/>
      </w:pPr>
      <w:r w:rsidRPr="00784F6D">
        <w:t>Dit kan een eerste indicatie zijn dat de toepassing van een groenbedekker als nateelt al enigszins ingeburgerd geraakt is. Een verdere opvolging de komende jaren zal uitwijzen of de Vlaamse landbouwers deze maatregel daadwerkelijk als een goede landbouwpraktijk beschouwen en toepassen in hun bedrijfsvoering.</w:t>
      </w:r>
    </w:p>
    <w:p w:rsidR="00C83292" w:rsidRPr="00784F6D" w:rsidRDefault="00C83292" w:rsidP="009F1800">
      <w:pPr>
        <w:pStyle w:val="StandaardSV"/>
        <w:ind w:left="360"/>
      </w:pPr>
    </w:p>
    <w:p w:rsidR="00C83292" w:rsidRPr="009F1800" w:rsidRDefault="00C83292" w:rsidP="00FD5BF4"/>
    <w:sectPr w:rsidR="00C83292" w:rsidRPr="009F180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E098A"/>
    <w:multiLevelType w:val="hybridMultilevel"/>
    <w:tmpl w:val="62CA424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65DB"/>
    <w:rsid w:val="000976E9"/>
    <w:rsid w:val="000C4E8C"/>
    <w:rsid w:val="000F3532"/>
    <w:rsid w:val="001B6E48"/>
    <w:rsid w:val="001F7390"/>
    <w:rsid w:val="00210C07"/>
    <w:rsid w:val="00266E3B"/>
    <w:rsid w:val="00326A58"/>
    <w:rsid w:val="004E2833"/>
    <w:rsid w:val="00566C53"/>
    <w:rsid w:val="005806DA"/>
    <w:rsid w:val="005900AD"/>
    <w:rsid w:val="005C12AD"/>
    <w:rsid w:val="005E38CA"/>
    <w:rsid w:val="005E7E5B"/>
    <w:rsid w:val="0063138E"/>
    <w:rsid w:val="006548DD"/>
    <w:rsid w:val="0071248C"/>
    <w:rsid w:val="007252C7"/>
    <w:rsid w:val="007474BA"/>
    <w:rsid w:val="00784F6D"/>
    <w:rsid w:val="00785A0D"/>
    <w:rsid w:val="007B177C"/>
    <w:rsid w:val="007F60A8"/>
    <w:rsid w:val="0083343E"/>
    <w:rsid w:val="008346AE"/>
    <w:rsid w:val="00894185"/>
    <w:rsid w:val="008A43EC"/>
    <w:rsid w:val="008A713D"/>
    <w:rsid w:val="008D5DB4"/>
    <w:rsid w:val="008F3DA2"/>
    <w:rsid w:val="009347E0"/>
    <w:rsid w:val="009D7043"/>
    <w:rsid w:val="009F1800"/>
    <w:rsid w:val="00A2331A"/>
    <w:rsid w:val="00A42280"/>
    <w:rsid w:val="00A76EC9"/>
    <w:rsid w:val="00A804C0"/>
    <w:rsid w:val="00B45EB2"/>
    <w:rsid w:val="00B60F0E"/>
    <w:rsid w:val="00BE425A"/>
    <w:rsid w:val="00C0707D"/>
    <w:rsid w:val="00C83292"/>
    <w:rsid w:val="00D64CC6"/>
    <w:rsid w:val="00D71D99"/>
    <w:rsid w:val="00D754F2"/>
    <w:rsid w:val="00DB41C0"/>
    <w:rsid w:val="00DC4DB6"/>
    <w:rsid w:val="00DD19EF"/>
    <w:rsid w:val="00DD4121"/>
    <w:rsid w:val="00DE5CE6"/>
    <w:rsid w:val="00E12C5D"/>
    <w:rsid w:val="00E31F4D"/>
    <w:rsid w:val="00E55200"/>
    <w:rsid w:val="00E573D5"/>
    <w:rsid w:val="00E75830"/>
    <w:rsid w:val="00EE0B1C"/>
    <w:rsid w:val="00F369E3"/>
    <w:rsid w:val="00F83168"/>
    <w:rsid w:val="00FA29D6"/>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AC2"/>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1A2AC2"/>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1A2AC2"/>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1A2AC2"/>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9F1800"/>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7</TotalTime>
  <Pages>2</Pages>
  <Words>407</Words>
  <Characters>2244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dcterms:created xsi:type="dcterms:W3CDTF">2010-12-02T12:09:00Z</dcterms:created>
  <dcterms:modified xsi:type="dcterms:W3CDTF">2010-12-16T13:53:00Z</dcterms:modified>
</cp:coreProperties>
</file>