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27" w:rsidRPr="00C52EF7" w:rsidRDefault="00F64427" w:rsidP="00E9401D">
      <w:pPr>
        <w:pStyle w:val="Title"/>
        <w:jc w:val="both"/>
        <w:rPr>
          <w:bCs/>
          <w:smallCaps/>
          <w:spacing w:val="-3"/>
          <w:sz w:val="22"/>
        </w:rPr>
      </w:pPr>
      <w:r>
        <w:rPr>
          <w:bCs/>
          <w:smallCaps/>
          <w:spacing w:val="-3"/>
          <w:sz w:val="22"/>
        </w:rPr>
        <w:t>freya van den bossche</w:t>
      </w:r>
    </w:p>
    <w:p w:rsidR="00F64427" w:rsidRPr="00C52EF7" w:rsidRDefault="00F64427" w:rsidP="00E9401D">
      <w:pPr>
        <w:pStyle w:val="Title"/>
        <w:jc w:val="both"/>
        <w:rPr>
          <w:b w:val="0"/>
          <w:bCs/>
          <w:smallCaps/>
          <w:spacing w:val="-3"/>
          <w:sz w:val="22"/>
        </w:rPr>
      </w:pPr>
      <w:r>
        <w:rPr>
          <w:b w:val="0"/>
          <w:bCs/>
          <w:smallCaps/>
          <w:spacing w:val="-3"/>
          <w:sz w:val="22"/>
        </w:rPr>
        <w:t>vlaams minister van energie, wonen, steden en sociale economie</w:t>
      </w:r>
    </w:p>
    <w:p w:rsidR="00F64427" w:rsidRDefault="00F64427" w:rsidP="00E9401D">
      <w:pPr>
        <w:pStyle w:val="StandaardSV"/>
        <w:pBdr>
          <w:bottom w:val="single" w:sz="4" w:space="1" w:color="auto"/>
        </w:pBdr>
        <w:rPr>
          <w:smallCaps/>
        </w:rPr>
      </w:pPr>
    </w:p>
    <w:p w:rsidR="00F64427" w:rsidRDefault="00F64427" w:rsidP="00E9401D">
      <w:pPr>
        <w:pStyle w:val="Title"/>
        <w:jc w:val="both"/>
        <w:rPr>
          <w:smallCaps/>
          <w:spacing w:val="-3"/>
          <w:sz w:val="22"/>
        </w:rPr>
      </w:pPr>
    </w:p>
    <w:p w:rsidR="00F64427" w:rsidRDefault="00F64427" w:rsidP="00E9401D">
      <w:pPr>
        <w:pStyle w:val="Title"/>
        <w:jc w:val="both"/>
        <w:rPr>
          <w:smallCaps/>
          <w:spacing w:val="-3"/>
          <w:sz w:val="22"/>
        </w:rPr>
      </w:pPr>
      <w:r>
        <w:rPr>
          <w:smallCaps/>
          <w:spacing w:val="-3"/>
          <w:sz w:val="22"/>
        </w:rPr>
        <w:t xml:space="preserve">antwoord </w:t>
      </w:r>
    </w:p>
    <w:p w:rsidR="00F64427" w:rsidRPr="00756314" w:rsidRDefault="00F64427" w:rsidP="00756314">
      <w:pPr>
        <w:jc w:val="both"/>
        <w:rPr>
          <w:rFonts w:ascii="Times New Roman" w:hAnsi="Times New Roman"/>
          <w:sz w:val="22"/>
        </w:rPr>
      </w:pPr>
      <w:r w:rsidRPr="00756314">
        <w:rPr>
          <w:rFonts w:ascii="Times New Roman" w:hAnsi="Times New Roman"/>
          <w:sz w:val="22"/>
        </w:rPr>
        <w:t xml:space="preserve">op </w:t>
      </w:r>
      <w:r>
        <w:rPr>
          <w:rFonts w:ascii="Times New Roman" w:hAnsi="Times New Roman"/>
          <w:sz w:val="22"/>
        </w:rPr>
        <w:t>v</w:t>
      </w:r>
      <w:r w:rsidRPr="00756314">
        <w:rPr>
          <w:rFonts w:ascii="Times New Roman" w:hAnsi="Times New Roman"/>
          <w:sz w:val="22"/>
        </w:rPr>
        <w:t>raag nr. 86</w:t>
      </w:r>
      <w:r>
        <w:rPr>
          <w:rFonts w:ascii="Times New Roman" w:hAnsi="Times New Roman"/>
          <w:sz w:val="22"/>
        </w:rPr>
        <w:t xml:space="preserve"> </w:t>
      </w:r>
      <w:r w:rsidRPr="00756314">
        <w:rPr>
          <w:rFonts w:ascii="Times New Roman" w:hAnsi="Times New Roman"/>
          <w:sz w:val="22"/>
        </w:rPr>
        <w:t>van 28 oktober 2010</w:t>
      </w:r>
    </w:p>
    <w:p w:rsidR="00F64427" w:rsidRDefault="00F64427" w:rsidP="00756314">
      <w:pPr>
        <w:pStyle w:val="Title"/>
        <w:jc w:val="both"/>
        <w:rPr>
          <w:b w:val="0"/>
          <w:spacing w:val="-3"/>
          <w:sz w:val="22"/>
        </w:rPr>
      </w:pPr>
      <w:r w:rsidRPr="00DE4E2B">
        <w:rPr>
          <w:b w:val="0"/>
          <w:sz w:val="22"/>
        </w:rPr>
        <w:t>van</w:t>
      </w:r>
      <w:r>
        <w:rPr>
          <w:sz w:val="22"/>
        </w:rPr>
        <w:t xml:space="preserve"> </w:t>
      </w:r>
      <w:r w:rsidRPr="00756314">
        <w:rPr>
          <w:smallCaps/>
          <w:sz w:val="22"/>
        </w:rPr>
        <w:t>robrecht bothuyne</w:t>
      </w:r>
    </w:p>
    <w:p w:rsidR="00F64427" w:rsidRDefault="00F64427" w:rsidP="00E9401D">
      <w:pPr>
        <w:pStyle w:val="Title"/>
        <w:pBdr>
          <w:bottom w:val="single" w:sz="4" w:space="1" w:color="auto"/>
        </w:pBdr>
        <w:jc w:val="both"/>
        <w:rPr>
          <w:b w:val="0"/>
          <w:spacing w:val="-3"/>
          <w:sz w:val="22"/>
        </w:rPr>
      </w:pPr>
    </w:p>
    <w:p w:rsidR="00F64427" w:rsidRDefault="00F64427" w:rsidP="00E9401D">
      <w:pPr>
        <w:tabs>
          <w:tab w:val="clear" w:pos="284"/>
          <w:tab w:val="clear" w:pos="567"/>
        </w:tabs>
        <w:jc w:val="both"/>
        <w:rPr>
          <w:rFonts w:ascii="Times New Roman" w:hAnsi="Times New Roman"/>
          <w:spacing w:val="-3"/>
          <w:sz w:val="22"/>
        </w:rPr>
      </w:pPr>
    </w:p>
    <w:p w:rsidR="00F64427" w:rsidRDefault="00F64427" w:rsidP="00E9401D">
      <w:pPr>
        <w:tabs>
          <w:tab w:val="clear" w:pos="284"/>
          <w:tab w:val="clear" w:pos="567"/>
        </w:tabs>
        <w:jc w:val="both"/>
        <w:rPr>
          <w:rFonts w:ascii="Times New Roman" w:hAnsi="Times New Roman"/>
          <w:spacing w:val="-3"/>
          <w:sz w:val="22"/>
        </w:rPr>
      </w:pPr>
    </w:p>
    <w:p w:rsidR="00F64427" w:rsidRDefault="00F64427" w:rsidP="00DE4E2B">
      <w:pPr>
        <w:numPr>
          <w:ilvl w:val="0"/>
          <w:numId w:val="6"/>
        </w:numPr>
        <w:tabs>
          <w:tab w:val="clear" w:pos="284"/>
          <w:tab w:val="clear" w:pos="567"/>
          <w:tab w:val="clear" w:pos="855"/>
          <w:tab w:val="num" w:pos="360"/>
        </w:tabs>
        <w:jc w:val="both"/>
        <w:rPr>
          <w:rFonts w:ascii="Times New Roman" w:hAnsi="Times New Roman"/>
          <w:spacing w:val="-3"/>
          <w:sz w:val="22"/>
        </w:rPr>
      </w:pPr>
      <w:r>
        <w:rPr>
          <w:rFonts w:ascii="Times New Roman" w:hAnsi="Times New Roman"/>
          <w:spacing w:val="-3"/>
          <w:sz w:val="22"/>
        </w:rPr>
        <w:t>particulieren</w:t>
      </w:r>
    </w:p>
    <w:p w:rsidR="00F64427" w:rsidRDefault="00F64427" w:rsidP="00E9401D">
      <w:pPr>
        <w:tabs>
          <w:tab w:val="clear" w:pos="284"/>
          <w:tab w:val="clear" w:pos="567"/>
        </w:tabs>
        <w:jc w:val="both"/>
        <w:rPr>
          <w:rFonts w:ascii="Times New Roman" w:hAnsi="Times New Roman"/>
          <w:spacing w:val="-3"/>
          <w:sz w:val="22"/>
        </w:rPr>
      </w:pPr>
    </w:p>
    <w:p w:rsidR="00F64427" w:rsidRDefault="00F64427" w:rsidP="007678B5">
      <w:pPr>
        <w:numPr>
          <w:ilvl w:val="0"/>
          <w:numId w:val="2"/>
        </w:numPr>
        <w:tabs>
          <w:tab w:val="clear" w:pos="284"/>
          <w:tab w:val="clear" w:pos="567"/>
        </w:tabs>
        <w:jc w:val="both"/>
        <w:rPr>
          <w:rFonts w:ascii="Times New Roman" w:hAnsi="Times New Roman"/>
          <w:sz w:val="22"/>
        </w:rPr>
      </w:pPr>
      <w:r>
        <w:rPr>
          <w:rFonts w:ascii="Times New Roman" w:hAnsi="Times New Roman"/>
          <w:sz w:val="22"/>
        </w:rPr>
        <w:t xml:space="preserve">We zien een langzame, maar gestage evolutie naar een meer concurrentiele situatie op de elektriciteits- en aardgasmarkt, toch wat de markt van verkoop aan eindafnemers via de distributienetten betreft. Dat wordt onlangs nog aangetoond door de VREG in haar MarktMonitor. </w:t>
      </w:r>
      <w:r w:rsidRPr="00756314">
        <w:rPr>
          <w:rFonts w:ascii="Times New Roman" w:hAnsi="Times New Roman"/>
          <w:sz w:val="22"/>
        </w:rPr>
        <w:t>Zo stelt de VREG vast dat in 2010 maand na maand een hogere switchindicator te zien is dan in dezelfde maand van vorig jaar.</w:t>
      </w:r>
    </w:p>
    <w:p w:rsidR="00F64427" w:rsidRDefault="00F64427" w:rsidP="007678B5">
      <w:pPr>
        <w:tabs>
          <w:tab w:val="clear" w:pos="284"/>
          <w:tab w:val="clear" w:pos="567"/>
        </w:tabs>
        <w:ind w:left="720"/>
        <w:jc w:val="both"/>
        <w:rPr>
          <w:rFonts w:ascii="Times New Roman" w:hAnsi="Times New Roman"/>
          <w:sz w:val="22"/>
        </w:rPr>
      </w:pPr>
      <w:r w:rsidRPr="00756314">
        <w:rPr>
          <w:rFonts w:ascii="Times New Roman" w:hAnsi="Times New Roman"/>
          <w:sz w:val="22"/>
        </w:rPr>
        <w:t xml:space="preserve"> </w:t>
      </w:r>
      <w:r w:rsidRPr="00756314">
        <w:rPr>
          <w:rFonts w:ascii="Times New Roman" w:hAnsi="Times New Roman"/>
          <w:sz w:val="22"/>
        </w:rPr>
        <w:br/>
        <w:t xml:space="preserve">De switchindicator - een goede graadmeter voor de activiteitsgraad van de energiemarkt </w:t>
      </w:r>
      <w:r>
        <w:rPr>
          <w:rFonts w:ascii="Times New Roman" w:hAnsi="Times New Roman"/>
          <w:sz w:val="22"/>
        </w:rPr>
        <w:t>-</w:t>
      </w:r>
      <w:r w:rsidRPr="00756314">
        <w:rPr>
          <w:rFonts w:ascii="Times New Roman" w:hAnsi="Times New Roman"/>
          <w:sz w:val="22"/>
        </w:rPr>
        <w:t xml:space="preserve"> vertoont ook in juli 2010 een grote activiteit van de energieafnemers in Vlaanderen die bewust van leverancier veranderen. Voor elektriciteit heeft de switchactiviteit in juli het hoogste peil van de laatste twee jaar bereikt. Voor aardgas lag de switchactiviteit in januari 2010 lager dan in januari 2009, maar sindsdien beweegt ook deze indicator zich voortdurend op een duidelijk</w:t>
      </w:r>
      <w:r>
        <w:rPr>
          <w:rFonts w:ascii="Times New Roman" w:hAnsi="Times New Roman"/>
          <w:sz w:val="22"/>
        </w:rPr>
        <w:t xml:space="preserve"> hoger niveau dan in 2009.</w:t>
      </w:r>
    </w:p>
    <w:p w:rsidR="00F64427" w:rsidRDefault="00F64427" w:rsidP="007678B5">
      <w:pPr>
        <w:tabs>
          <w:tab w:val="clear" w:pos="284"/>
          <w:tab w:val="clear" w:pos="567"/>
        </w:tabs>
        <w:ind w:left="720"/>
        <w:jc w:val="both"/>
        <w:rPr>
          <w:rFonts w:ascii="Times New Roman" w:hAnsi="Times New Roman"/>
          <w:sz w:val="22"/>
        </w:rPr>
      </w:pPr>
    </w:p>
    <w:p w:rsidR="00F64427" w:rsidRDefault="00F64427" w:rsidP="007678B5">
      <w:pPr>
        <w:tabs>
          <w:tab w:val="clear" w:pos="284"/>
          <w:tab w:val="clear" w:pos="567"/>
        </w:tabs>
        <w:ind w:left="720"/>
        <w:jc w:val="both"/>
        <w:rPr>
          <w:rFonts w:ascii="Times New Roman" w:hAnsi="Times New Roman"/>
          <w:sz w:val="22"/>
        </w:rPr>
      </w:pPr>
      <w:r>
        <w:rPr>
          <w:rFonts w:ascii="Times New Roman" w:hAnsi="Times New Roman"/>
          <w:sz w:val="22"/>
        </w:rPr>
        <w:t xml:space="preserve">Toch moeten nog heel wat mensen een zekere drempel overwinnen om naar een andere energieleverancier over te stappen. De VREG stelt vast dat de overgrote meerderheid van mensen ondertussen op actieve wijze een energiecontract ondertekende, maar dit gebeurt vaak bij dezelfde leverancier waaraan ze bij de vrijmaking van de markt werden toegewezen, namelijk de standaardleverancier. </w:t>
      </w:r>
    </w:p>
    <w:p w:rsidR="00F64427" w:rsidRDefault="00F64427" w:rsidP="007678B5">
      <w:pPr>
        <w:tabs>
          <w:tab w:val="clear" w:pos="284"/>
          <w:tab w:val="clear" w:pos="567"/>
        </w:tabs>
        <w:ind w:left="720"/>
        <w:jc w:val="both"/>
        <w:rPr>
          <w:rFonts w:ascii="Times New Roman" w:hAnsi="Times New Roman"/>
          <w:sz w:val="22"/>
        </w:rPr>
      </w:pPr>
    </w:p>
    <w:p w:rsidR="00F64427" w:rsidRPr="007678B5" w:rsidRDefault="00F64427" w:rsidP="007678B5">
      <w:pPr>
        <w:tabs>
          <w:tab w:val="clear" w:pos="284"/>
          <w:tab w:val="clear" w:pos="567"/>
        </w:tabs>
        <w:ind w:left="720"/>
        <w:jc w:val="both"/>
        <w:rPr>
          <w:rFonts w:ascii="Times New Roman" w:hAnsi="Times New Roman"/>
          <w:sz w:val="22"/>
        </w:rPr>
      </w:pPr>
      <w:r>
        <w:rPr>
          <w:rFonts w:ascii="Times New Roman" w:hAnsi="Times New Roman"/>
          <w:sz w:val="22"/>
        </w:rPr>
        <w:t>Doordat er geen enkele officiële rapporteringsplicht of opvolging is voorzien van groepsaan</w:t>
      </w:r>
      <w:r>
        <w:rPr>
          <w:rFonts w:ascii="Times New Roman" w:hAnsi="Times New Roman"/>
          <w:sz w:val="22"/>
        </w:rPr>
        <w:softHyphen/>
        <w:t xml:space="preserve">kopen, kan onmogelijk met zekerheid het totale aantal groepsaankopen worden meegedeeld. Wel </w:t>
      </w:r>
      <w:r w:rsidRPr="00756314">
        <w:rPr>
          <w:rFonts w:ascii="Times New Roman" w:hAnsi="Times New Roman"/>
          <w:sz w:val="22"/>
        </w:rPr>
        <w:t xml:space="preserve">onderzocht </w:t>
      </w:r>
      <w:r>
        <w:rPr>
          <w:rFonts w:ascii="Times New Roman" w:hAnsi="Times New Roman"/>
          <w:sz w:val="22"/>
        </w:rPr>
        <w:t>d</w:t>
      </w:r>
      <w:r w:rsidRPr="00756314">
        <w:rPr>
          <w:rFonts w:ascii="Times New Roman" w:hAnsi="Times New Roman"/>
          <w:sz w:val="22"/>
        </w:rPr>
        <w:t xml:space="preserve">e VREG </w:t>
      </w:r>
      <w:r>
        <w:rPr>
          <w:rFonts w:ascii="Times New Roman" w:hAnsi="Times New Roman"/>
          <w:sz w:val="22"/>
        </w:rPr>
        <w:t>de relatie tussen de</w:t>
      </w:r>
      <w:r w:rsidRPr="00756314">
        <w:rPr>
          <w:rFonts w:ascii="Times New Roman" w:hAnsi="Times New Roman"/>
          <w:sz w:val="22"/>
        </w:rPr>
        <w:t xml:space="preserve"> stelselmatig hogere switchactiviteit </w:t>
      </w:r>
      <w:r>
        <w:rPr>
          <w:rFonts w:ascii="Times New Roman" w:hAnsi="Times New Roman"/>
          <w:sz w:val="22"/>
        </w:rPr>
        <w:t xml:space="preserve">in 2010 </w:t>
      </w:r>
      <w:r w:rsidRPr="00756314">
        <w:rPr>
          <w:rFonts w:ascii="Times New Roman" w:hAnsi="Times New Roman"/>
          <w:sz w:val="22"/>
        </w:rPr>
        <w:t xml:space="preserve">en het feit dat de afgelopen maanden een aantal grootschalige groepsaankopen werden opgezet. </w:t>
      </w:r>
      <w:r w:rsidRPr="007678B5">
        <w:rPr>
          <w:rFonts w:ascii="Times New Roman" w:hAnsi="Times New Roman"/>
          <w:sz w:val="22"/>
        </w:rPr>
        <w:t xml:space="preserve">De meeste grootschalige groepsaankopen worden opgezet in samenwerking met het bedrijf IChoosr. </w:t>
      </w:r>
    </w:p>
    <w:p w:rsidR="00F64427" w:rsidRPr="007678B5" w:rsidRDefault="00F64427" w:rsidP="007678B5">
      <w:pPr>
        <w:tabs>
          <w:tab w:val="clear" w:pos="284"/>
          <w:tab w:val="clear" w:pos="567"/>
        </w:tabs>
        <w:ind w:left="720"/>
        <w:jc w:val="both"/>
        <w:rPr>
          <w:rFonts w:ascii="Times New Roman" w:hAnsi="Times New Roman"/>
          <w:sz w:val="22"/>
        </w:rPr>
      </w:pPr>
    </w:p>
    <w:p w:rsidR="00F64427" w:rsidRPr="007678B5" w:rsidRDefault="00F64427" w:rsidP="007678B5">
      <w:pPr>
        <w:tabs>
          <w:tab w:val="clear" w:pos="284"/>
          <w:tab w:val="clear" w:pos="567"/>
        </w:tabs>
        <w:ind w:left="720"/>
        <w:jc w:val="both"/>
        <w:rPr>
          <w:rFonts w:ascii="Times New Roman" w:hAnsi="Times New Roman"/>
          <w:sz w:val="22"/>
        </w:rPr>
      </w:pPr>
      <w:r w:rsidRPr="007678B5">
        <w:rPr>
          <w:rFonts w:ascii="Times New Roman" w:hAnsi="Times New Roman"/>
          <w:sz w:val="22"/>
        </w:rPr>
        <w:t xml:space="preserve">Opvallend is dat er vooral belangstelling is vanwege de kleinere nieuwkomers op de energiemarkt. De grote spelers (ECS, SPE) houden zich vaak afzijdig. </w:t>
      </w:r>
      <w:r>
        <w:rPr>
          <w:rFonts w:ascii="Times New Roman" w:hAnsi="Times New Roman"/>
          <w:sz w:val="22"/>
        </w:rPr>
        <w:t>Dit wijst erop dat groepsaankopen ook een stimulerend effect op de concurrentie tussen de energieleveranciers kan hebben.</w:t>
      </w:r>
    </w:p>
    <w:p w:rsidR="00F64427" w:rsidRPr="007678B5" w:rsidRDefault="00F64427" w:rsidP="007678B5">
      <w:pPr>
        <w:tabs>
          <w:tab w:val="clear" w:pos="284"/>
          <w:tab w:val="clear" w:pos="567"/>
        </w:tabs>
        <w:ind w:left="720"/>
        <w:jc w:val="both"/>
        <w:rPr>
          <w:rFonts w:ascii="Times New Roman" w:hAnsi="Times New Roman"/>
          <w:sz w:val="22"/>
        </w:rPr>
      </w:pPr>
    </w:p>
    <w:p w:rsidR="00F64427" w:rsidRPr="007678B5" w:rsidRDefault="00F64427" w:rsidP="007678B5">
      <w:pPr>
        <w:tabs>
          <w:tab w:val="clear" w:pos="284"/>
          <w:tab w:val="clear" w:pos="567"/>
        </w:tabs>
        <w:ind w:left="720"/>
        <w:jc w:val="both"/>
        <w:rPr>
          <w:rFonts w:ascii="Times New Roman" w:hAnsi="Times New Roman"/>
          <w:sz w:val="22"/>
        </w:rPr>
      </w:pPr>
      <w:r w:rsidRPr="007678B5">
        <w:rPr>
          <w:rFonts w:ascii="Times New Roman" w:hAnsi="Times New Roman"/>
          <w:sz w:val="22"/>
        </w:rPr>
        <w:t>De procedure is vaak dezelfde en heeft als gevolg dat er een verhoogde switchactiviteit kan plaats vinden gespreid over een periode van een aantal maand. Het is daardoor niet mogelijk om exact te berekenen welk aandeel van de leverancierswissels rechtstreeks verband houdt met een groepsaankoop.</w:t>
      </w:r>
    </w:p>
    <w:p w:rsidR="00F64427" w:rsidRPr="007678B5" w:rsidRDefault="00F64427" w:rsidP="007678B5">
      <w:pPr>
        <w:tabs>
          <w:tab w:val="clear" w:pos="284"/>
          <w:tab w:val="clear" w:pos="567"/>
        </w:tabs>
        <w:ind w:left="720"/>
        <w:jc w:val="both"/>
        <w:rPr>
          <w:rFonts w:ascii="Times New Roman" w:hAnsi="Times New Roman"/>
          <w:sz w:val="22"/>
        </w:rPr>
      </w:pPr>
      <w:r w:rsidRPr="007678B5">
        <w:rPr>
          <w:rFonts w:ascii="Times New Roman" w:hAnsi="Times New Roman"/>
          <w:sz w:val="22"/>
        </w:rPr>
        <w:t xml:space="preserve">Vb. je kunt inschrijven tot 01/10/2010, de veiling om de energieleverancier met het beste aanbod te bepalen gaat door op 04/10/2010. Op 12/10/2010 ontvangt de inschrijver een aanbod dat voor 14/11/2010 al dan niet geaccepteerd wordt. Het aanbod is geldig voor een overstapdatum tussen 01/01/2011 tot 01/08/2011. </w:t>
      </w:r>
    </w:p>
    <w:p w:rsidR="00F64427" w:rsidRPr="007678B5" w:rsidRDefault="00F64427" w:rsidP="007678B5">
      <w:pPr>
        <w:tabs>
          <w:tab w:val="clear" w:pos="284"/>
          <w:tab w:val="clear" w:pos="567"/>
        </w:tabs>
        <w:ind w:left="720"/>
        <w:jc w:val="both"/>
        <w:rPr>
          <w:rFonts w:ascii="Times New Roman" w:hAnsi="Times New Roman"/>
          <w:sz w:val="22"/>
        </w:rPr>
      </w:pPr>
      <w:r w:rsidRPr="007678B5">
        <w:rPr>
          <w:rFonts w:ascii="Times New Roman" w:hAnsi="Times New Roman"/>
          <w:sz w:val="22"/>
        </w:rPr>
        <w:t xml:space="preserve">De </w:t>
      </w:r>
      <w:r>
        <w:rPr>
          <w:rFonts w:ascii="Times New Roman" w:hAnsi="Times New Roman"/>
          <w:sz w:val="22"/>
        </w:rPr>
        <w:t>wissels van leverancier</w:t>
      </w:r>
      <w:r w:rsidRPr="007678B5">
        <w:rPr>
          <w:rFonts w:ascii="Times New Roman" w:hAnsi="Times New Roman"/>
          <w:sz w:val="22"/>
        </w:rPr>
        <w:t xml:space="preserve"> zullen, in het voorbeeld, dus door gaan tussen januari en augustus. Soms geeft IChoosr ook het advies om toch over te gaan tot </w:t>
      </w:r>
      <w:r>
        <w:rPr>
          <w:rFonts w:ascii="Times New Roman" w:hAnsi="Times New Roman"/>
          <w:sz w:val="22"/>
        </w:rPr>
        <w:t>een leverancierswissel</w:t>
      </w:r>
      <w:r w:rsidRPr="007678B5">
        <w:rPr>
          <w:rFonts w:ascii="Times New Roman" w:hAnsi="Times New Roman"/>
          <w:sz w:val="22"/>
        </w:rPr>
        <w:t xml:space="preserve"> </w:t>
      </w:r>
      <w:r>
        <w:rPr>
          <w:rFonts w:ascii="Times New Roman" w:hAnsi="Times New Roman"/>
          <w:sz w:val="22"/>
        </w:rPr>
        <w:t>vóó</w:t>
      </w:r>
      <w:r w:rsidRPr="007678B5">
        <w:rPr>
          <w:rFonts w:ascii="Times New Roman" w:hAnsi="Times New Roman"/>
          <w:sz w:val="22"/>
        </w:rPr>
        <w:t xml:space="preserve">r de vervaldag van het huidige contract. Dit kan wanneer de vermoedelijke “winst” die met de switch wordt gemaakt hoger uitvalt dan de opzegvergoeding. Op die manier kan het wel zijn dat de </w:t>
      </w:r>
      <w:r>
        <w:rPr>
          <w:rFonts w:ascii="Times New Roman" w:hAnsi="Times New Roman"/>
          <w:sz w:val="22"/>
        </w:rPr>
        <w:t>leverancierswissels</w:t>
      </w:r>
      <w:r w:rsidRPr="007678B5">
        <w:rPr>
          <w:rFonts w:ascii="Times New Roman" w:hAnsi="Times New Roman"/>
          <w:sz w:val="22"/>
        </w:rPr>
        <w:t xml:space="preserve"> niet evenredig gespreid worden over de periode van 7 maanden (standaard is de geldigheidstermijn van een aanbod 6 maand).</w:t>
      </w:r>
    </w:p>
    <w:p w:rsidR="00F64427" w:rsidRDefault="00F64427" w:rsidP="007678B5">
      <w:pPr>
        <w:tabs>
          <w:tab w:val="clear" w:pos="284"/>
          <w:tab w:val="clear" w:pos="567"/>
        </w:tabs>
        <w:ind w:left="720"/>
        <w:jc w:val="both"/>
        <w:rPr>
          <w:rFonts w:ascii="Times New Roman" w:hAnsi="Times New Roman"/>
          <w:sz w:val="22"/>
        </w:rPr>
      </w:pPr>
    </w:p>
    <w:p w:rsidR="00F64427" w:rsidRPr="007678B5" w:rsidRDefault="00F64427" w:rsidP="00FD298C">
      <w:pPr>
        <w:tabs>
          <w:tab w:val="clear" w:pos="284"/>
          <w:tab w:val="clear" w:pos="567"/>
        </w:tabs>
        <w:ind w:left="720" w:hanging="436"/>
        <w:jc w:val="both"/>
        <w:rPr>
          <w:rFonts w:ascii="Times New Roman" w:hAnsi="Times New Roman"/>
          <w:sz w:val="22"/>
        </w:rPr>
      </w:pPr>
      <w:r>
        <w:rPr>
          <w:rFonts w:ascii="Times New Roman" w:hAnsi="Times New Roman"/>
          <w:sz w:val="22"/>
        </w:rPr>
        <w:t>b)</w:t>
      </w:r>
      <w:r>
        <w:rPr>
          <w:rFonts w:ascii="Times New Roman" w:hAnsi="Times New Roman"/>
          <w:sz w:val="22"/>
        </w:rPr>
        <w:tab/>
        <w:t>Er is geen enkele officiële rapporteringsplicht of opvolging voorzien van groepsaankopen. Er kan dus onmogelijk met zekerheid het betrokken aantal klanten per groepsaankoop worden meegedeeld.</w:t>
      </w:r>
    </w:p>
    <w:p w:rsidR="00F64427" w:rsidRDefault="00F64427" w:rsidP="00E9401D">
      <w:pPr>
        <w:tabs>
          <w:tab w:val="clear" w:pos="284"/>
          <w:tab w:val="clear" w:pos="567"/>
        </w:tabs>
        <w:jc w:val="both"/>
        <w:rPr>
          <w:rFonts w:ascii="Times New Roman" w:hAnsi="Times New Roman"/>
          <w:sz w:val="22"/>
        </w:rPr>
      </w:pPr>
    </w:p>
    <w:p w:rsidR="00F64427" w:rsidRDefault="00F64427" w:rsidP="00E66FB9">
      <w:pPr>
        <w:numPr>
          <w:ilvl w:val="0"/>
          <w:numId w:val="3"/>
        </w:numPr>
        <w:tabs>
          <w:tab w:val="clear" w:pos="284"/>
          <w:tab w:val="clear" w:pos="567"/>
        </w:tabs>
        <w:jc w:val="both"/>
        <w:rPr>
          <w:rFonts w:ascii="Times New Roman" w:hAnsi="Times New Roman"/>
          <w:sz w:val="22"/>
        </w:rPr>
      </w:pPr>
      <w:r w:rsidRPr="007979AA">
        <w:rPr>
          <w:rFonts w:ascii="Times New Roman" w:hAnsi="Times New Roman"/>
          <w:sz w:val="22"/>
        </w:rPr>
        <w:t>Cijfers over een eventuele individuele besparing zijn, zeker op dat detailniveau, niet beschikbaar. Het is zeer moeilijk om een individuele besparing te becijferen omwille van de timing (start levering en eventuele opzegvergoeding), looptijd en prijsformule (vast/variabel) gelinkt aan energiecontracten. Het is net om die reden dat afnemers best gebruik maken van prijsvergelijkingstools op de website van onafhankelijke partijen (zoals VREG) om een idee te krijgen van het al dan niet gunstig karakter van de voorwaarden van een contract dat met de groepsaankoop wordt aangeboden. In algemene termen zou je kunnen stellen dat (vanuit aanbodzijde/leverancierszijde gekeken) er een “korting” wordt aangeboden en/of op het abonnementsgeld (vaste vergoeding) in de grootteorde van 10 à 20 euro en/of op de energieprijs (los van distributienettarieven, transmissienettarieven, heffingen en btw) variërend van 1 tot 5%. Veel hangt af van de onderhandelingen en de opmaak van het bestek dat aan de verschillende leveranciers wordt voorgelegd.</w:t>
      </w:r>
    </w:p>
    <w:p w:rsidR="00F64427" w:rsidRDefault="00F64427" w:rsidP="00027158">
      <w:pPr>
        <w:tabs>
          <w:tab w:val="clear" w:pos="284"/>
          <w:tab w:val="clear" w:pos="567"/>
        </w:tabs>
        <w:ind w:left="360"/>
        <w:jc w:val="both"/>
        <w:rPr>
          <w:rFonts w:ascii="Times New Roman" w:hAnsi="Times New Roman"/>
          <w:sz w:val="22"/>
        </w:rPr>
      </w:pPr>
    </w:p>
    <w:p w:rsidR="00F64427" w:rsidRDefault="00F64427" w:rsidP="00E66FB9">
      <w:pPr>
        <w:numPr>
          <w:ilvl w:val="0"/>
          <w:numId w:val="3"/>
        </w:numPr>
        <w:tabs>
          <w:tab w:val="clear" w:pos="284"/>
          <w:tab w:val="clear" w:pos="567"/>
        </w:tabs>
        <w:jc w:val="both"/>
        <w:rPr>
          <w:rFonts w:ascii="Times New Roman" w:hAnsi="Times New Roman"/>
          <w:sz w:val="22"/>
        </w:rPr>
      </w:pPr>
      <w:r>
        <w:rPr>
          <w:rFonts w:ascii="Times New Roman" w:hAnsi="Times New Roman"/>
          <w:sz w:val="22"/>
        </w:rPr>
        <w:t xml:space="preserve">Groepsaankopen - indien ze correct en transparant georganiseerd worden - kunnen zonder twijfel deze drempelverlagende functie vervullen en </w:t>
      </w:r>
      <w:r w:rsidRPr="00756314">
        <w:rPr>
          <w:rFonts w:ascii="Times New Roman" w:hAnsi="Times New Roman"/>
          <w:sz w:val="22"/>
        </w:rPr>
        <w:t>overtuigen wellicht mensen, die hiervoor tot nog toe terugschrokken</w:t>
      </w:r>
      <w:r>
        <w:rPr>
          <w:rFonts w:ascii="Times New Roman" w:hAnsi="Times New Roman"/>
          <w:sz w:val="22"/>
        </w:rPr>
        <w:t>,</w:t>
      </w:r>
      <w:r w:rsidRPr="00756314">
        <w:rPr>
          <w:rFonts w:ascii="Times New Roman" w:hAnsi="Times New Roman"/>
          <w:sz w:val="22"/>
        </w:rPr>
        <w:t xml:space="preserve"> om op een actieve manier een elektriciteits- en/of aardgascontract te ondertekenen. Ze hebben hierdoor een dynamiserende werking op de energiemarkt</w:t>
      </w:r>
      <w:r>
        <w:rPr>
          <w:rFonts w:ascii="Times New Roman" w:hAnsi="Times New Roman"/>
          <w:sz w:val="22"/>
        </w:rPr>
        <w:t>, wat positief is.</w:t>
      </w:r>
    </w:p>
    <w:p w:rsidR="00F64427" w:rsidRDefault="00F64427" w:rsidP="00027158">
      <w:pPr>
        <w:tabs>
          <w:tab w:val="clear" w:pos="284"/>
          <w:tab w:val="clear" w:pos="567"/>
        </w:tabs>
        <w:jc w:val="both"/>
        <w:rPr>
          <w:rFonts w:ascii="Times New Roman" w:hAnsi="Times New Roman"/>
          <w:sz w:val="22"/>
        </w:rPr>
      </w:pPr>
    </w:p>
    <w:p w:rsidR="00F64427" w:rsidRDefault="00F64427" w:rsidP="009B3F89">
      <w:pPr>
        <w:numPr>
          <w:ilvl w:val="0"/>
          <w:numId w:val="3"/>
        </w:numPr>
        <w:tabs>
          <w:tab w:val="clear" w:pos="284"/>
          <w:tab w:val="clear" w:pos="567"/>
        </w:tabs>
        <w:jc w:val="both"/>
        <w:rPr>
          <w:rFonts w:ascii="Times New Roman" w:hAnsi="Times New Roman"/>
          <w:sz w:val="22"/>
        </w:rPr>
      </w:pPr>
      <w:r>
        <w:rPr>
          <w:rFonts w:ascii="Times New Roman" w:hAnsi="Times New Roman"/>
          <w:sz w:val="22"/>
        </w:rPr>
        <w:t>Er is geen enkele officiële rapporteringsplicht of opvolging voorzien van groepsaankopen. Er kan dus onmogelijk met zekerheid het aantal switches ten gevolge van een groepsaankoop worden meegedeeld.</w:t>
      </w:r>
    </w:p>
    <w:p w:rsidR="00F64427" w:rsidRDefault="00F64427" w:rsidP="009B3F89">
      <w:pPr>
        <w:tabs>
          <w:tab w:val="clear" w:pos="284"/>
          <w:tab w:val="clear" w:pos="567"/>
        </w:tabs>
        <w:jc w:val="both"/>
        <w:rPr>
          <w:rFonts w:ascii="Times New Roman" w:hAnsi="Times New Roman"/>
          <w:sz w:val="22"/>
        </w:rPr>
      </w:pPr>
    </w:p>
    <w:p w:rsidR="00F64427" w:rsidRDefault="00F64427" w:rsidP="009B3F89">
      <w:pPr>
        <w:tabs>
          <w:tab w:val="clear" w:pos="284"/>
          <w:tab w:val="clear" w:pos="567"/>
        </w:tabs>
        <w:jc w:val="both"/>
        <w:rPr>
          <w:rFonts w:ascii="Times New Roman" w:hAnsi="Times New Roman"/>
          <w:sz w:val="22"/>
        </w:rPr>
      </w:pPr>
    </w:p>
    <w:p w:rsidR="00F64427" w:rsidRDefault="00F64427" w:rsidP="00DE4E2B">
      <w:pPr>
        <w:numPr>
          <w:ilvl w:val="0"/>
          <w:numId w:val="6"/>
        </w:numPr>
        <w:tabs>
          <w:tab w:val="clear" w:pos="284"/>
          <w:tab w:val="clear" w:pos="567"/>
          <w:tab w:val="clear" w:pos="855"/>
          <w:tab w:val="num" w:pos="360"/>
        </w:tabs>
        <w:jc w:val="both"/>
        <w:rPr>
          <w:rFonts w:ascii="Times New Roman" w:hAnsi="Times New Roman"/>
          <w:sz w:val="22"/>
        </w:rPr>
      </w:pPr>
      <w:r>
        <w:rPr>
          <w:rFonts w:ascii="Times New Roman" w:hAnsi="Times New Roman"/>
          <w:sz w:val="22"/>
        </w:rPr>
        <w:t>Bedrijven</w:t>
      </w:r>
    </w:p>
    <w:p w:rsidR="00F64427" w:rsidRDefault="00F64427" w:rsidP="009B3F89">
      <w:pPr>
        <w:tabs>
          <w:tab w:val="clear" w:pos="284"/>
          <w:tab w:val="clear" w:pos="567"/>
        </w:tabs>
        <w:jc w:val="both"/>
        <w:rPr>
          <w:rFonts w:ascii="Times New Roman" w:hAnsi="Times New Roman"/>
          <w:sz w:val="22"/>
        </w:rPr>
      </w:pPr>
    </w:p>
    <w:p w:rsidR="00F64427" w:rsidRDefault="00F64427" w:rsidP="009B3F89">
      <w:pPr>
        <w:numPr>
          <w:ilvl w:val="0"/>
          <w:numId w:val="4"/>
        </w:numPr>
        <w:tabs>
          <w:tab w:val="clear" w:pos="284"/>
          <w:tab w:val="clear" w:pos="567"/>
        </w:tabs>
        <w:jc w:val="both"/>
        <w:rPr>
          <w:rFonts w:ascii="Times New Roman" w:hAnsi="Times New Roman"/>
          <w:sz w:val="22"/>
        </w:rPr>
      </w:pPr>
      <w:r>
        <w:rPr>
          <w:rFonts w:ascii="Times New Roman" w:hAnsi="Times New Roman"/>
          <w:sz w:val="22"/>
        </w:rPr>
        <w:t>Omdat het belangrijk is dat een relatief grote en betrouwbare partij achter de groepsaankoop staat, kan het zinvol zijn dat openbare besturen op verschillende niveaus deze rol opnemen. Als vanuit een publieke instelling</w:t>
      </w:r>
      <w:r w:rsidRPr="007D5A43">
        <w:rPr>
          <w:rFonts w:ascii="Times New Roman" w:hAnsi="Times New Roman"/>
          <w:sz w:val="22"/>
        </w:rPr>
        <w:t xml:space="preserve"> een helpende hand gereikt wordt door middel van het organiseren van een groepsaankoop - opnieuw, op voorwaarde dat dit op een </w:t>
      </w:r>
      <w:r>
        <w:rPr>
          <w:rFonts w:ascii="Times New Roman" w:hAnsi="Times New Roman"/>
          <w:sz w:val="22"/>
        </w:rPr>
        <w:t>correcte en transparante manier georganiseerd wordt - kan dit een positief effect op de concurrentie en de prijs hebben.</w:t>
      </w:r>
    </w:p>
    <w:p w:rsidR="00F64427" w:rsidRDefault="00F64427" w:rsidP="00FE18F9">
      <w:pPr>
        <w:tabs>
          <w:tab w:val="clear" w:pos="284"/>
          <w:tab w:val="clear" w:pos="567"/>
        </w:tabs>
        <w:jc w:val="both"/>
        <w:rPr>
          <w:rFonts w:ascii="Times New Roman" w:hAnsi="Times New Roman"/>
          <w:sz w:val="22"/>
        </w:rPr>
      </w:pPr>
    </w:p>
    <w:p w:rsidR="00F64427" w:rsidRDefault="00F64427" w:rsidP="00E9401D">
      <w:pPr>
        <w:numPr>
          <w:ilvl w:val="0"/>
          <w:numId w:val="4"/>
        </w:numPr>
        <w:tabs>
          <w:tab w:val="clear" w:pos="284"/>
          <w:tab w:val="clear" w:pos="567"/>
        </w:tabs>
        <w:jc w:val="both"/>
        <w:rPr>
          <w:rFonts w:ascii="Times New Roman" w:hAnsi="Times New Roman"/>
          <w:sz w:val="22"/>
        </w:rPr>
      </w:pPr>
      <w:r>
        <w:rPr>
          <w:rFonts w:ascii="Times New Roman" w:hAnsi="Times New Roman"/>
          <w:sz w:val="22"/>
        </w:rPr>
        <w:t xml:space="preserve">Over deze actie werd geen overleg gepleegd met het kabinet, het Vlaams Energieagentschap of de VREG. </w:t>
      </w:r>
    </w:p>
    <w:p w:rsidR="00F64427" w:rsidRDefault="00F64427" w:rsidP="009B3F89">
      <w:pPr>
        <w:tabs>
          <w:tab w:val="clear" w:pos="284"/>
          <w:tab w:val="clear" w:pos="567"/>
        </w:tabs>
        <w:jc w:val="both"/>
        <w:rPr>
          <w:rFonts w:ascii="Times New Roman" w:hAnsi="Times New Roman"/>
          <w:sz w:val="22"/>
        </w:rPr>
      </w:pPr>
    </w:p>
    <w:p w:rsidR="00F64427" w:rsidRPr="00E9401D" w:rsidRDefault="00F64427" w:rsidP="00E9401D">
      <w:pPr>
        <w:numPr>
          <w:ilvl w:val="0"/>
          <w:numId w:val="4"/>
        </w:numPr>
        <w:tabs>
          <w:tab w:val="clear" w:pos="284"/>
          <w:tab w:val="clear" w:pos="567"/>
        </w:tabs>
        <w:jc w:val="both"/>
        <w:rPr>
          <w:rFonts w:ascii="Times New Roman" w:hAnsi="Times New Roman"/>
          <w:sz w:val="22"/>
        </w:rPr>
      </w:pPr>
      <w:r>
        <w:rPr>
          <w:rFonts w:ascii="Times New Roman" w:hAnsi="Times New Roman"/>
          <w:sz w:val="22"/>
        </w:rPr>
        <w:t>Niets belet dat dit model door andere instanties wordt overgenomen.</w:t>
      </w:r>
    </w:p>
    <w:sectPr w:rsidR="00F64427" w:rsidRPr="00E9401D" w:rsidSect="00EC6A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02E9"/>
    <w:multiLevelType w:val="hybridMultilevel"/>
    <w:tmpl w:val="BC1CF71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2C7D7002"/>
    <w:multiLevelType w:val="hybridMultilevel"/>
    <w:tmpl w:val="8838674C"/>
    <w:lvl w:ilvl="0" w:tplc="08130017">
      <w:start w:val="1"/>
      <w:numFmt w:val="lowerLetter"/>
      <w:lvlText w:val="%1)"/>
      <w:lvlJc w:val="left"/>
      <w:pPr>
        <w:tabs>
          <w:tab w:val="num" w:pos="720"/>
        </w:tabs>
        <w:ind w:left="720" w:hanging="360"/>
      </w:pPr>
      <w:rPr>
        <w:rFonts w:cs="Times New Roman"/>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2">
    <w:nsid w:val="33C729C0"/>
    <w:multiLevelType w:val="hybridMultilevel"/>
    <w:tmpl w:val="A96ADAB6"/>
    <w:lvl w:ilvl="0" w:tplc="08130017">
      <w:start w:val="1"/>
      <w:numFmt w:val="lowerLetter"/>
      <w:lvlText w:val="%1)"/>
      <w:lvlJc w:val="left"/>
      <w:pPr>
        <w:tabs>
          <w:tab w:val="num" w:pos="720"/>
        </w:tabs>
        <w:ind w:left="720" w:hanging="36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3">
    <w:nsid w:val="51D52EDD"/>
    <w:multiLevelType w:val="hybridMultilevel"/>
    <w:tmpl w:val="05B0B4F8"/>
    <w:lvl w:ilvl="0" w:tplc="A2AA01E2">
      <w:start w:val="1"/>
      <w:numFmt w:val="decimal"/>
      <w:lvlText w:val="%1."/>
      <w:lvlJc w:val="left"/>
      <w:pPr>
        <w:tabs>
          <w:tab w:val="num" w:pos="855"/>
        </w:tabs>
        <w:ind w:left="855" w:hanging="855"/>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5C0577C2"/>
    <w:multiLevelType w:val="hybridMultilevel"/>
    <w:tmpl w:val="0B26F51A"/>
    <w:lvl w:ilvl="0" w:tplc="08130017">
      <w:start w:val="3"/>
      <w:numFmt w:val="lowerLetter"/>
      <w:lvlText w:val="%1)"/>
      <w:lvlJc w:val="left"/>
      <w:pPr>
        <w:tabs>
          <w:tab w:val="num" w:pos="720"/>
        </w:tabs>
        <w:ind w:left="720" w:hanging="360"/>
      </w:pPr>
      <w:rPr>
        <w:rFonts w:cs="Times New Roman" w:hint="default"/>
      </w:rPr>
    </w:lvl>
    <w:lvl w:ilvl="1" w:tplc="A2AA01E2">
      <w:start w:val="1"/>
      <w:numFmt w:val="decimal"/>
      <w:lvlText w:val="%2."/>
      <w:lvlJc w:val="left"/>
      <w:pPr>
        <w:tabs>
          <w:tab w:val="num" w:pos="1935"/>
        </w:tabs>
        <w:ind w:left="1935" w:hanging="855"/>
      </w:pPr>
      <w:rPr>
        <w:rFonts w:cs="Times New Roman" w:hint="default"/>
      </w:rPr>
    </w:lvl>
    <w:lvl w:ilvl="2" w:tplc="66487392">
      <w:start w:val="2"/>
      <w:numFmt w:val="decimal"/>
      <w:lvlText w:val="%3)"/>
      <w:lvlJc w:val="left"/>
      <w:pPr>
        <w:tabs>
          <w:tab w:val="num" w:pos="2700"/>
        </w:tabs>
        <w:ind w:left="2700" w:hanging="720"/>
      </w:pPr>
      <w:rPr>
        <w:rFonts w:cs="Times New Roman" w:hint="default"/>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5">
    <w:nsid w:val="6E4B07BF"/>
    <w:multiLevelType w:val="singleLevel"/>
    <w:tmpl w:val="6DB2B9A2"/>
    <w:lvl w:ilvl="0">
      <w:start w:val="1"/>
      <w:numFmt w:val="decimal"/>
      <w:lvlText w:val="%1."/>
      <w:lvlJc w:val="left"/>
      <w:pPr>
        <w:tabs>
          <w:tab w:val="num" w:pos="360"/>
        </w:tabs>
        <w:ind w:left="360" w:hanging="360"/>
      </w:pPr>
      <w:rPr>
        <w:rFonts w:cs="Times New Roman"/>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9C5"/>
    <w:rsid w:val="00027158"/>
    <w:rsid w:val="001023F0"/>
    <w:rsid w:val="001C24D3"/>
    <w:rsid w:val="00292461"/>
    <w:rsid w:val="003E1F56"/>
    <w:rsid w:val="007069D5"/>
    <w:rsid w:val="00756314"/>
    <w:rsid w:val="007678B5"/>
    <w:rsid w:val="0077668D"/>
    <w:rsid w:val="007979AA"/>
    <w:rsid w:val="007B09C5"/>
    <w:rsid w:val="007D5A43"/>
    <w:rsid w:val="007F587B"/>
    <w:rsid w:val="008444F5"/>
    <w:rsid w:val="008F443A"/>
    <w:rsid w:val="009B3F89"/>
    <w:rsid w:val="00A33A7C"/>
    <w:rsid w:val="00A95D3A"/>
    <w:rsid w:val="00AB5FFA"/>
    <w:rsid w:val="00B45328"/>
    <w:rsid w:val="00B61C6B"/>
    <w:rsid w:val="00BA22C8"/>
    <w:rsid w:val="00BD0530"/>
    <w:rsid w:val="00BE77CA"/>
    <w:rsid w:val="00C52EF7"/>
    <w:rsid w:val="00CB36CC"/>
    <w:rsid w:val="00CF70F7"/>
    <w:rsid w:val="00DE4E2B"/>
    <w:rsid w:val="00E45F4F"/>
    <w:rsid w:val="00E66FB9"/>
    <w:rsid w:val="00E9401D"/>
    <w:rsid w:val="00EC6AC9"/>
    <w:rsid w:val="00EE2C2F"/>
    <w:rsid w:val="00F2603A"/>
    <w:rsid w:val="00F363DB"/>
    <w:rsid w:val="00F64427"/>
    <w:rsid w:val="00FD298C"/>
    <w:rsid w:val="00FE18F9"/>
    <w:rsid w:val="00FE3B1F"/>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1D"/>
    <w:pPr>
      <w:tabs>
        <w:tab w:val="left" w:pos="284"/>
        <w:tab w:val="left" w:pos="567"/>
        <w:tab w:val="left" w:pos="851"/>
        <w:tab w:val="left" w:pos="1134"/>
        <w:tab w:val="center" w:pos="4253"/>
        <w:tab w:val="right" w:pos="8278"/>
      </w:tabs>
    </w:pPr>
    <w:rPr>
      <w:rFonts w:ascii="Courier New" w:hAnsi="Courier New"/>
      <w:sz w:val="20"/>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9401D"/>
    <w:pPr>
      <w:tabs>
        <w:tab w:val="clear" w:pos="284"/>
        <w:tab w:val="clear" w:pos="567"/>
        <w:tab w:val="clear" w:pos="851"/>
        <w:tab w:val="clear" w:pos="1134"/>
        <w:tab w:val="clear" w:pos="4253"/>
        <w:tab w:val="clear" w:pos="8278"/>
      </w:tabs>
      <w:jc w:val="center"/>
    </w:pPr>
    <w:rPr>
      <w:rFonts w:ascii="Times New Roman" w:hAnsi="Times New Roman"/>
      <w:b/>
    </w:rPr>
  </w:style>
  <w:style w:type="character" w:customStyle="1" w:styleId="TitleChar">
    <w:name w:val="Title Char"/>
    <w:basedOn w:val="DefaultParagraphFont"/>
    <w:link w:val="Title"/>
    <w:uiPriority w:val="10"/>
    <w:rsid w:val="0027563B"/>
    <w:rPr>
      <w:rFonts w:asciiTheme="majorHAnsi" w:eastAsiaTheme="majorEastAsia" w:hAnsiTheme="majorHAnsi" w:cstheme="majorBidi"/>
      <w:b/>
      <w:bCs/>
      <w:kern w:val="28"/>
      <w:sz w:val="32"/>
      <w:szCs w:val="32"/>
      <w:lang w:val="nl-NL" w:eastAsia="nl-NL"/>
    </w:rPr>
  </w:style>
  <w:style w:type="paragraph" w:customStyle="1" w:styleId="StandaardSV">
    <w:name w:val="Standaard SV"/>
    <w:basedOn w:val="Normal"/>
    <w:uiPriority w:val="99"/>
    <w:rsid w:val="00E9401D"/>
    <w:pPr>
      <w:tabs>
        <w:tab w:val="clear" w:pos="284"/>
        <w:tab w:val="clear" w:pos="567"/>
        <w:tab w:val="clear" w:pos="851"/>
        <w:tab w:val="clear" w:pos="1134"/>
        <w:tab w:val="clear" w:pos="4253"/>
        <w:tab w:val="clear" w:pos="8278"/>
      </w:tabs>
      <w:jc w:val="both"/>
    </w:pPr>
    <w:rPr>
      <w:rFonts w:ascii="Times New Roman" w:hAnsi="Times New Roman"/>
      <w:sz w:val="22"/>
    </w:rPr>
  </w:style>
  <w:style w:type="paragraph" w:styleId="EnvelopeAddress">
    <w:name w:val="envelope address"/>
    <w:basedOn w:val="Normal"/>
    <w:uiPriority w:val="99"/>
    <w:rsid w:val="00756314"/>
    <w:pPr>
      <w:framePr w:w="7920" w:h="1980" w:hRule="exact" w:hSpace="141" w:wrap="auto" w:hAnchor="page" w:xAlign="center" w:yAlign="bottom"/>
      <w:tabs>
        <w:tab w:val="clear" w:pos="284"/>
        <w:tab w:val="clear" w:pos="567"/>
        <w:tab w:val="clear" w:pos="851"/>
        <w:tab w:val="clear" w:pos="1134"/>
        <w:tab w:val="clear" w:pos="4253"/>
        <w:tab w:val="clear" w:pos="8278"/>
      </w:tabs>
      <w:ind w:left="2880"/>
    </w:pPr>
    <w:rPr>
      <w:rFonts w:ascii="Times New Roman" w:hAnsi="Times New Roman"/>
      <w:sz w:val="24"/>
    </w:rPr>
  </w:style>
  <w:style w:type="character" w:styleId="Strong">
    <w:name w:val="Strong"/>
    <w:basedOn w:val="DefaultParagraphFont"/>
    <w:uiPriority w:val="99"/>
    <w:qFormat/>
    <w:rsid w:val="00756314"/>
    <w:rPr>
      <w:rFonts w:cs="Times New Roman"/>
      <w:b/>
      <w:bCs/>
    </w:rPr>
  </w:style>
  <w:style w:type="character" w:styleId="Hyperlink">
    <w:name w:val="Hyperlink"/>
    <w:basedOn w:val="DefaultParagraphFont"/>
    <w:uiPriority w:val="99"/>
    <w:rsid w:val="00B45328"/>
    <w:rPr>
      <w:rFonts w:cs="Times New Roman"/>
      <w:color w:val="990033"/>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887</Words>
  <Characters>4882</Characters>
  <Application>Microsoft Office Outlook</Application>
  <DocSecurity>0</DocSecurity>
  <Lines>0</Lines>
  <Paragraphs>0</Paragraphs>
  <ScaleCrop>false</ScaleCrop>
  <Company>vreg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FREYA VAN DEN BOSSCHE</dc:title>
  <dc:subject/>
  <dc:creator>ruben verboven</dc:creator>
  <cp:keywords/>
  <dc:description/>
  <cp:lastModifiedBy>Nathalie De Keyzer</cp:lastModifiedBy>
  <cp:revision>4</cp:revision>
  <dcterms:created xsi:type="dcterms:W3CDTF">2010-12-02T15:32:00Z</dcterms:created>
  <dcterms:modified xsi:type="dcterms:W3CDTF">2010-12-03T12:58:00Z</dcterms:modified>
</cp:coreProperties>
</file>