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1F" w:rsidRPr="00A8473D" w:rsidRDefault="00B27A1F" w:rsidP="00AA095C">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B27A1F" w:rsidRDefault="00B27A1F" w:rsidP="00AA095C">
      <w:pPr>
        <w:pStyle w:val="StandaardSV"/>
        <w:rPr>
          <w:smallCaps/>
        </w:rPr>
      </w:pPr>
      <w:r w:rsidRPr="00A8473D">
        <w:rPr>
          <w:smallCaps/>
          <w:szCs w:val="22"/>
          <w:lang w:val="nl-BE"/>
        </w:rPr>
        <w:t>minister-president van de vlaamse regering, vlaams minister van economie, buitenlands beleid, landbouw en plattelandsbeleid</w:t>
      </w:r>
    </w:p>
    <w:p w:rsidR="00B27A1F" w:rsidRDefault="00B27A1F">
      <w:pPr>
        <w:pBdr>
          <w:bottom w:val="single" w:sz="4" w:space="1" w:color="auto"/>
        </w:pBdr>
        <w:rPr>
          <w:sz w:val="22"/>
        </w:rPr>
      </w:pPr>
    </w:p>
    <w:p w:rsidR="00B27A1F" w:rsidRDefault="00B27A1F">
      <w:pPr>
        <w:rPr>
          <w:sz w:val="22"/>
        </w:rPr>
      </w:pPr>
    </w:p>
    <w:p w:rsidR="00B27A1F" w:rsidRDefault="00B27A1F">
      <w:pPr>
        <w:rPr>
          <w:b/>
          <w:smallCaps/>
          <w:sz w:val="22"/>
        </w:rPr>
      </w:pPr>
      <w:r>
        <w:rPr>
          <w:b/>
          <w:smallCaps/>
          <w:sz w:val="22"/>
        </w:rPr>
        <w:t>antwoord</w:t>
      </w:r>
    </w:p>
    <w:p w:rsidR="00B27A1F" w:rsidRDefault="00B27A1F">
      <w:pPr>
        <w:rPr>
          <w:sz w:val="22"/>
        </w:rPr>
      </w:pPr>
      <w:r>
        <w:rPr>
          <w:sz w:val="22"/>
        </w:rPr>
        <w:t>op vraag nr. 30 van 20 oktober 2010</w:t>
      </w:r>
    </w:p>
    <w:p w:rsidR="00B27A1F" w:rsidRDefault="00B27A1F">
      <w:pPr>
        <w:rPr>
          <w:sz w:val="22"/>
        </w:rPr>
      </w:pPr>
      <w:r>
        <w:rPr>
          <w:sz w:val="22"/>
        </w:rPr>
        <w:t xml:space="preserve">van </w:t>
      </w:r>
      <w:r>
        <w:rPr>
          <w:b/>
          <w:smallCaps/>
          <w:sz w:val="22"/>
        </w:rPr>
        <w:t>martine fournier</w:t>
      </w:r>
    </w:p>
    <w:p w:rsidR="00B27A1F" w:rsidRDefault="00B27A1F" w:rsidP="009976C1">
      <w:pPr>
        <w:pBdr>
          <w:bottom w:val="single" w:sz="4" w:space="1" w:color="auto"/>
        </w:pBdr>
        <w:jc w:val="both"/>
        <w:rPr>
          <w:sz w:val="22"/>
        </w:rPr>
      </w:pPr>
    </w:p>
    <w:p w:rsidR="00B27A1F" w:rsidRDefault="00B27A1F" w:rsidP="009976C1">
      <w:pPr>
        <w:jc w:val="both"/>
        <w:rPr>
          <w:sz w:val="22"/>
        </w:rPr>
      </w:pPr>
    </w:p>
    <w:p w:rsidR="00B27A1F" w:rsidRDefault="00B27A1F" w:rsidP="009976C1">
      <w:pPr>
        <w:jc w:val="both"/>
        <w:rPr>
          <w:sz w:val="22"/>
        </w:rPr>
      </w:pPr>
    </w:p>
    <w:p w:rsidR="00B27A1F" w:rsidRDefault="00B27A1F" w:rsidP="009976C1">
      <w:pPr>
        <w:jc w:val="both"/>
        <w:rPr>
          <w:sz w:val="22"/>
        </w:rPr>
        <w:sectPr w:rsidR="00B27A1F">
          <w:pgSz w:w="11906" w:h="16838"/>
          <w:pgMar w:top="1417" w:right="1417" w:bottom="1417" w:left="1417" w:header="708" w:footer="708" w:gutter="0"/>
          <w:cols w:space="708"/>
          <w:docGrid w:linePitch="360"/>
        </w:sectPr>
      </w:pPr>
    </w:p>
    <w:p w:rsidR="00B27A1F" w:rsidRDefault="00B27A1F" w:rsidP="007F1748">
      <w:pPr>
        <w:ind w:left="720" w:hanging="720"/>
        <w:jc w:val="both"/>
        <w:rPr>
          <w:sz w:val="22"/>
          <w:szCs w:val="22"/>
          <w:lang w:val="nl-BE"/>
        </w:rPr>
      </w:pPr>
      <w:r>
        <w:rPr>
          <w:sz w:val="22"/>
          <w:szCs w:val="22"/>
          <w:lang w:val="nl-BE"/>
        </w:rPr>
        <w:t>1-2-3.</w:t>
      </w:r>
      <w:r>
        <w:rPr>
          <w:sz w:val="22"/>
          <w:szCs w:val="22"/>
          <w:lang w:val="nl-BE"/>
        </w:rPr>
        <w:tab/>
      </w:r>
      <w:r w:rsidRPr="003C7D5F">
        <w:rPr>
          <w:sz w:val="22"/>
          <w:szCs w:val="22"/>
          <w:lang w:val="nl-BE"/>
        </w:rPr>
        <w:t>Uw vraag gaat over de federale wet betreffende de vergunning van handelsvestigingen. Via de Federale Overheidsdienst Economie konden de gevraagde cijfers worden bekomen. Het ICD behandelde in 2008 32 dossiers (18 uit het Vlaams Gewest, 14 uit het Waals Gewest), in 2009 28 dossiers (13 Vlaams Gewest, 15 Waals Gewest) en in 2010 voorlopig 25 dossiers (11 Vlaams Gewest, 14 Waals Gewest).</w:t>
      </w:r>
    </w:p>
    <w:p w:rsidR="00B27A1F" w:rsidRPr="003C7D5F" w:rsidRDefault="00B27A1F" w:rsidP="003C7D5F">
      <w:pPr>
        <w:rPr>
          <w:sz w:val="22"/>
          <w:szCs w:val="22"/>
          <w:lang w:val="nl-BE"/>
        </w:rPr>
      </w:pPr>
    </w:p>
    <w:p w:rsidR="00B27A1F" w:rsidRPr="003C7D5F" w:rsidRDefault="00B27A1F" w:rsidP="007F1748">
      <w:pPr>
        <w:ind w:left="708"/>
        <w:rPr>
          <w:sz w:val="22"/>
          <w:szCs w:val="22"/>
          <w:lang w:val="nl-BE"/>
        </w:rPr>
      </w:pPr>
      <w:r w:rsidRPr="003C7D5F">
        <w:rPr>
          <w:sz w:val="22"/>
          <w:szCs w:val="22"/>
          <w:lang w:val="nl-BE"/>
        </w:rPr>
        <w:t>De gunstige/ongunstige beslissingen van het ICD na negatieve beslissing van de gemeente zijn ook op te splitsen op gewestniveau:</w:t>
      </w:r>
    </w:p>
    <w:p w:rsidR="00B27A1F" w:rsidRPr="003C7D5F" w:rsidRDefault="00B27A1F" w:rsidP="003C7D5F">
      <w:pPr>
        <w:rPr>
          <w:sz w:val="22"/>
          <w:szCs w:val="22"/>
          <w:lang w:val="nl-BE"/>
        </w:rPr>
      </w:pPr>
    </w:p>
    <w:p w:rsidR="00B27A1F" w:rsidRPr="003C7D5F" w:rsidRDefault="00B27A1F" w:rsidP="003C7D5F">
      <w:pPr>
        <w:rPr>
          <w:sz w:val="22"/>
          <w:szCs w:val="22"/>
          <w:u w:val="single"/>
          <w:lang w:val="nl-BE"/>
        </w:rPr>
      </w:pPr>
      <w:r w:rsidRPr="003C7D5F">
        <w:rPr>
          <w:sz w:val="22"/>
          <w:szCs w:val="22"/>
          <w:u w:val="single"/>
          <w:lang w:val="nl-BE"/>
        </w:rPr>
        <w:t>Vlaams Gewest</w:t>
      </w:r>
    </w:p>
    <w:p w:rsidR="00B27A1F" w:rsidRPr="003C7D5F" w:rsidRDefault="00B27A1F" w:rsidP="003C7D5F">
      <w:pPr>
        <w:rPr>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328"/>
        <w:gridCol w:w="1230"/>
        <w:gridCol w:w="5913"/>
      </w:tblGrid>
      <w:tr w:rsidR="00B27A1F" w:rsidRPr="003C7D5F" w:rsidTr="00EC436B">
        <w:tc>
          <w:tcPr>
            <w:tcW w:w="828" w:type="dxa"/>
          </w:tcPr>
          <w:p w:rsidR="00B27A1F" w:rsidRPr="00EC436B" w:rsidRDefault="00B27A1F" w:rsidP="003C7D5F">
            <w:pPr>
              <w:rPr>
                <w:sz w:val="22"/>
                <w:szCs w:val="22"/>
                <w:lang w:val="nl-BE"/>
              </w:rPr>
            </w:pPr>
            <w:r w:rsidRPr="00EC436B">
              <w:rPr>
                <w:sz w:val="22"/>
                <w:szCs w:val="22"/>
                <w:lang w:val="nl-BE"/>
              </w:rPr>
              <w:t>ICD</w:t>
            </w:r>
          </w:p>
        </w:tc>
        <w:tc>
          <w:tcPr>
            <w:tcW w:w="923" w:type="dxa"/>
          </w:tcPr>
          <w:p w:rsidR="00B27A1F" w:rsidRPr="00EC436B" w:rsidRDefault="00B27A1F" w:rsidP="003C7D5F">
            <w:pPr>
              <w:rPr>
                <w:sz w:val="22"/>
                <w:szCs w:val="22"/>
                <w:lang w:val="nl-BE"/>
              </w:rPr>
            </w:pPr>
            <w:r w:rsidRPr="00EC436B">
              <w:rPr>
                <w:sz w:val="22"/>
                <w:szCs w:val="22"/>
                <w:lang w:val="nl-BE"/>
              </w:rPr>
              <w:t>Gunstig</w:t>
            </w:r>
          </w:p>
        </w:tc>
        <w:tc>
          <w:tcPr>
            <w:tcW w:w="1237" w:type="dxa"/>
          </w:tcPr>
          <w:p w:rsidR="00B27A1F" w:rsidRPr="00EC436B" w:rsidRDefault="00B27A1F" w:rsidP="003C7D5F">
            <w:pPr>
              <w:rPr>
                <w:sz w:val="22"/>
                <w:szCs w:val="22"/>
                <w:lang w:val="nl-BE"/>
              </w:rPr>
            </w:pPr>
            <w:r w:rsidRPr="00EC436B">
              <w:rPr>
                <w:sz w:val="22"/>
                <w:szCs w:val="22"/>
                <w:lang w:val="nl-BE"/>
              </w:rPr>
              <w:t>Ongunstig</w:t>
            </w:r>
          </w:p>
        </w:tc>
        <w:tc>
          <w:tcPr>
            <w:tcW w:w="6224" w:type="dxa"/>
          </w:tcPr>
          <w:p w:rsidR="00B27A1F" w:rsidRPr="00EC436B" w:rsidRDefault="00B27A1F" w:rsidP="003C7D5F">
            <w:pPr>
              <w:rPr>
                <w:sz w:val="22"/>
                <w:szCs w:val="22"/>
                <w:lang w:val="nl-BE"/>
              </w:rPr>
            </w:pPr>
            <w:r w:rsidRPr="00EC436B">
              <w:rPr>
                <w:sz w:val="22"/>
                <w:szCs w:val="22"/>
                <w:lang w:val="nl-BE"/>
              </w:rPr>
              <w:t>Saldo</w:t>
            </w:r>
          </w:p>
        </w:tc>
      </w:tr>
      <w:tr w:rsidR="00B27A1F" w:rsidRPr="003C7D5F" w:rsidTr="00EC436B">
        <w:tc>
          <w:tcPr>
            <w:tcW w:w="828" w:type="dxa"/>
          </w:tcPr>
          <w:p w:rsidR="00B27A1F" w:rsidRPr="00EC436B" w:rsidRDefault="00B27A1F" w:rsidP="003C7D5F">
            <w:pPr>
              <w:rPr>
                <w:b/>
                <w:sz w:val="22"/>
                <w:szCs w:val="22"/>
                <w:lang w:val="nl-BE"/>
              </w:rPr>
            </w:pPr>
            <w:r w:rsidRPr="00EC436B">
              <w:rPr>
                <w:b/>
                <w:sz w:val="22"/>
                <w:szCs w:val="22"/>
                <w:lang w:val="nl-BE"/>
              </w:rPr>
              <w:t>2008</w:t>
            </w:r>
          </w:p>
        </w:tc>
        <w:tc>
          <w:tcPr>
            <w:tcW w:w="923" w:type="dxa"/>
          </w:tcPr>
          <w:p w:rsidR="00B27A1F" w:rsidRPr="00EC436B" w:rsidRDefault="00B27A1F" w:rsidP="003C7D5F">
            <w:pPr>
              <w:rPr>
                <w:sz w:val="22"/>
                <w:szCs w:val="22"/>
                <w:lang w:val="nl-BE"/>
              </w:rPr>
            </w:pPr>
            <w:r w:rsidRPr="00EC436B">
              <w:rPr>
                <w:sz w:val="22"/>
                <w:szCs w:val="22"/>
                <w:lang w:val="nl-BE"/>
              </w:rPr>
              <w:t>13</w:t>
            </w:r>
          </w:p>
        </w:tc>
        <w:tc>
          <w:tcPr>
            <w:tcW w:w="1237" w:type="dxa"/>
          </w:tcPr>
          <w:p w:rsidR="00B27A1F" w:rsidRPr="00EC436B" w:rsidRDefault="00B27A1F" w:rsidP="003C7D5F">
            <w:pPr>
              <w:rPr>
                <w:sz w:val="22"/>
                <w:szCs w:val="22"/>
                <w:lang w:val="nl-BE"/>
              </w:rPr>
            </w:pPr>
            <w:r w:rsidRPr="00EC436B">
              <w:rPr>
                <w:sz w:val="22"/>
                <w:szCs w:val="22"/>
                <w:lang w:val="nl-BE"/>
              </w:rPr>
              <w:t>0</w:t>
            </w:r>
          </w:p>
        </w:tc>
        <w:tc>
          <w:tcPr>
            <w:tcW w:w="6224" w:type="dxa"/>
          </w:tcPr>
          <w:p w:rsidR="00B27A1F" w:rsidRPr="00EC436B" w:rsidRDefault="00B27A1F" w:rsidP="003C7D5F">
            <w:pPr>
              <w:rPr>
                <w:sz w:val="22"/>
                <w:szCs w:val="22"/>
                <w:lang w:val="nl-BE"/>
              </w:rPr>
            </w:pPr>
            <w:r w:rsidRPr="00EC436B">
              <w:rPr>
                <w:sz w:val="22"/>
                <w:szCs w:val="22"/>
                <w:lang w:val="nl-BE"/>
              </w:rPr>
              <w:t>Daarnaast 3 beroepen zonder beslissing, 1 beroep onontvankelijk (</w:t>
            </w:r>
            <w:r w:rsidRPr="00EC436B">
              <w:rPr>
                <w:i/>
                <w:sz w:val="22"/>
                <w:szCs w:val="22"/>
                <w:lang w:val="nl-BE"/>
              </w:rPr>
              <w:t>in geval van beroepen zonder beslissing of onontvankelijk, valt men terug op de negatieve beslissing van de gemeente</w:t>
            </w:r>
            <w:r w:rsidRPr="00EC436B">
              <w:rPr>
                <w:sz w:val="22"/>
                <w:szCs w:val="22"/>
                <w:lang w:val="nl-BE"/>
              </w:rPr>
              <w:t>) en 1 beroep (NSECD) op gunstige beslissing gemeente.</w:t>
            </w:r>
          </w:p>
        </w:tc>
      </w:tr>
      <w:tr w:rsidR="00B27A1F" w:rsidRPr="003C7D5F" w:rsidTr="00EC436B">
        <w:tc>
          <w:tcPr>
            <w:tcW w:w="828" w:type="dxa"/>
          </w:tcPr>
          <w:p w:rsidR="00B27A1F" w:rsidRPr="00EC436B" w:rsidRDefault="00B27A1F" w:rsidP="003C7D5F">
            <w:pPr>
              <w:rPr>
                <w:b/>
                <w:sz w:val="22"/>
                <w:szCs w:val="22"/>
                <w:lang w:val="nl-BE"/>
              </w:rPr>
            </w:pPr>
            <w:r w:rsidRPr="00EC436B">
              <w:rPr>
                <w:b/>
                <w:sz w:val="22"/>
                <w:szCs w:val="22"/>
                <w:lang w:val="nl-BE"/>
              </w:rPr>
              <w:t>2009</w:t>
            </w:r>
          </w:p>
        </w:tc>
        <w:tc>
          <w:tcPr>
            <w:tcW w:w="923" w:type="dxa"/>
          </w:tcPr>
          <w:p w:rsidR="00B27A1F" w:rsidRPr="00EC436B" w:rsidRDefault="00B27A1F" w:rsidP="003C7D5F">
            <w:pPr>
              <w:rPr>
                <w:sz w:val="22"/>
                <w:szCs w:val="22"/>
                <w:lang w:val="nl-BE"/>
              </w:rPr>
            </w:pPr>
            <w:r w:rsidRPr="00EC436B">
              <w:rPr>
                <w:sz w:val="22"/>
                <w:szCs w:val="22"/>
                <w:lang w:val="nl-BE"/>
              </w:rPr>
              <w:t>8</w:t>
            </w:r>
          </w:p>
        </w:tc>
        <w:tc>
          <w:tcPr>
            <w:tcW w:w="1237" w:type="dxa"/>
          </w:tcPr>
          <w:p w:rsidR="00B27A1F" w:rsidRPr="00EC436B" w:rsidRDefault="00B27A1F" w:rsidP="003C7D5F">
            <w:pPr>
              <w:rPr>
                <w:sz w:val="22"/>
                <w:szCs w:val="22"/>
                <w:lang w:val="nl-BE"/>
              </w:rPr>
            </w:pPr>
            <w:r w:rsidRPr="00EC436B">
              <w:rPr>
                <w:sz w:val="22"/>
                <w:szCs w:val="22"/>
                <w:lang w:val="nl-BE"/>
              </w:rPr>
              <w:t>3</w:t>
            </w:r>
          </w:p>
        </w:tc>
        <w:tc>
          <w:tcPr>
            <w:tcW w:w="6224" w:type="dxa"/>
          </w:tcPr>
          <w:p w:rsidR="00B27A1F" w:rsidRPr="00EC436B" w:rsidRDefault="00B27A1F" w:rsidP="003C7D5F">
            <w:pPr>
              <w:rPr>
                <w:sz w:val="22"/>
                <w:szCs w:val="22"/>
                <w:lang w:val="nl-BE"/>
              </w:rPr>
            </w:pPr>
            <w:r w:rsidRPr="00EC436B">
              <w:rPr>
                <w:sz w:val="22"/>
                <w:szCs w:val="22"/>
                <w:lang w:val="nl-BE"/>
              </w:rPr>
              <w:t>2 beroepen zonder beslissing (</w:t>
            </w:r>
            <w:r w:rsidRPr="00EC436B">
              <w:rPr>
                <w:i/>
                <w:sz w:val="22"/>
                <w:szCs w:val="22"/>
                <w:lang w:val="nl-BE"/>
              </w:rPr>
              <w:t>in geval van beroepen zonder beslissing, valt men terug op de negatieve beslissing van de gemeente</w:t>
            </w:r>
            <w:r w:rsidRPr="00EC436B">
              <w:rPr>
                <w:sz w:val="22"/>
                <w:szCs w:val="22"/>
                <w:lang w:val="nl-BE"/>
              </w:rPr>
              <w:t>).</w:t>
            </w:r>
          </w:p>
        </w:tc>
      </w:tr>
      <w:tr w:rsidR="00B27A1F" w:rsidRPr="003C7D5F" w:rsidTr="00EC436B">
        <w:tc>
          <w:tcPr>
            <w:tcW w:w="828" w:type="dxa"/>
          </w:tcPr>
          <w:p w:rsidR="00B27A1F" w:rsidRPr="00EC436B" w:rsidRDefault="00B27A1F" w:rsidP="003C7D5F">
            <w:pPr>
              <w:rPr>
                <w:b/>
                <w:sz w:val="22"/>
                <w:szCs w:val="22"/>
                <w:lang w:val="nl-BE"/>
              </w:rPr>
            </w:pPr>
            <w:r w:rsidRPr="00EC436B">
              <w:rPr>
                <w:b/>
                <w:sz w:val="22"/>
                <w:szCs w:val="22"/>
                <w:lang w:val="nl-BE"/>
              </w:rPr>
              <w:t>2010</w:t>
            </w:r>
          </w:p>
        </w:tc>
        <w:tc>
          <w:tcPr>
            <w:tcW w:w="923" w:type="dxa"/>
          </w:tcPr>
          <w:p w:rsidR="00B27A1F" w:rsidRPr="00EC436B" w:rsidRDefault="00B27A1F" w:rsidP="003C7D5F">
            <w:pPr>
              <w:rPr>
                <w:sz w:val="22"/>
                <w:szCs w:val="22"/>
                <w:lang w:val="nl-BE"/>
              </w:rPr>
            </w:pPr>
            <w:r w:rsidRPr="00EC436B">
              <w:rPr>
                <w:sz w:val="22"/>
                <w:szCs w:val="22"/>
                <w:lang w:val="nl-BE"/>
              </w:rPr>
              <w:t>3 (2 met voorwaarde)</w:t>
            </w:r>
          </w:p>
        </w:tc>
        <w:tc>
          <w:tcPr>
            <w:tcW w:w="1237" w:type="dxa"/>
          </w:tcPr>
          <w:p w:rsidR="00B27A1F" w:rsidRPr="00EC436B" w:rsidRDefault="00B27A1F" w:rsidP="003C7D5F">
            <w:pPr>
              <w:rPr>
                <w:sz w:val="22"/>
                <w:szCs w:val="22"/>
                <w:lang w:val="nl-BE"/>
              </w:rPr>
            </w:pPr>
            <w:r w:rsidRPr="00EC436B">
              <w:rPr>
                <w:sz w:val="22"/>
                <w:szCs w:val="22"/>
                <w:lang w:val="nl-BE"/>
              </w:rPr>
              <w:t>7</w:t>
            </w:r>
          </w:p>
        </w:tc>
        <w:tc>
          <w:tcPr>
            <w:tcW w:w="6224" w:type="dxa"/>
          </w:tcPr>
          <w:p w:rsidR="00B27A1F" w:rsidRPr="00EC436B" w:rsidRDefault="00B27A1F" w:rsidP="003C7D5F">
            <w:pPr>
              <w:rPr>
                <w:sz w:val="22"/>
                <w:szCs w:val="22"/>
                <w:lang w:val="nl-BE"/>
              </w:rPr>
            </w:pPr>
            <w:r w:rsidRPr="00EC436B">
              <w:rPr>
                <w:sz w:val="22"/>
                <w:szCs w:val="22"/>
                <w:lang w:val="nl-BE"/>
              </w:rPr>
              <w:t>1 beroep zonder voorwerp.</w:t>
            </w:r>
          </w:p>
        </w:tc>
      </w:tr>
    </w:tbl>
    <w:p w:rsidR="00B27A1F" w:rsidRPr="003C7D5F" w:rsidRDefault="00B27A1F" w:rsidP="003C7D5F">
      <w:pPr>
        <w:rPr>
          <w:sz w:val="22"/>
          <w:szCs w:val="22"/>
          <w:lang w:val="nl-BE"/>
        </w:rPr>
      </w:pPr>
    </w:p>
    <w:p w:rsidR="00B27A1F" w:rsidRPr="003C7D5F" w:rsidRDefault="00B27A1F" w:rsidP="003C7D5F">
      <w:pPr>
        <w:rPr>
          <w:sz w:val="22"/>
          <w:szCs w:val="22"/>
          <w:u w:val="single"/>
          <w:lang w:val="nl-BE"/>
        </w:rPr>
      </w:pPr>
      <w:r w:rsidRPr="003C7D5F">
        <w:rPr>
          <w:sz w:val="22"/>
          <w:szCs w:val="22"/>
          <w:u w:val="single"/>
          <w:lang w:val="nl-BE"/>
        </w:rPr>
        <w:t>Waals Gewest</w:t>
      </w:r>
    </w:p>
    <w:p w:rsidR="00B27A1F" w:rsidRPr="003C7D5F" w:rsidRDefault="00B27A1F" w:rsidP="003C7D5F">
      <w:pPr>
        <w:rPr>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260"/>
        <w:gridCol w:w="4784"/>
      </w:tblGrid>
      <w:tr w:rsidR="00B27A1F" w:rsidRPr="003C7D5F" w:rsidTr="00EC436B">
        <w:tc>
          <w:tcPr>
            <w:tcW w:w="828" w:type="dxa"/>
          </w:tcPr>
          <w:p w:rsidR="00B27A1F" w:rsidRPr="00EC436B" w:rsidRDefault="00B27A1F" w:rsidP="003C7D5F">
            <w:pPr>
              <w:rPr>
                <w:sz w:val="22"/>
                <w:szCs w:val="22"/>
                <w:lang w:val="nl-BE"/>
              </w:rPr>
            </w:pPr>
            <w:r w:rsidRPr="00EC436B">
              <w:rPr>
                <w:sz w:val="22"/>
                <w:szCs w:val="22"/>
                <w:lang w:val="nl-BE"/>
              </w:rPr>
              <w:t>ICD</w:t>
            </w:r>
          </w:p>
        </w:tc>
        <w:tc>
          <w:tcPr>
            <w:tcW w:w="2340" w:type="dxa"/>
          </w:tcPr>
          <w:p w:rsidR="00B27A1F" w:rsidRPr="00EC436B" w:rsidRDefault="00B27A1F" w:rsidP="003C7D5F">
            <w:pPr>
              <w:rPr>
                <w:sz w:val="22"/>
                <w:szCs w:val="22"/>
                <w:lang w:val="nl-BE"/>
              </w:rPr>
            </w:pPr>
            <w:r w:rsidRPr="00EC436B">
              <w:rPr>
                <w:sz w:val="22"/>
                <w:szCs w:val="22"/>
                <w:lang w:val="nl-BE"/>
              </w:rPr>
              <w:t>Gunstig</w:t>
            </w:r>
          </w:p>
        </w:tc>
        <w:tc>
          <w:tcPr>
            <w:tcW w:w="1260" w:type="dxa"/>
          </w:tcPr>
          <w:p w:rsidR="00B27A1F" w:rsidRPr="00EC436B" w:rsidRDefault="00B27A1F" w:rsidP="003C7D5F">
            <w:pPr>
              <w:rPr>
                <w:sz w:val="22"/>
                <w:szCs w:val="22"/>
                <w:lang w:val="nl-BE"/>
              </w:rPr>
            </w:pPr>
            <w:r w:rsidRPr="00EC436B">
              <w:rPr>
                <w:sz w:val="22"/>
                <w:szCs w:val="22"/>
                <w:lang w:val="nl-BE"/>
              </w:rPr>
              <w:t>Ongunstig</w:t>
            </w:r>
          </w:p>
        </w:tc>
        <w:tc>
          <w:tcPr>
            <w:tcW w:w="4784" w:type="dxa"/>
          </w:tcPr>
          <w:p w:rsidR="00B27A1F" w:rsidRPr="00EC436B" w:rsidRDefault="00B27A1F" w:rsidP="003C7D5F">
            <w:pPr>
              <w:rPr>
                <w:sz w:val="22"/>
                <w:szCs w:val="22"/>
                <w:lang w:val="nl-BE"/>
              </w:rPr>
            </w:pPr>
            <w:r w:rsidRPr="00EC436B">
              <w:rPr>
                <w:sz w:val="22"/>
                <w:szCs w:val="22"/>
                <w:lang w:val="nl-BE"/>
              </w:rPr>
              <w:t>Saldo</w:t>
            </w:r>
          </w:p>
        </w:tc>
      </w:tr>
      <w:tr w:rsidR="00B27A1F" w:rsidRPr="003C7D5F" w:rsidTr="00EC436B">
        <w:tc>
          <w:tcPr>
            <w:tcW w:w="828" w:type="dxa"/>
          </w:tcPr>
          <w:p w:rsidR="00B27A1F" w:rsidRPr="00EC436B" w:rsidRDefault="00B27A1F" w:rsidP="003C7D5F">
            <w:pPr>
              <w:rPr>
                <w:b/>
                <w:sz w:val="22"/>
                <w:szCs w:val="22"/>
                <w:lang w:val="nl-BE"/>
              </w:rPr>
            </w:pPr>
            <w:r w:rsidRPr="00EC436B">
              <w:rPr>
                <w:b/>
                <w:sz w:val="22"/>
                <w:szCs w:val="22"/>
                <w:lang w:val="nl-BE"/>
              </w:rPr>
              <w:t>2008</w:t>
            </w:r>
          </w:p>
        </w:tc>
        <w:tc>
          <w:tcPr>
            <w:tcW w:w="2340" w:type="dxa"/>
          </w:tcPr>
          <w:p w:rsidR="00B27A1F" w:rsidRPr="00EC436B" w:rsidRDefault="00B27A1F" w:rsidP="003C7D5F">
            <w:pPr>
              <w:rPr>
                <w:sz w:val="22"/>
                <w:szCs w:val="22"/>
                <w:lang w:val="nl-BE"/>
              </w:rPr>
            </w:pPr>
            <w:r w:rsidRPr="00EC436B">
              <w:rPr>
                <w:sz w:val="22"/>
                <w:szCs w:val="22"/>
                <w:lang w:val="nl-BE"/>
              </w:rPr>
              <w:t>2 (1 met voorwaarde)</w:t>
            </w:r>
          </w:p>
        </w:tc>
        <w:tc>
          <w:tcPr>
            <w:tcW w:w="1260" w:type="dxa"/>
          </w:tcPr>
          <w:p w:rsidR="00B27A1F" w:rsidRPr="00EC436B" w:rsidRDefault="00B27A1F" w:rsidP="003C7D5F">
            <w:pPr>
              <w:rPr>
                <w:sz w:val="22"/>
                <w:szCs w:val="22"/>
                <w:lang w:val="nl-BE"/>
              </w:rPr>
            </w:pPr>
            <w:r w:rsidRPr="00EC436B">
              <w:rPr>
                <w:sz w:val="22"/>
                <w:szCs w:val="22"/>
                <w:lang w:val="nl-BE"/>
              </w:rPr>
              <w:t>8</w:t>
            </w:r>
          </w:p>
        </w:tc>
        <w:tc>
          <w:tcPr>
            <w:tcW w:w="4784" w:type="dxa"/>
          </w:tcPr>
          <w:p w:rsidR="00B27A1F" w:rsidRPr="00EC436B" w:rsidRDefault="00B27A1F" w:rsidP="003C7D5F">
            <w:pPr>
              <w:rPr>
                <w:sz w:val="22"/>
                <w:szCs w:val="22"/>
                <w:lang w:val="nl-BE"/>
              </w:rPr>
            </w:pPr>
            <w:r w:rsidRPr="00EC436B">
              <w:rPr>
                <w:sz w:val="22"/>
                <w:szCs w:val="22"/>
                <w:lang w:val="nl-BE"/>
              </w:rPr>
              <w:t>Daarnaast 1 beroep zonder beslissing, 1 beroep zonder voorwerp, 2 beroepen (NSECD)</w:t>
            </w:r>
            <w:r w:rsidRPr="00EC436B">
              <w:rPr>
                <w:sz w:val="22"/>
                <w:szCs w:val="22"/>
                <w:lang w:val="nl-BE"/>
              </w:rPr>
              <w:br/>
              <w:t>op een gunstige beslissing van de gemeente</w:t>
            </w:r>
            <w:r w:rsidRPr="00EC436B">
              <w:rPr>
                <w:rFonts w:ascii="Arial" w:hAnsi="Arial" w:cs="Arial"/>
                <w:color w:val="444444"/>
                <w:sz w:val="22"/>
                <w:szCs w:val="22"/>
              </w:rPr>
              <w:t>.</w:t>
            </w:r>
          </w:p>
        </w:tc>
      </w:tr>
      <w:tr w:rsidR="00B27A1F" w:rsidRPr="003C7D5F" w:rsidTr="00EC436B">
        <w:tc>
          <w:tcPr>
            <w:tcW w:w="828" w:type="dxa"/>
          </w:tcPr>
          <w:p w:rsidR="00B27A1F" w:rsidRPr="00EC436B" w:rsidRDefault="00B27A1F" w:rsidP="003C7D5F">
            <w:pPr>
              <w:rPr>
                <w:b/>
                <w:sz w:val="22"/>
                <w:szCs w:val="22"/>
                <w:lang w:val="nl-BE"/>
              </w:rPr>
            </w:pPr>
            <w:r w:rsidRPr="00EC436B">
              <w:rPr>
                <w:b/>
                <w:sz w:val="22"/>
                <w:szCs w:val="22"/>
                <w:lang w:val="nl-BE"/>
              </w:rPr>
              <w:t>2009</w:t>
            </w:r>
          </w:p>
        </w:tc>
        <w:tc>
          <w:tcPr>
            <w:tcW w:w="2340" w:type="dxa"/>
          </w:tcPr>
          <w:p w:rsidR="00B27A1F" w:rsidRPr="00EC436B" w:rsidRDefault="00B27A1F" w:rsidP="003C7D5F">
            <w:pPr>
              <w:rPr>
                <w:sz w:val="22"/>
                <w:szCs w:val="22"/>
                <w:lang w:val="nl-BE"/>
              </w:rPr>
            </w:pPr>
            <w:r w:rsidRPr="00EC436B">
              <w:rPr>
                <w:sz w:val="22"/>
                <w:szCs w:val="22"/>
                <w:lang w:val="nl-BE"/>
              </w:rPr>
              <w:t>5 (1 gedeeltelijk)</w:t>
            </w:r>
          </w:p>
        </w:tc>
        <w:tc>
          <w:tcPr>
            <w:tcW w:w="1260" w:type="dxa"/>
          </w:tcPr>
          <w:p w:rsidR="00B27A1F" w:rsidRPr="00EC436B" w:rsidRDefault="00B27A1F" w:rsidP="003C7D5F">
            <w:pPr>
              <w:rPr>
                <w:sz w:val="22"/>
                <w:szCs w:val="22"/>
                <w:lang w:val="nl-BE"/>
              </w:rPr>
            </w:pPr>
            <w:r w:rsidRPr="00EC436B">
              <w:rPr>
                <w:sz w:val="22"/>
                <w:szCs w:val="22"/>
                <w:lang w:val="nl-BE"/>
              </w:rPr>
              <w:t>5</w:t>
            </w:r>
          </w:p>
        </w:tc>
        <w:tc>
          <w:tcPr>
            <w:tcW w:w="4784" w:type="dxa"/>
          </w:tcPr>
          <w:p w:rsidR="00B27A1F" w:rsidRPr="00EC436B" w:rsidRDefault="00B27A1F" w:rsidP="003C7D5F">
            <w:pPr>
              <w:rPr>
                <w:sz w:val="22"/>
                <w:szCs w:val="22"/>
                <w:lang w:val="nl-BE"/>
              </w:rPr>
            </w:pPr>
            <w:r w:rsidRPr="00EC436B">
              <w:rPr>
                <w:sz w:val="22"/>
                <w:szCs w:val="22"/>
                <w:lang w:val="nl-BE"/>
              </w:rPr>
              <w:t>1 beroep zonder beslissing, 1 beroep zonder voorwerp, 1 beroep onontvankelijk, 2 beroepen (NSECD) op een gunstige beslissing van de gemeente.</w:t>
            </w:r>
          </w:p>
        </w:tc>
      </w:tr>
      <w:tr w:rsidR="00B27A1F" w:rsidRPr="003C7D5F" w:rsidTr="00EC436B">
        <w:tc>
          <w:tcPr>
            <w:tcW w:w="828" w:type="dxa"/>
          </w:tcPr>
          <w:p w:rsidR="00B27A1F" w:rsidRPr="00EC436B" w:rsidRDefault="00B27A1F" w:rsidP="003C7D5F">
            <w:pPr>
              <w:rPr>
                <w:b/>
                <w:sz w:val="22"/>
                <w:szCs w:val="22"/>
                <w:lang w:val="nl-BE"/>
              </w:rPr>
            </w:pPr>
            <w:r w:rsidRPr="00EC436B">
              <w:rPr>
                <w:b/>
                <w:sz w:val="22"/>
                <w:szCs w:val="22"/>
                <w:lang w:val="nl-BE"/>
              </w:rPr>
              <w:t>2010</w:t>
            </w:r>
          </w:p>
        </w:tc>
        <w:tc>
          <w:tcPr>
            <w:tcW w:w="2340" w:type="dxa"/>
          </w:tcPr>
          <w:p w:rsidR="00B27A1F" w:rsidRPr="00EC436B" w:rsidRDefault="00B27A1F" w:rsidP="003C7D5F">
            <w:pPr>
              <w:rPr>
                <w:sz w:val="22"/>
                <w:szCs w:val="22"/>
                <w:lang w:val="nl-BE"/>
              </w:rPr>
            </w:pPr>
            <w:r w:rsidRPr="00EC436B">
              <w:rPr>
                <w:sz w:val="22"/>
                <w:szCs w:val="22"/>
                <w:lang w:val="nl-BE"/>
              </w:rPr>
              <w:t>4</w:t>
            </w:r>
          </w:p>
        </w:tc>
        <w:tc>
          <w:tcPr>
            <w:tcW w:w="1260" w:type="dxa"/>
          </w:tcPr>
          <w:p w:rsidR="00B27A1F" w:rsidRPr="00EC436B" w:rsidRDefault="00B27A1F" w:rsidP="003C7D5F">
            <w:pPr>
              <w:rPr>
                <w:sz w:val="22"/>
                <w:szCs w:val="22"/>
                <w:lang w:val="nl-BE"/>
              </w:rPr>
            </w:pPr>
            <w:r w:rsidRPr="00EC436B">
              <w:rPr>
                <w:sz w:val="22"/>
                <w:szCs w:val="22"/>
                <w:lang w:val="nl-BE"/>
              </w:rPr>
              <w:t>5</w:t>
            </w:r>
          </w:p>
        </w:tc>
        <w:tc>
          <w:tcPr>
            <w:tcW w:w="4784" w:type="dxa"/>
          </w:tcPr>
          <w:p w:rsidR="00B27A1F" w:rsidRPr="00EC436B" w:rsidRDefault="00B27A1F" w:rsidP="003C7D5F">
            <w:pPr>
              <w:rPr>
                <w:sz w:val="22"/>
                <w:szCs w:val="22"/>
                <w:lang w:val="nl-BE"/>
              </w:rPr>
            </w:pPr>
            <w:r w:rsidRPr="00EC436B">
              <w:rPr>
                <w:sz w:val="22"/>
                <w:szCs w:val="22"/>
                <w:lang w:val="nl-BE"/>
              </w:rPr>
              <w:t>Daarnaast 3 beroepen zonder beslissing (waaronder 1 beroep NSECD op een gunstige beslissing van de gemeente), 2 beroepen zonder voorwerp.</w:t>
            </w:r>
          </w:p>
        </w:tc>
      </w:tr>
    </w:tbl>
    <w:p w:rsidR="00B27A1F" w:rsidRPr="003C7D5F" w:rsidRDefault="00B27A1F" w:rsidP="003C7D5F">
      <w:pPr>
        <w:rPr>
          <w:sz w:val="22"/>
          <w:szCs w:val="22"/>
          <w:lang w:val="nl-BE"/>
        </w:rPr>
      </w:pPr>
    </w:p>
    <w:p w:rsidR="00B27A1F" w:rsidRPr="003C7D5F" w:rsidRDefault="00B27A1F" w:rsidP="007F1748">
      <w:pPr>
        <w:tabs>
          <w:tab w:val="left" w:pos="360"/>
        </w:tabs>
        <w:ind w:left="360" w:hanging="360"/>
        <w:jc w:val="both"/>
        <w:rPr>
          <w:sz w:val="22"/>
          <w:szCs w:val="22"/>
          <w:lang w:val="nl-BE"/>
        </w:rPr>
      </w:pPr>
      <w:r>
        <w:rPr>
          <w:sz w:val="22"/>
          <w:szCs w:val="22"/>
          <w:lang w:val="nl-BE"/>
        </w:rPr>
        <w:t>4.</w:t>
      </w:r>
      <w:r>
        <w:rPr>
          <w:sz w:val="22"/>
          <w:szCs w:val="22"/>
          <w:lang w:val="nl-BE"/>
        </w:rPr>
        <w:tab/>
      </w:r>
      <w:r w:rsidRPr="003C7D5F">
        <w:rPr>
          <w:sz w:val="22"/>
          <w:szCs w:val="22"/>
          <w:lang w:val="nl-BE"/>
        </w:rPr>
        <w:t>Wat ten</w:t>
      </w:r>
      <w:r>
        <w:rPr>
          <w:sz w:val="22"/>
          <w:szCs w:val="22"/>
          <w:lang w:val="nl-BE"/>
        </w:rPr>
        <w:t xml:space="preserve"> </w:t>
      </w:r>
      <w:r w:rsidRPr="003C7D5F">
        <w:rPr>
          <w:sz w:val="22"/>
          <w:szCs w:val="22"/>
          <w:lang w:val="nl-BE"/>
        </w:rPr>
        <w:t>slotte de vraag betreft over de manier waarop de Vlaamse Regering haar houding bepaalt in het ICD: de Vlaamse Regering laat zich leiden door de actueel geldende criteria na het Criteriabesluit van 13 januari 2010. Dat besluit kwam er als toelichting na de wijziging van de federale wet betreffende de vergunning van handelsvestigingen van eind december 2009.</w:t>
      </w:r>
    </w:p>
    <w:p w:rsidR="00B27A1F" w:rsidRPr="003C7D5F" w:rsidRDefault="00B27A1F" w:rsidP="007B527F">
      <w:pPr>
        <w:jc w:val="both"/>
        <w:rPr>
          <w:sz w:val="22"/>
          <w:lang w:val="nl-BE"/>
        </w:rPr>
      </w:pPr>
    </w:p>
    <w:sectPr w:rsidR="00B27A1F" w:rsidRPr="003C7D5F" w:rsidSect="003C7D5F">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12C1"/>
    <w:multiLevelType w:val="hybridMultilevel"/>
    <w:tmpl w:val="6BDC3120"/>
    <w:lvl w:ilvl="0" w:tplc="93CEBABE">
      <w:start w:val="2"/>
      <w:numFmt w:val="decimal"/>
      <w:lvlText w:val="%1."/>
      <w:lvlJc w:val="left"/>
      <w:pPr>
        <w:tabs>
          <w:tab w:val="num" w:pos="720"/>
        </w:tabs>
        <w:ind w:left="720" w:hanging="360"/>
      </w:pPr>
      <w:rPr>
        <w:rFonts w:cs="Times New Roman" w:hint="default"/>
      </w:rPr>
    </w:lvl>
    <w:lvl w:ilvl="1" w:tplc="7C927962" w:tentative="1">
      <w:start w:val="1"/>
      <w:numFmt w:val="lowerLetter"/>
      <w:lvlText w:val="%2."/>
      <w:lvlJc w:val="left"/>
      <w:pPr>
        <w:tabs>
          <w:tab w:val="num" w:pos="1440"/>
        </w:tabs>
        <w:ind w:left="1440" w:hanging="360"/>
      </w:pPr>
      <w:rPr>
        <w:rFonts w:cs="Times New Roman"/>
      </w:rPr>
    </w:lvl>
    <w:lvl w:ilvl="2" w:tplc="19F2CC9A" w:tentative="1">
      <w:start w:val="1"/>
      <w:numFmt w:val="lowerRoman"/>
      <w:lvlText w:val="%3."/>
      <w:lvlJc w:val="right"/>
      <w:pPr>
        <w:tabs>
          <w:tab w:val="num" w:pos="2160"/>
        </w:tabs>
        <w:ind w:left="2160" w:hanging="180"/>
      </w:pPr>
      <w:rPr>
        <w:rFonts w:cs="Times New Roman"/>
      </w:rPr>
    </w:lvl>
    <w:lvl w:ilvl="3" w:tplc="C96A68E6" w:tentative="1">
      <w:start w:val="1"/>
      <w:numFmt w:val="decimal"/>
      <w:lvlText w:val="%4."/>
      <w:lvlJc w:val="left"/>
      <w:pPr>
        <w:tabs>
          <w:tab w:val="num" w:pos="2880"/>
        </w:tabs>
        <w:ind w:left="2880" w:hanging="360"/>
      </w:pPr>
      <w:rPr>
        <w:rFonts w:cs="Times New Roman"/>
      </w:rPr>
    </w:lvl>
    <w:lvl w:ilvl="4" w:tplc="AE046986" w:tentative="1">
      <w:start w:val="1"/>
      <w:numFmt w:val="lowerLetter"/>
      <w:lvlText w:val="%5."/>
      <w:lvlJc w:val="left"/>
      <w:pPr>
        <w:tabs>
          <w:tab w:val="num" w:pos="3600"/>
        </w:tabs>
        <w:ind w:left="3600" w:hanging="360"/>
      </w:pPr>
      <w:rPr>
        <w:rFonts w:cs="Times New Roman"/>
      </w:rPr>
    </w:lvl>
    <w:lvl w:ilvl="5" w:tplc="98BA98E6" w:tentative="1">
      <w:start w:val="1"/>
      <w:numFmt w:val="lowerRoman"/>
      <w:lvlText w:val="%6."/>
      <w:lvlJc w:val="right"/>
      <w:pPr>
        <w:tabs>
          <w:tab w:val="num" w:pos="4320"/>
        </w:tabs>
        <w:ind w:left="4320" w:hanging="180"/>
      </w:pPr>
      <w:rPr>
        <w:rFonts w:cs="Times New Roman"/>
      </w:rPr>
    </w:lvl>
    <w:lvl w:ilvl="6" w:tplc="43F20B28" w:tentative="1">
      <w:start w:val="1"/>
      <w:numFmt w:val="decimal"/>
      <w:lvlText w:val="%7."/>
      <w:lvlJc w:val="left"/>
      <w:pPr>
        <w:tabs>
          <w:tab w:val="num" w:pos="5040"/>
        </w:tabs>
        <w:ind w:left="5040" w:hanging="360"/>
      </w:pPr>
      <w:rPr>
        <w:rFonts w:cs="Times New Roman"/>
      </w:rPr>
    </w:lvl>
    <w:lvl w:ilvl="7" w:tplc="4826566A" w:tentative="1">
      <w:start w:val="1"/>
      <w:numFmt w:val="lowerLetter"/>
      <w:lvlText w:val="%8."/>
      <w:lvlJc w:val="left"/>
      <w:pPr>
        <w:tabs>
          <w:tab w:val="num" w:pos="5760"/>
        </w:tabs>
        <w:ind w:left="5760" w:hanging="360"/>
      </w:pPr>
      <w:rPr>
        <w:rFonts w:cs="Times New Roman"/>
      </w:rPr>
    </w:lvl>
    <w:lvl w:ilvl="8" w:tplc="BB543776" w:tentative="1">
      <w:start w:val="1"/>
      <w:numFmt w:val="lowerRoman"/>
      <w:lvlText w:val="%9."/>
      <w:lvlJc w:val="right"/>
      <w:pPr>
        <w:tabs>
          <w:tab w:val="num" w:pos="6480"/>
        </w:tabs>
        <w:ind w:left="6480" w:hanging="180"/>
      </w:pPr>
      <w:rPr>
        <w:rFonts w:cs="Times New Roman"/>
      </w:r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1747B4"/>
    <w:rsid w:val="001F0937"/>
    <w:rsid w:val="002D091A"/>
    <w:rsid w:val="00376D89"/>
    <w:rsid w:val="003C7D5F"/>
    <w:rsid w:val="003E7EF4"/>
    <w:rsid w:val="005431C7"/>
    <w:rsid w:val="006A324D"/>
    <w:rsid w:val="006F7264"/>
    <w:rsid w:val="007A666B"/>
    <w:rsid w:val="007B527F"/>
    <w:rsid w:val="007D0E82"/>
    <w:rsid w:val="007F1748"/>
    <w:rsid w:val="009976C1"/>
    <w:rsid w:val="009E2C40"/>
    <w:rsid w:val="00A8473D"/>
    <w:rsid w:val="00AA095C"/>
    <w:rsid w:val="00AB0AA4"/>
    <w:rsid w:val="00B27A1F"/>
    <w:rsid w:val="00B46482"/>
    <w:rsid w:val="00EC436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82"/>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7D0E82"/>
    <w:pPr>
      <w:jc w:val="both"/>
    </w:pPr>
    <w:rPr>
      <w:sz w:val="22"/>
      <w:szCs w:val="20"/>
    </w:rPr>
  </w:style>
  <w:style w:type="paragraph" w:styleId="BalloonText">
    <w:name w:val="Balloon Text"/>
    <w:basedOn w:val="Normal"/>
    <w:link w:val="BalloonTextChar"/>
    <w:uiPriority w:val="99"/>
    <w:semiHidden/>
    <w:rsid w:val="007D0E82"/>
    <w:rPr>
      <w:rFonts w:ascii="Tahoma" w:hAnsi="Tahoma" w:cs="Tahoma"/>
      <w:sz w:val="16"/>
      <w:szCs w:val="16"/>
    </w:rPr>
  </w:style>
  <w:style w:type="character" w:customStyle="1" w:styleId="BalloonTextChar">
    <w:name w:val="Balloon Text Char"/>
    <w:basedOn w:val="DefaultParagraphFont"/>
    <w:link w:val="BalloonText"/>
    <w:uiPriority w:val="99"/>
    <w:semiHidden/>
    <w:rsid w:val="00091BE3"/>
    <w:rPr>
      <w:sz w:val="0"/>
      <w:szCs w:val="0"/>
      <w:lang w:val="nl-NL" w:eastAsia="nl-NL"/>
    </w:rPr>
  </w:style>
  <w:style w:type="table" w:styleId="TableGrid">
    <w:name w:val="Table Grid"/>
    <w:basedOn w:val="TableNormal"/>
    <w:uiPriority w:val="99"/>
    <w:rsid w:val="003C7D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4</TotalTime>
  <Pages>1</Pages>
  <Words>324</Words>
  <Characters>1787</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4</cp:revision>
  <cp:lastPrinted>2007-12-14T08:15:00Z</cp:lastPrinted>
  <dcterms:created xsi:type="dcterms:W3CDTF">2010-11-10T11:30:00Z</dcterms:created>
  <dcterms:modified xsi:type="dcterms:W3CDTF">2010-11-22T15:03:00Z</dcterms:modified>
</cp:coreProperties>
</file>