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F73023" w:rsidRPr="00DD4121" w:rsidRDefault="00F73023"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F73023" w:rsidRPr="00015BF7" w:rsidRDefault="00F73023"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F73023" w:rsidRPr="00015BF7" w:rsidRDefault="00F73023" w:rsidP="000976E9">
      <w:pPr>
        <w:rPr>
          <w:szCs w:val="22"/>
        </w:rPr>
      </w:pPr>
    </w:p>
    <w:p w:rsidR="00F73023" w:rsidRPr="00DB41C0" w:rsidRDefault="00F73023" w:rsidP="000976E9">
      <w:pPr>
        <w:pStyle w:val="A-Lijn"/>
      </w:pPr>
    </w:p>
    <w:p w:rsidR="00F73023" w:rsidRDefault="00F73023" w:rsidP="000976E9">
      <w:pPr>
        <w:pStyle w:val="A-Type"/>
        <w:sectPr w:rsidR="00F73023">
          <w:pgSz w:w="11906" w:h="16838"/>
          <w:pgMar w:top="1417" w:right="1417" w:bottom="1417" w:left="1417" w:header="708" w:footer="708" w:gutter="0"/>
          <w:cols w:space="708"/>
          <w:rtlGutter/>
          <w:docGrid w:linePitch="360"/>
        </w:sectPr>
      </w:pPr>
    </w:p>
    <w:p w:rsidR="00F73023" w:rsidRDefault="00F73023" w:rsidP="000976E9">
      <w:pPr>
        <w:pStyle w:val="A-Type"/>
        <w:sectPr w:rsidR="00F73023"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F73023" w:rsidRPr="00326A58" w:rsidRDefault="00F73023"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21</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F73023" w:rsidRDefault="00F73023"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matthias diependaele</w:t>
      </w:r>
      <w:r w:rsidRPr="009D7043">
        <w:rPr>
          <w:rStyle w:val="AntwoordNaamMinisterChar"/>
          <w:sz w:val="22"/>
        </w:rPr>
        <w:fldChar w:fldCharType="end"/>
      </w:r>
    </w:p>
    <w:p w:rsidR="00F73023" w:rsidRPr="00015BF7" w:rsidRDefault="00F73023" w:rsidP="000976E9">
      <w:pPr>
        <w:rPr>
          <w:szCs w:val="22"/>
        </w:rPr>
      </w:pPr>
    </w:p>
    <w:p w:rsidR="00F73023" w:rsidRPr="00DB41C0" w:rsidRDefault="00F73023" w:rsidP="000976E9">
      <w:pPr>
        <w:pStyle w:val="A-Lijn"/>
      </w:pPr>
    </w:p>
    <w:p w:rsidR="00F73023" w:rsidRPr="00DB41C0" w:rsidRDefault="00F73023" w:rsidP="000976E9">
      <w:pPr>
        <w:pStyle w:val="A-Lijn"/>
      </w:pPr>
    </w:p>
    <w:p w:rsidR="00F73023" w:rsidRDefault="00F73023" w:rsidP="00DB41C0">
      <w:pPr>
        <w:sectPr w:rsidR="00F73023" w:rsidSect="000976E9">
          <w:type w:val="continuous"/>
          <w:pgSz w:w="11906" w:h="16838"/>
          <w:pgMar w:top="1417" w:right="1417" w:bottom="1417" w:left="1417" w:header="708" w:footer="708" w:gutter="0"/>
          <w:cols w:space="708"/>
          <w:rtlGutter/>
          <w:docGrid w:linePitch="360"/>
        </w:sectPr>
      </w:pPr>
    </w:p>
    <w:p w:rsidR="00F73023" w:rsidRPr="003A528F" w:rsidRDefault="00F73023" w:rsidP="002F63D7">
      <w:pPr>
        <w:pStyle w:val="Lijstalinea1"/>
        <w:numPr>
          <w:ilvl w:val="0"/>
          <w:numId w:val="3"/>
        </w:numPr>
        <w:tabs>
          <w:tab w:val="clear" w:pos="720"/>
          <w:tab w:val="num" w:pos="284"/>
        </w:tabs>
        <w:ind w:left="284" w:hanging="284"/>
        <w:jc w:val="both"/>
        <w:rPr>
          <w:sz w:val="22"/>
          <w:szCs w:val="22"/>
          <w:lang w:val="nl-BE"/>
        </w:rPr>
      </w:pPr>
      <w:r w:rsidRPr="003A528F">
        <w:rPr>
          <w:sz w:val="22"/>
          <w:szCs w:val="22"/>
          <w:lang w:val="nl-BE"/>
        </w:rPr>
        <w:t xml:space="preserve">Volledige cijfers voor het jaar 2010 zijn nog niet beschikbaar. In 2009 werden er in totaal 3.046 subsidieaanvragen ingediend. Hiervan werden 2.256 dossiers goedgekeurd (74,1%). Een overzicht per categorie wordt in onderstaande tabel weergegeven. </w:t>
      </w:r>
    </w:p>
    <w:p w:rsidR="00F73023" w:rsidRPr="003A528F" w:rsidRDefault="00F73023" w:rsidP="002F63D7">
      <w:pPr>
        <w:pStyle w:val="Lijstalinea1"/>
        <w:ind w:left="0"/>
        <w:jc w:val="both"/>
        <w:rPr>
          <w:sz w:val="22"/>
          <w:szCs w:val="22"/>
          <w:lang w:val="nl-BE"/>
        </w:rPr>
      </w:pPr>
    </w:p>
    <w:p w:rsidR="00F73023" w:rsidRPr="003A528F" w:rsidRDefault="00F73023" w:rsidP="002F63D7">
      <w:pPr>
        <w:pStyle w:val="Lijstalinea1"/>
        <w:ind w:left="284"/>
        <w:jc w:val="both"/>
        <w:rPr>
          <w:sz w:val="22"/>
          <w:szCs w:val="22"/>
          <w:lang w:val="nl-BE"/>
        </w:rPr>
      </w:pPr>
      <w:r w:rsidRPr="003A528F">
        <w:rPr>
          <w:sz w:val="22"/>
          <w:szCs w:val="22"/>
          <w:lang w:val="nl-BE"/>
        </w:rPr>
        <w:t>Het is belangrijk hierbij te vermelden dat de subsidieaanvragen uit onderstaande tabel het volledige jaar 2009 omvatten. Een gedeelte van deze aanvragen werd nog behandeld op basis van het Besluit va</w:t>
      </w:r>
      <w:r>
        <w:rPr>
          <w:sz w:val="22"/>
          <w:szCs w:val="22"/>
          <w:lang w:val="nl-BE"/>
        </w:rPr>
        <w:t xml:space="preserve">n de Vlaamse Regering van 27 mei </w:t>
      </w:r>
      <w:r w:rsidRPr="003A528F">
        <w:rPr>
          <w:sz w:val="22"/>
          <w:szCs w:val="22"/>
          <w:lang w:val="nl-BE"/>
        </w:rPr>
        <w:t>2005</w:t>
      </w:r>
      <w:r>
        <w:rPr>
          <w:sz w:val="22"/>
          <w:szCs w:val="22"/>
          <w:lang w:val="nl-BE"/>
        </w:rPr>
        <w:t>. H</w:t>
      </w:r>
      <w:r w:rsidRPr="003A528F">
        <w:rPr>
          <w:sz w:val="22"/>
          <w:szCs w:val="22"/>
          <w:lang w:val="nl-BE"/>
        </w:rPr>
        <w:t>et overige deel werd behandeld op basis van het Besluit van de Vlaamse Regering</w:t>
      </w:r>
      <w:r>
        <w:rPr>
          <w:sz w:val="22"/>
          <w:szCs w:val="22"/>
          <w:lang w:val="nl-BE"/>
        </w:rPr>
        <w:t xml:space="preserve"> van 5 juni </w:t>
      </w:r>
      <w:r w:rsidRPr="003A528F">
        <w:rPr>
          <w:sz w:val="22"/>
          <w:szCs w:val="22"/>
          <w:lang w:val="nl-BE"/>
        </w:rPr>
        <w:t xml:space="preserve">2009. Dit verklaart waarom de genoemde initiatieven in onderstaande tabel ruimer zijn dan enkel degene die u in uw vraag vermeldt. </w:t>
      </w:r>
    </w:p>
    <w:p w:rsidR="00F73023" w:rsidRDefault="00F73023" w:rsidP="002F63D7">
      <w:pPr>
        <w:pStyle w:val="Lijstalinea1"/>
        <w:ind w:left="0"/>
        <w:jc w:val="both"/>
        <w:rPr>
          <w:rFonts w:ascii="Arial" w:hAnsi="Arial" w:cs="Arial"/>
          <w:sz w:val="20"/>
          <w:szCs w:val="20"/>
          <w:lang w:val="nl-BE"/>
        </w:rPr>
      </w:pPr>
    </w:p>
    <w:p w:rsidR="00F73023" w:rsidRDefault="00F73023" w:rsidP="002F63D7">
      <w:pPr>
        <w:pStyle w:val="Lijstalinea1"/>
        <w:rPr>
          <w:rFonts w:ascii="Arial" w:hAnsi="Arial" w:cs="Arial"/>
          <w:sz w:val="20"/>
          <w:szCs w:val="20"/>
          <w:lang w:val="nl-BE"/>
        </w:rPr>
      </w:pPr>
    </w:p>
    <w:tbl>
      <w:tblPr>
        <w:tblW w:w="7513" w:type="dxa"/>
        <w:tblInd w:w="786" w:type="dxa"/>
        <w:tblLook w:val="00A0"/>
      </w:tblPr>
      <w:tblGrid>
        <w:gridCol w:w="6041"/>
        <w:gridCol w:w="1472"/>
      </w:tblGrid>
      <w:tr w:rsidR="00F73023" w:rsidRPr="002738A4" w:rsidTr="003B3F00">
        <w:trPr>
          <w:trHeight w:val="315"/>
        </w:trPr>
        <w:tc>
          <w:tcPr>
            <w:tcW w:w="6041" w:type="dxa"/>
            <w:tcBorders>
              <w:top w:val="single" w:sz="4" w:space="0" w:color="auto"/>
              <w:left w:val="single" w:sz="4" w:space="0" w:color="auto"/>
              <w:bottom w:val="single" w:sz="4" w:space="0" w:color="auto"/>
              <w:right w:val="single" w:sz="4" w:space="0" w:color="auto"/>
            </w:tcBorders>
            <w:noWrap/>
          </w:tcPr>
          <w:p w:rsidR="00F73023" w:rsidRPr="003A528F" w:rsidRDefault="00F73023" w:rsidP="003B3F00">
            <w:pPr>
              <w:jc w:val="center"/>
              <w:rPr>
                <w:b/>
                <w:bCs/>
                <w:color w:val="000000"/>
                <w:szCs w:val="22"/>
              </w:rPr>
            </w:pPr>
            <w:r w:rsidRPr="003A528F">
              <w:rPr>
                <w:b/>
                <w:bCs/>
                <w:color w:val="000000"/>
                <w:szCs w:val="22"/>
              </w:rPr>
              <w:t>Initiatief</w:t>
            </w:r>
          </w:p>
        </w:tc>
        <w:tc>
          <w:tcPr>
            <w:tcW w:w="1472" w:type="dxa"/>
            <w:tcBorders>
              <w:top w:val="single" w:sz="4" w:space="0" w:color="auto"/>
              <w:left w:val="nil"/>
              <w:bottom w:val="single" w:sz="4" w:space="0" w:color="auto"/>
              <w:right w:val="single" w:sz="4" w:space="0" w:color="auto"/>
            </w:tcBorders>
            <w:noWrap/>
            <w:vAlign w:val="center"/>
          </w:tcPr>
          <w:p w:rsidR="00F73023" w:rsidRPr="003A528F" w:rsidRDefault="00F73023" w:rsidP="003B3F00">
            <w:pPr>
              <w:jc w:val="center"/>
              <w:rPr>
                <w:b/>
                <w:bCs/>
                <w:color w:val="000000"/>
                <w:szCs w:val="22"/>
              </w:rPr>
            </w:pPr>
            <w:r w:rsidRPr="003A528F">
              <w:rPr>
                <w:b/>
                <w:bCs/>
                <w:color w:val="000000"/>
                <w:szCs w:val="22"/>
              </w:rPr>
              <w:t>aantal</w:t>
            </w:r>
          </w:p>
        </w:tc>
      </w:tr>
      <w:tr w:rsidR="00F73023" w:rsidRPr="002738A4" w:rsidTr="003B3F00">
        <w:trPr>
          <w:trHeight w:val="332"/>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rPr>
            </w:pPr>
            <w:r>
              <w:rPr>
                <w:color w:val="000000"/>
                <w:szCs w:val="22"/>
              </w:rPr>
              <w:t>Beurs binnen EER</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720</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rPr>
            </w:pPr>
            <w:r>
              <w:rPr>
                <w:color w:val="000000"/>
                <w:szCs w:val="22"/>
              </w:rPr>
              <w:t>Beurs buiten EER</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215</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rPr>
            </w:pPr>
            <w:r w:rsidRPr="003A528F">
              <w:rPr>
                <w:color w:val="000000"/>
                <w:szCs w:val="22"/>
              </w:rPr>
              <w:t>Eigen prospectiekantoor</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22</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rPr>
            </w:pPr>
            <w:r w:rsidRPr="003A528F">
              <w:rPr>
                <w:color w:val="000000"/>
                <w:szCs w:val="22"/>
              </w:rPr>
              <w:t>Groepsstand Derden</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3</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rPr>
            </w:pPr>
            <w:r w:rsidRPr="003A528F">
              <w:rPr>
                <w:color w:val="000000"/>
                <w:szCs w:val="22"/>
              </w:rPr>
              <w:t>Groepsstand FIT</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52</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rPr>
            </w:pPr>
            <w:r w:rsidRPr="003A528F">
              <w:rPr>
                <w:color w:val="000000"/>
                <w:szCs w:val="22"/>
              </w:rPr>
              <w:t>Groepszakenreis Derden</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70</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rPr>
            </w:pPr>
            <w:r w:rsidRPr="003A528F">
              <w:rPr>
                <w:color w:val="000000"/>
                <w:szCs w:val="22"/>
              </w:rPr>
              <w:t>Groepszakenreis FIT</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140</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lang w:val="nl-BE"/>
              </w:rPr>
            </w:pPr>
            <w:r w:rsidRPr="003A528F">
              <w:rPr>
                <w:color w:val="000000"/>
                <w:szCs w:val="22"/>
                <w:lang w:val="nl-BE"/>
              </w:rPr>
              <w:t xml:space="preserve">Huur ruimte binnen EER </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23</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lang w:val="nl-BE"/>
              </w:rPr>
            </w:pPr>
            <w:r w:rsidRPr="003A528F">
              <w:rPr>
                <w:color w:val="000000"/>
                <w:szCs w:val="22"/>
                <w:lang w:val="nl-BE"/>
              </w:rPr>
              <w:t xml:space="preserve">Huur ruimte buiten EER </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4</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rPr>
            </w:pPr>
            <w:r w:rsidRPr="003A528F">
              <w:rPr>
                <w:color w:val="000000"/>
                <w:szCs w:val="22"/>
              </w:rPr>
              <w:t>Individuele prospectiereis</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676</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rPr>
            </w:pPr>
            <w:r w:rsidRPr="003A528F">
              <w:rPr>
                <w:color w:val="000000"/>
                <w:szCs w:val="22"/>
              </w:rPr>
              <w:t xml:space="preserve">Interne technische opleiding </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4</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rPr>
            </w:pPr>
            <w:r w:rsidRPr="003A528F">
              <w:rPr>
                <w:color w:val="000000"/>
                <w:szCs w:val="22"/>
              </w:rPr>
              <w:t xml:space="preserve">Intrek dienstencentrum FIT </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4</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rPr>
            </w:pPr>
            <w:r w:rsidRPr="003A528F">
              <w:rPr>
                <w:color w:val="000000"/>
                <w:szCs w:val="22"/>
              </w:rPr>
              <w:t xml:space="preserve">Niche evenement </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2</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lang w:val="nl-BE"/>
              </w:rPr>
            </w:pPr>
            <w:r w:rsidRPr="003A528F">
              <w:rPr>
                <w:color w:val="000000"/>
                <w:szCs w:val="22"/>
                <w:lang w:val="nl-BE"/>
              </w:rPr>
              <w:t>Productdocumentatie, commerciële vertalingen en inlassingen</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255</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rPr>
            </w:pPr>
            <w:r w:rsidRPr="003A528F">
              <w:rPr>
                <w:color w:val="000000"/>
                <w:szCs w:val="22"/>
              </w:rPr>
              <w:t>Prospectiere</w:t>
            </w:r>
            <w:r>
              <w:rPr>
                <w:color w:val="000000"/>
                <w:szCs w:val="22"/>
              </w:rPr>
              <w:t xml:space="preserve">is multilaterale instelling </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11</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lang w:val="nl-BE"/>
              </w:rPr>
            </w:pPr>
            <w:r w:rsidRPr="003A528F">
              <w:rPr>
                <w:color w:val="000000"/>
                <w:szCs w:val="22"/>
                <w:lang w:val="nl-BE"/>
              </w:rPr>
              <w:t>Registratie-, homolog</w:t>
            </w:r>
            <w:r>
              <w:rPr>
                <w:color w:val="000000"/>
                <w:szCs w:val="22"/>
                <w:lang w:val="nl-BE"/>
              </w:rPr>
              <w:t xml:space="preserve">atie- en certificatiekosten </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29</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lang w:val="nl-BE"/>
              </w:rPr>
            </w:pPr>
            <w:r w:rsidRPr="003A528F">
              <w:rPr>
                <w:color w:val="000000"/>
                <w:szCs w:val="22"/>
                <w:lang w:val="nl-BE"/>
              </w:rPr>
              <w:t xml:space="preserve">Reis </w:t>
            </w:r>
            <w:r>
              <w:rPr>
                <w:color w:val="000000"/>
                <w:szCs w:val="22"/>
                <w:lang w:val="nl-BE"/>
              </w:rPr>
              <w:t>om</w:t>
            </w:r>
            <w:r w:rsidRPr="003A528F">
              <w:rPr>
                <w:color w:val="000000"/>
                <w:szCs w:val="22"/>
                <w:lang w:val="nl-BE"/>
              </w:rPr>
              <w:t xml:space="preserve"> investering in eigen onderneming aan te trekken</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10</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lang w:val="nl-BE"/>
              </w:rPr>
            </w:pPr>
            <w:r w:rsidRPr="003A528F">
              <w:rPr>
                <w:color w:val="000000"/>
                <w:szCs w:val="22"/>
                <w:lang w:val="nl-BE"/>
              </w:rPr>
              <w:t>Reis voor in</w:t>
            </w:r>
            <w:r>
              <w:rPr>
                <w:color w:val="000000"/>
                <w:szCs w:val="22"/>
                <w:lang w:val="nl-BE"/>
              </w:rPr>
              <w:t xml:space="preserve">vestering in het buitenland </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2</w:t>
            </w:r>
          </w:p>
        </w:tc>
      </w:tr>
      <w:tr w:rsidR="00F73023" w:rsidRPr="002738A4" w:rsidTr="003B3F00">
        <w:trPr>
          <w:trHeight w:val="300"/>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color w:val="000000"/>
                <w:szCs w:val="22"/>
                <w:lang w:val="nl-BE"/>
              </w:rPr>
            </w:pPr>
            <w:r w:rsidRPr="003A528F">
              <w:rPr>
                <w:color w:val="000000"/>
                <w:szCs w:val="22"/>
                <w:lang w:val="nl-BE"/>
              </w:rPr>
              <w:t>Uitnodiging a</w:t>
            </w:r>
            <w:r>
              <w:rPr>
                <w:color w:val="000000"/>
                <w:szCs w:val="22"/>
                <w:lang w:val="nl-BE"/>
              </w:rPr>
              <w:t xml:space="preserve">ankopers en decision makers </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color w:val="000000"/>
                <w:szCs w:val="22"/>
              </w:rPr>
            </w:pPr>
            <w:r w:rsidRPr="003A528F">
              <w:rPr>
                <w:color w:val="000000"/>
                <w:szCs w:val="22"/>
              </w:rPr>
              <w:t>14</w:t>
            </w:r>
          </w:p>
        </w:tc>
      </w:tr>
      <w:tr w:rsidR="00F73023" w:rsidRPr="002738A4" w:rsidTr="003B3F00">
        <w:trPr>
          <w:trHeight w:val="259"/>
        </w:trPr>
        <w:tc>
          <w:tcPr>
            <w:tcW w:w="6041" w:type="dxa"/>
            <w:tcBorders>
              <w:top w:val="nil"/>
              <w:left w:val="single" w:sz="4" w:space="0" w:color="auto"/>
              <w:bottom w:val="single" w:sz="4" w:space="0" w:color="auto"/>
              <w:right w:val="single" w:sz="4" w:space="0" w:color="auto"/>
            </w:tcBorders>
            <w:noWrap/>
            <w:vAlign w:val="bottom"/>
          </w:tcPr>
          <w:p w:rsidR="00F73023" w:rsidRPr="003A528F" w:rsidRDefault="00F73023" w:rsidP="003B3F00">
            <w:pPr>
              <w:rPr>
                <w:b/>
                <w:bCs/>
                <w:color w:val="000000"/>
                <w:szCs w:val="22"/>
              </w:rPr>
            </w:pPr>
            <w:r w:rsidRPr="003A528F">
              <w:rPr>
                <w:b/>
                <w:bCs/>
                <w:color w:val="000000"/>
                <w:szCs w:val="22"/>
              </w:rPr>
              <w:t>TOTAAL</w:t>
            </w:r>
          </w:p>
        </w:tc>
        <w:tc>
          <w:tcPr>
            <w:tcW w:w="1472" w:type="dxa"/>
            <w:tcBorders>
              <w:top w:val="nil"/>
              <w:left w:val="nil"/>
              <w:bottom w:val="single" w:sz="4" w:space="0" w:color="auto"/>
              <w:right w:val="single" w:sz="4" w:space="0" w:color="auto"/>
            </w:tcBorders>
            <w:noWrap/>
          </w:tcPr>
          <w:p w:rsidR="00F73023" w:rsidRPr="003A528F" w:rsidRDefault="00F73023" w:rsidP="003B3F00">
            <w:pPr>
              <w:tabs>
                <w:tab w:val="left" w:pos="828"/>
              </w:tabs>
              <w:ind w:right="428"/>
              <w:jc w:val="right"/>
              <w:rPr>
                <w:b/>
                <w:bCs/>
                <w:color w:val="000000"/>
                <w:szCs w:val="22"/>
              </w:rPr>
            </w:pPr>
            <w:r w:rsidRPr="003A528F">
              <w:rPr>
                <w:b/>
                <w:bCs/>
                <w:color w:val="000000"/>
                <w:szCs w:val="22"/>
              </w:rPr>
              <w:t>2.256</w:t>
            </w:r>
          </w:p>
        </w:tc>
      </w:tr>
    </w:tbl>
    <w:p w:rsidR="00F73023" w:rsidRPr="00DF2F7F" w:rsidRDefault="00F73023" w:rsidP="002F63D7">
      <w:pPr>
        <w:jc w:val="both"/>
        <w:rPr>
          <w:szCs w:val="22"/>
        </w:rPr>
      </w:pPr>
    </w:p>
    <w:p w:rsidR="00F73023" w:rsidRPr="003A528F" w:rsidRDefault="00F73023" w:rsidP="002F63D7">
      <w:pPr>
        <w:numPr>
          <w:ilvl w:val="0"/>
          <w:numId w:val="3"/>
        </w:numPr>
        <w:tabs>
          <w:tab w:val="clear" w:pos="720"/>
          <w:tab w:val="num" w:pos="284"/>
        </w:tabs>
        <w:ind w:left="284" w:hanging="284"/>
        <w:jc w:val="both"/>
        <w:rPr>
          <w:szCs w:val="22"/>
        </w:rPr>
      </w:pPr>
      <w:r>
        <w:rPr>
          <w:szCs w:val="22"/>
        </w:rPr>
        <w:t>De voorbije jaren werd</w:t>
      </w:r>
      <w:r w:rsidRPr="003A528F">
        <w:rPr>
          <w:szCs w:val="22"/>
        </w:rPr>
        <w:t xml:space="preserve"> slechts één uitzonderlijk i</w:t>
      </w:r>
      <w:r>
        <w:rPr>
          <w:szCs w:val="22"/>
        </w:rPr>
        <w:t>nitiatief goedgekeurd. Op 29 december 2008 kende de</w:t>
      </w:r>
      <w:r w:rsidRPr="003A528F">
        <w:rPr>
          <w:szCs w:val="22"/>
        </w:rPr>
        <w:t xml:space="preserve"> bevoegde minister een subsidie toe van 200.000 euro aan de nv Verhaert Design &amp; Development. Deze subsidie kaderde in een ruimtevaartproject, met name de levering en installatie van een observatiesatelliet aan Vietnam.</w:t>
      </w:r>
    </w:p>
    <w:p w:rsidR="00F73023" w:rsidRPr="003A528F" w:rsidRDefault="00F73023" w:rsidP="002F63D7">
      <w:pPr>
        <w:jc w:val="both"/>
        <w:rPr>
          <w:szCs w:val="22"/>
        </w:rPr>
      </w:pPr>
    </w:p>
    <w:p w:rsidR="00F73023" w:rsidRPr="003A528F" w:rsidRDefault="00F73023" w:rsidP="002F63D7">
      <w:pPr>
        <w:jc w:val="both"/>
        <w:rPr>
          <w:szCs w:val="22"/>
        </w:rPr>
      </w:pPr>
    </w:p>
    <w:p w:rsidR="00F73023" w:rsidRPr="003A528F" w:rsidRDefault="00F73023" w:rsidP="002F63D7">
      <w:pPr>
        <w:numPr>
          <w:ilvl w:val="0"/>
          <w:numId w:val="3"/>
        </w:numPr>
        <w:tabs>
          <w:tab w:val="clear" w:pos="720"/>
          <w:tab w:val="num" w:pos="284"/>
        </w:tabs>
        <w:ind w:left="284" w:hanging="284"/>
        <w:jc w:val="both"/>
        <w:rPr>
          <w:szCs w:val="22"/>
        </w:rPr>
      </w:pPr>
      <w:r w:rsidRPr="003A528F">
        <w:rPr>
          <w:szCs w:val="22"/>
        </w:rPr>
        <w:t>I</w:t>
      </w:r>
      <w:r>
        <w:rPr>
          <w:szCs w:val="22"/>
        </w:rPr>
        <w:t>n onderstaande tabel vindt u een</w:t>
      </w:r>
      <w:r w:rsidRPr="003A528F">
        <w:rPr>
          <w:szCs w:val="22"/>
        </w:rPr>
        <w:t xml:space="preserve"> overzicht van het aantal goedgekeurde aanvragen per continent voor de jaren 2007 tot en met 2009.</w:t>
      </w:r>
    </w:p>
    <w:p w:rsidR="00F73023" w:rsidRPr="003A528F" w:rsidRDefault="00F73023" w:rsidP="002F63D7">
      <w:pPr>
        <w:jc w:val="both"/>
        <w:rPr>
          <w:szCs w:val="22"/>
        </w:rPr>
      </w:pPr>
    </w:p>
    <w:tbl>
      <w:tblPr>
        <w:tblW w:w="751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7"/>
        <w:gridCol w:w="1276"/>
        <w:gridCol w:w="1276"/>
        <w:gridCol w:w="1134"/>
      </w:tblGrid>
      <w:tr w:rsidR="00F73023" w:rsidRPr="003A528F" w:rsidTr="003B3F00">
        <w:trPr>
          <w:trHeight w:val="255"/>
        </w:trPr>
        <w:tc>
          <w:tcPr>
            <w:tcW w:w="3827" w:type="dxa"/>
            <w:noWrap/>
            <w:vAlign w:val="center"/>
          </w:tcPr>
          <w:p w:rsidR="00F73023" w:rsidRPr="00A27BDB" w:rsidRDefault="00F73023" w:rsidP="003B3F00">
            <w:pPr>
              <w:jc w:val="center"/>
              <w:rPr>
                <w:b/>
                <w:szCs w:val="22"/>
              </w:rPr>
            </w:pPr>
            <w:r w:rsidRPr="00A27BDB">
              <w:rPr>
                <w:b/>
                <w:szCs w:val="22"/>
              </w:rPr>
              <w:t>Aantal goedkeuringen per continent</w:t>
            </w:r>
          </w:p>
        </w:tc>
        <w:tc>
          <w:tcPr>
            <w:tcW w:w="1276" w:type="dxa"/>
            <w:vAlign w:val="center"/>
          </w:tcPr>
          <w:p w:rsidR="00F73023" w:rsidRPr="003A528F" w:rsidRDefault="00F73023" w:rsidP="003B3F00">
            <w:pPr>
              <w:jc w:val="center"/>
              <w:rPr>
                <w:b/>
                <w:bCs/>
                <w:szCs w:val="22"/>
              </w:rPr>
            </w:pPr>
            <w:r w:rsidRPr="003A528F">
              <w:rPr>
                <w:b/>
                <w:bCs/>
                <w:szCs w:val="22"/>
              </w:rPr>
              <w:t>2007</w:t>
            </w:r>
          </w:p>
        </w:tc>
        <w:tc>
          <w:tcPr>
            <w:tcW w:w="1276" w:type="dxa"/>
            <w:noWrap/>
            <w:vAlign w:val="center"/>
          </w:tcPr>
          <w:p w:rsidR="00F73023" w:rsidRPr="003A528F" w:rsidRDefault="00F73023" w:rsidP="003B3F00">
            <w:pPr>
              <w:jc w:val="center"/>
              <w:rPr>
                <w:b/>
                <w:bCs/>
                <w:szCs w:val="22"/>
              </w:rPr>
            </w:pPr>
            <w:r w:rsidRPr="003A528F">
              <w:rPr>
                <w:b/>
                <w:bCs/>
                <w:szCs w:val="22"/>
              </w:rPr>
              <w:t>2008</w:t>
            </w:r>
          </w:p>
        </w:tc>
        <w:tc>
          <w:tcPr>
            <w:tcW w:w="1134" w:type="dxa"/>
            <w:vAlign w:val="center"/>
          </w:tcPr>
          <w:p w:rsidR="00F73023" w:rsidRPr="003A528F" w:rsidRDefault="00F73023" w:rsidP="003B3F00">
            <w:pPr>
              <w:jc w:val="center"/>
              <w:rPr>
                <w:b/>
                <w:bCs/>
                <w:szCs w:val="22"/>
              </w:rPr>
            </w:pPr>
            <w:r w:rsidRPr="003A528F">
              <w:rPr>
                <w:b/>
                <w:bCs/>
                <w:szCs w:val="22"/>
              </w:rPr>
              <w:t>2009</w:t>
            </w:r>
          </w:p>
        </w:tc>
      </w:tr>
      <w:tr w:rsidR="00F73023" w:rsidRPr="003A528F" w:rsidTr="003B3F00">
        <w:trPr>
          <w:trHeight w:val="255"/>
        </w:trPr>
        <w:tc>
          <w:tcPr>
            <w:tcW w:w="3827" w:type="dxa"/>
            <w:noWrap/>
            <w:vAlign w:val="bottom"/>
          </w:tcPr>
          <w:p w:rsidR="00F73023" w:rsidRPr="00A27BDB" w:rsidRDefault="00F73023" w:rsidP="003B3F00">
            <w:pPr>
              <w:rPr>
                <w:bCs/>
                <w:szCs w:val="22"/>
              </w:rPr>
            </w:pPr>
            <w:r>
              <w:rPr>
                <w:bCs/>
                <w:szCs w:val="22"/>
              </w:rPr>
              <w:t xml:space="preserve"> </w:t>
            </w:r>
            <w:r w:rsidRPr="00A27BDB">
              <w:rPr>
                <w:bCs/>
                <w:szCs w:val="22"/>
              </w:rPr>
              <w:t>Afrika</w:t>
            </w:r>
          </w:p>
        </w:tc>
        <w:tc>
          <w:tcPr>
            <w:tcW w:w="1276" w:type="dxa"/>
            <w:vAlign w:val="center"/>
          </w:tcPr>
          <w:p w:rsidR="00F73023" w:rsidRPr="003A528F" w:rsidRDefault="00F73023" w:rsidP="003B3F00">
            <w:pPr>
              <w:ind w:right="449"/>
              <w:jc w:val="right"/>
              <w:rPr>
                <w:szCs w:val="22"/>
              </w:rPr>
            </w:pPr>
            <w:r w:rsidRPr="003A528F">
              <w:rPr>
                <w:szCs w:val="22"/>
              </w:rPr>
              <w:t>103</w:t>
            </w:r>
          </w:p>
        </w:tc>
        <w:tc>
          <w:tcPr>
            <w:tcW w:w="1276" w:type="dxa"/>
            <w:noWrap/>
            <w:vAlign w:val="center"/>
          </w:tcPr>
          <w:p w:rsidR="00F73023" w:rsidRPr="003A528F" w:rsidRDefault="00F73023" w:rsidP="003B3F00">
            <w:pPr>
              <w:ind w:right="448"/>
              <w:jc w:val="right"/>
              <w:rPr>
                <w:szCs w:val="22"/>
              </w:rPr>
            </w:pPr>
            <w:r w:rsidRPr="003A528F">
              <w:rPr>
                <w:szCs w:val="22"/>
              </w:rPr>
              <w:t>166</w:t>
            </w:r>
          </w:p>
        </w:tc>
        <w:tc>
          <w:tcPr>
            <w:tcW w:w="1134" w:type="dxa"/>
            <w:vAlign w:val="center"/>
          </w:tcPr>
          <w:p w:rsidR="00F73023" w:rsidRPr="003A528F" w:rsidRDefault="00F73023" w:rsidP="003B3F00">
            <w:pPr>
              <w:tabs>
                <w:tab w:val="left" w:pos="686"/>
              </w:tabs>
              <w:ind w:right="306"/>
              <w:jc w:val="right"/>
              <w:rPr>
                <w:szCs w:val="22"/>
              </w:rPr>
            </w:pPr>
            <w:r w:rsidRPr="003A528F">
              <w:rPr>
                <w:szCs w:val="22"/>
              </w:rPr>
              <w:t>233</w:t>
            </w:r>
          </w:p>
        </w:tc>
      </w:tr>
      <w:tr w:rsidR="00F73023" w:rsidRPr="003A528F" w:rsidTr="003B3F00">
        <w:trPr>
          <w:trHeight w:val="255"/>
        </w:trPr>
        <w:tc>
          <w:tcPr>
            <w:tcW w:w="3827" w:type="dxa"/>
            <w:noWrap/>
            <w:vAlign w:val="bottom"/>
          </w:tcPr>
          <w:p w:rsidR="00F73023" w:rsidRPr="00A27BDB" w:rsidRDefault="00F73023" w:rsidP="003B3F00">
            <w:pPr>
              <w:rPr>
                <w:bCs/>
                <w:szCs w:val="22"/>
              </w:rPr>
            </w:pPr>
            <w:r>
              <w:rPr>
                <w:bCs/>
                <w:szCs w:val="22"/>
              </w:rPr>
              <w:t xml:space="preserve"> </w:t>
            </w:r>
            <w:r w:rsidRPr="00A27BDB">
              <w:rPr>
                <w:bCs/>
                <w:szCs w:val="22"/>
              </w:rPr>
              <w:t>Amerika</w:t>
            </w:r>
          </w:p>
        </w:tc>
        <w:tc>
          <w:tcPr>
            <w:tcW w:w="1276" w:type="dxa"/>
            <w:vAlign w:val="center"/>
          </w:tcPr>
          <w:p w:rsidR="00F73023" w:rsidRPr="003A528F" w:rsidRDefault="00F73023" w:rsidP="003B3F00">
            <w:pPr>
              <w:ind w:right="449"/>
              <w:jc w:val="right"/>
              <w:rPr>
                <w:szCs w:val="22"/>
              </w:rPr>
            </w:pPr>
            <w:r w:rsidRPr="003A528F">
              <w:rPr>
                <w:szCs w:val="22"/>
              </w:rPr>
              <w:t>303</w:t>
            </w:r>
          </w:p>
        </w:tc>
        <w:tc>
          <w:tcPr>
            <w:tcW w:w="1276" w:type="dxa"/>
            <w:noWrap/>
            <w:vAlign w:val="center"/>
          </w:tcPr>
          <w:p w:rsidR="00F73023" w:rsidRPr="003A528F" w:rsidRDefault="00F73023" w:rsidP="003B3F00">
            <w:pPr>
              <w:ind w:right="448"/>
              <w:jc w:val="right"/>
              <w:rPr>
                <w:szCs w:val="22"/>
              </w:rPr>
            </w:pPr>
            <w:r w:rsidRPr="003A528F">
              <w:rPr>
                <w:szCs w:val="22"/>
              </w:rPr>
              <w:t>377</w:t>
            </w:r>
          </w:p>
        </w:tc>
        <w:tc>
          <w:tcPr>
            <w:tcW w:w="1134" w:type="dxa"/>
            <w:vAlign w:val="center"/>
          </w:tcPr>
          <w:p w:rsidR="00F73023" w:rsidRPr="003A528F" w:rsidRDefault="00F73023" w:rsidP="003B3F00">
            <w:pPr>
              <w:tabs>
                <w:tab w:val="left" w:pos="686"/>
              </w:tabs>
              <w:ind w:right="306"/>
              <w:jc w:val="right"/>
              <w:rPr>
                <w:szCs w:val="22"/>
              </w:rPr>
            </w:pPr>
            <w:r w:rsidRPr="003A528F">
              <w:rPr>
                <w:szCs w:val="22"/>
              </w:rPr>
              <w:t>350</w:t>
            </w:r>
          </w:p>
        </w:tc>
      </w:tr>
      <w:tr w:rsidR="00F73023" w:rsidRPr="003A528F" w:rsidTr="003B3F00">
        <w:trPr>
          <w:trHeight w:val="255"/>
        </w:trPr>
        <w:tc>
          <w:tcPr>
            <w:tcW w:w="3827" w:type="dxa"/>
            <w:noWrap/>
            <w:vAlign w:val="bottom"/>
          </w:tcPr>
          <w:p w:rsidR="00F73023" w:rsidRPr="00A27BDB" w:rsidRDefault="00F73023" w:rsidP="003B3F00">
            <w:pPr>
              <w:rPr>
                <w:bCs/>
                <w:szCs w:val="22"/>
              </w:rPr>
            </w:pPr>
            <w:r>
              <w:rPr>
                <w:bCs/>
                <w:szCs w:val="22"/>
              </w:rPr>
              <w:t xml:space="preserve"> </w:t>
            </w:r>
            <w:r w:rsidRPr="00A27BDB">
              <w:rPr>
                <w:bCs/>
                <w:szCs w:val="22"/>
              </w:rPr>
              <w:t xml:space="preserve">Azië </w:t>
            </w:r>
          </w:p>
        </w:tc>
        <w:tc>
          <w:tcPr>
            <w:tcW w:w="1276" w:type="dxa"/>
            <w:vAlign w:val="center"/>
          </w:tcPr>
          <w:p w:rsidR="00F73023" w:rsidRPr="003A528F" w:rsidRDefault="00F73023" w:rsidP="003B3F00">
            <w:pPr>
              <w:ind w:right="449"/>
              <w:jc w:val="right"/>
              <w:rPr>
                <w:szCs w:val="22"/>
              </w:rPr>
            </w:pPr>
            <w:r w:rsidRPr="003A528F">
              <w:rPr>
                <w:szCs w:val="22"/>
              </w:rPr>
              <w:t>597</w:t>
            </w:r>
          </w:p>
        </w:tc>
        <w:tc>
          <w:tcPr>
            <w:tcW w:w="1276" w:type="dxa"/>
            <w:noWrap/>
            <w:vAlign w:val="center"/>
          </w:tcPr>
          <w:p w:rsidR="00F73023" w:rsidRPr="003A528F" w:rsidRDefault="00F73023" w:rsidP="003B3F00">
            <w:pPr>
              <w:ind w:right="448"/>
              <w:jc w:val="right"/>
              <w:rPr>
                <w:szCs w:val="22"/>
              </w:rPr>
            </w:pPr>
            <w:r w:rsidRPr="003A528F">
              <w:rPr>
                <w:szCs w:val="22"/>
              </w:rPr>
              <w:t>720</w:t>
            </w:r>
          </w:p>
        </w:tc>
        <w:tc>
          <w:tcPr>
            <w:tcW w:w="1134" w:type="dxa"/>
            <w:vAlign w:val="center"/>
          </w:tcPr>
          <w:p w:rsidR="00F73023" w:rsidRPr="003A528F" w:rsidRDefault="00F73023" w:rsidP="003B3F00">
            <w:pPr>
              <w:tabs>
                <w:tab w:val="left" w:pos="686"/>
              </w:tabs>
              <w:ind w:right="306"/>
              <w:jc w:val="right"/>
              <w:rPr>
                <w:szCs w:val="22"/>
              </w:rPr>
            </w:pPr>
            <w:r w:rsidRPr="003A528F">
              <w:rPr>
                <w:szCs w:val="22"/>
              </w:rPr>
              <w:t>625</w:t>
            </w:r>
          </w:p>
        </w:tc>
      </w:tr>
      <w:tr w:rsidR="00F73023" w:rsidRPr="003A528F" w:rsidTr="003B3F00">
        <w:trPr>
          <w:trHeight w:val="255"/>
        </w:trPr>
        <w:tc>
          <w:tcPr>
            <w:tcW w:w="3827" w:type="dxa"/>
            <w:vAlign w:val="bottom"/>
          </w:tcPr>
          <w:p w:rsidR="00F73023" w:rsidRPr="00A27BDB" w:rsidRDefault="00F73023" w:rsidP="003B3F00">
            <w:pPr>
              <w:rPr>
                <w:bCs/>
                <w:szCs w:val="22"/>
              </w:rPr>
            </w:pPr>
            <w:r>
              <w:rPr>
                <w:bCs/>
                <w:szCs w:val="22"/>
              </w:rPr>
              <w:t xml:space="preserve"> </w:t>
            </w:r>
            <w:r w:rsidRPr="00A27BDB">
              <w:rPr>
                <w:bCs/>
                <w:szCs w:val="22"/>
              </w:rPr>
              <w:t xml:space="preserve">Europa </w:t>
            </w:r>
          </w:p>
        </w:tc>
        <w:tc>
          <w:tcPr>
            <w:tcW w:w="1276" w:type="dxa"/>
            <w:vAlign w:val="center"/>
          </w:tcPr>
          <w:p w:rsidR="00F73023" w:rsidRPr="003A528F" w:rsidRDefault="00F73023" w:rsidP="003B3F00">
            <w:pPr>
              <w:ind w:right="449"/>
              <w:jc w:val="right"/>
              <w:rPr>
                <w:szCs w:val="22"/>
              </w:rPr>
            </w:pPr>
            <w:r w:rsidRPr="003A528F">
              <w:rPr>
                <w:szCs w:val="22"/>
              </w:rPr>
              <w:t>993</w:t>
            </w:r>
          </w:p>
        </w:tc>
        <w:tc>
          <w:tcPr>
            <w:tcW w:w="1276" w:type="dxa"/>
            <w:noWrap/>
            <w:vAlign w:val="center"/>
          </w:tcPr>
          <w:p w:rsidR="00F73023" w:rsidRPr="003A528F" w:rsidRDefault="00F73023" w:rsidP="003B3F00">
            <w:pPr>
              <w:ind w:right="448"/>
              <w:jc w:val="right"/>
              <w:rPr>
                <w:szCs w:val="22"/>
              </w:rPr>
            </w:pPr>
            <w:r w:rsidRPr="003A528F">
              <w:rPr>
                <w:szCs w:val="22"/>
              </w:rPr>
              <w:t>1571</w:t>
            </w:r>
          </w:p>
        </w:tc>
        <w:tc>
          <w:tcPr>
            <w:tcW w:w="1134" w:type="dxa"/>
            <w:vAlign w:val="center"/>
          </w:tcPr>
          <w:p w:rsidR="00F73023" w:rsidRPr="003A528F" w:rsidRDefault="00F73023" w:rsidP="003B3F00">
            <w:pPr>
              <w:tabs>
                <w:tab w:val="left" w:pos="686"/>
              </w:tabs>
              <w:ind w:right="306"/>
              <w:jc w:val="right"/>
              <w:rPr>
                <w:szCs w:val="22"/>
              </w:rPr>
            </w:pPr>
            <w:r w:rsidRPr="003A528F">
              <w:rPr>
                <w:szCs w:val="22"/>
              </w:rPr>
              <w:t>1322</w:t>
            </w:r>
          </w:p>
        </w:tc>
      </w:tr>
      <w:tr w:rsidR="00F73023" w:rsidRPr="003A528F" w:rsidTr="003B3F00">
        <w:trPr>
          <w:trHeight w:val="255"/>
        </w:trPr>
        <w:tc>
          <w:tcPr>
            <w:tcW w:w="3827" w:type="dxa"/>
            <w:vAlign w:val="bottom"/>
          </w:tcPr>
          <w:p w:rsidR="00F73023" w:rsidRPr="00A27BDB" w:rsidRDefault="00F73023" w:rsidP="003B3F00">
            <w:pPr>
              <w:rPr>
                <w:bCs/>
                <w:szCs w:val="22"/>
              </w:rPr>
            </w:pPr>
            <w:r>
              <w:rPr>
                <w:bCs/>
                <w:szCs w:val="22"/>
              </w:rPr>
              <w:t xml:space="preserve"> </w:t>
            </w:r>
            <w:r w:rsidRPr="00A27BDB">
              <w:rPr>
                <w:bCs/>
                <w:szCs w:val="22"/>
              </w:rPr>
              <w:t>Oceanië</w:t>
            </w:r>
          </w:p>
        </w:tc>
        <w:tc>
          <w:tcPr>
            <w:tcW w:w="1276" w:type="dxa"/>
            <w:vAlign w:val="center"/>
          </w:tcPr>
          <w:p w:rsidR="00F73023" w:rsidRPr="003A528F" w:rsidRDefault="00F73023" w:rsidP="003B3F00">
            <w:pPr>
              <w:ind w:right="449"/>
              <w:jc w:val="right"/>
              <w:rPr>
                <w:szCs w:val="22"/>
              </w:rPr>
            </w:pPr>
            <w:r w:rsidRPr="003A528F">
              <w:rPr>
                <w:szCs w:val="22"/>
              </w:rPr>
              <w:t>39</w:t>
            </w:r>
          </w:p>
        </w:tc>
        <w:tc>
          <w:tcPr>
            <w:tcW w:w="1276" w:type="dxa"/>
            <w:noWrap/>
            <w:vAlign w:val="center"/>
          </w:tcPr>
          <w:p w:rsidR="00F73023" w:rsidRPr="003A528F" w:rsidRDefault="00F73023" w:rsidP="003B3F00">
            <w:pPr>
              <w:ind w:right="448"/>
              <w:jc w:val="right"/>
              <w:rPr>
                <w:szCs w:val="22"/>
              </w:rPr>
            </w:pPr>
            <w:r w:rsidRPr="003A528F">
              <w:rPr>
                <w:szCs w:val="22"/>
              </w:rPr>
              <w:t>51</w:t>
            </w:r>
          </w:p>
        </w:tc>
        <w:tc>
          <w:tcPr>
            <w:tcW w:w="1134" w:type="dxa"/>
            <w:vAlign w:val="center"/>
          </w:tcPr>
          <w:p w:rsidR="00F73023" w:rsidRPr="003A528F" w:rsidRDefault="00F73023" w:rsidP="003B3F00">
            <w:pPr>
              <w:tabs>
                <w:tab w:val="left" w:pos="686"/>
              </w:tabs>
              <w:ind w:right="306"/>
              <w:jc w:val="right"/>
              <w:rPr>
                <w:szCs w:val="22"/>
              </w:rPr>
            </w:pPr>
            <w:r w:rsidRPr="003A528F">
              <w:rPr>
                <w:szCs w:val="22"/>
              </w:rPr>
              <w:t>67</w:t>
            </w:r>
          </w:p>
        </w:tc>
      </w:tr>
    </w:tbl>
    <w:p w:rsidR="00F73023" w:rsidRPr="003A528F" w:rsidRDefault="00F73023" w:rsidP="002F63D7">
      <w:pPr>
        <w:jc w:val="both"/>
        <w:rPr>
          <w:szCs w:val="22"/>
        </w:rPr>
      </w:pPr>
    </w:p>
    <w:p w:rsidR="00F73023" w:rsidRPr="003A528F" w:rsidRDefault="00F73023" w:rsidP="002F63D7">
      <w:pPr>
        <w:numPr>
          <w:ilvl w:val="0"/>
          <w:numId w:val="3"/>
        </w:numPr>
        <w:tabs>
          <w:tab w:val="clear" w:pos="720"/>
          <w:tab w:val="num" w:pos="284"/>
        </w:tabs>
        <w:ind w:left="284" w:hanging="284"/>
        <w:jc w:val="both"/>
        <w:rPr>
          <w:bCs/>
          <w:szCs w:val="22"/>
        </w:rPr>
      </w:pPr>
      <w:r w:rsidRPr="003A528F">
        <w:rPr>
          <w:szCs w:val="22"/>
        </w:rPr>
        <w:t>De maximum-subsidiebedragen per categorie zijn opgenomen in het Besluit van de Vlaamse Regering. In onderstaande tabel vindt u een overzicht van de gemiddelde subsidiebedragen, uitgedrukt in euro, per initiatief dat werd opgenomen in het huidige Besluit van de Vlaamse Regering.</w:t>
      </w:r>
    </w:p>
    <w:p w:rsidR="00F73023" w:rsidRPr="003A528F" w:rsidRDefault="00F73023" w:rsidP="002F63D7">
      <w:pPr>
        <w:jc w:val="both"/>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4"/>
        <w:gridCol w:w="3119"/>
      </w:tblGrid>
      <w:tr w:rsidR="00F73023" w:rsidRPr="003A528F" w:rsidTr="009A7430">
        <w:trPr>
          <w:trHeight w:hRule="exact" w:val="340"/>
        </w:trPr>
        <w:tc>
          <w:tcPr>
            <w:tcW w:w="4394" w:type="dxa"/>
            <w:vAlign w:val="center"/>
          </w:tcPr>
          <w:p w:rsidR="00F73023" w:rsidRPr="009A7430" w:rsidRDefault="00F73023" w:rsidP="009A7430">
            <w:pPr>
              <w:jc w:val="center"/>
              <w:rPr>
                <w:b/>
                <w:szCs w:val="22"/>
                <w:lang w:val="nl-BE"/>
              </w:rPr>
            </w:pPr>
            <w:r w:rsidRPr="009A7430">
              <w:rPr>
                <w:b/>
                <w:szCs w:val="22"/>
                <w:lang w:val="nl-BE"/>
              </w:rPr>
              <w:t>Initiatief</w:t>
            </w:r>
          </w:p>
        </w:tc>
        <w:tc>
          <w:tcPr>
            <w:tcW w:w="3119" w:type="dxa"/>
            <w:vAlign w:val="center"/>
          </w:tcPr>
          <w:p w:rsidR="00F73023" w:rsidRPr="009A7430" w:rsidRDefault="00F73023" w:rsidP="009A7430">
            <w:pPr>
              <w:ind w:right="175"/>
              <w:jc w:val="right"/>
              <w:rPr>
                <w:b/>
                <w:szCs w:val="22"/>
                <w:lang w:val="nl-BE"/>
              </w:rPr>
            </w:pPr>
            <w:r w:rsidRPr="009A7430">
              <w:rPr>
                <w:b/>
                <w:szCs w:val="22"/>
                <w:lang w:val="nl-BE"/>
              </w:rPr>
              <w:t>Gemiddeld subsidiebedrag</w:t>
            </w:r>
          </w:p>
          <w:p w:rsidR="00F73023" w:rsidRPr="009A7430" w:rsidRDefault="00F73023" w:rsidP="009A7430">
            <w:pPr>
              <w:ind w:right="175"/>
              <w:jc w:val="right"/>
              <w:rPr>
                <w:szCs w:val="22"/>
                <w:lang w:val="nl-BE"/>
              </w:rPr>
            </w:pPr>
          </w:p>
        </w:tc>
      </w:tr>
      <w:tr w:rsidR="00F73023" w:rsidRPr="003A528F" w:rsidTr="009A7430">
        <w:trPr>
          <w:trHeight w:hRule="exact" w:val="340"/>
        </w:trPr>
        <w:tc>
          <w:tcPr>
            <w:tcW w:w="4394" w:type="dxa"/>
            <w:vAlign w:val="center"/>
          </w:tcPr>
          <w:p w:rsidR="00F73023" w:rsidRPr="009A7430" w:rsidRDefault="00F73023" w:rsidP="003B3F00">
            <w:pPr>
              <w:rPr>
                <w:bCs/>
                <w:szCs w:val="22"/>
              </w:rPr>
            </w:pPr>
            <w:r w:rsidRPr="009A7430">
              <w:rPr>
                <w:szCs w:val="22"/>
                <w:lang w:val="nl-BE"/>
              </w:rPr>
              <w:t>Beursdeelnames binnen de EER</w:t>
            </w:r>
          </w:p>
        </w:tc>
        <w:tc>
          <w:tcPr>
            <w:tcW w:w="3119" w:type="dxa"/>
            <w:vAlign w:val="center"/>
          </w:tcPr>
          <w:p w:rsidR="00F73023" w:rsidRPr="009A7430" w:rsidRDefault="00F73023" w:rsidP="009A7430">
            <w:pPr>
              <w:ind w:right="884"/>
              <w:jc w:val="right"/>
              <w:rPr>
                <w:bCs/>
                <w:szCs w:val="22"/>
              </w:rPr>
            </w:pPr>
            <w:r w:rsidRPr="009A7430">
              <w:rPr>
                <w:szCs w:val="22"/>
                <w:lang w:val="nl-BE"/>
              </w:rPr>
              <w:t>2.457,45</w:t>
            </w:r>
          </w:p>
        </w:tc>
      </w:tr>
      <w:tr w:rsidR="00F73023" w:rsidRPr="003A528F" w:rsidTr="009A7430">
        <w:trPr>
          <w:trHeight w:hRule="exact" w:val="340"/>
        </w:trPr>
        <w:tc>
          <w:tcPr>
            <w:tcW w:w="4394" w:type="dxa"/>
            <w:vAlign w:val="center"/>
          </w:tcPr>
          <w:p w:rsidR="00F73023" w:rsidRPr="009A7430" w:rsidRDefault="00F73023" w:rsidP="003B3F00">
            <w:pPr>
              <w:rPr>
                <w:bCs/>
                <w:szCs w:val="22"/>
              </w:rPr>
            </w:pPr>
            <w:r w:rsidRPr="009A7430">
              <w:rPr>
                <w:szCs w:val="22"/>
                <w:lang w:val="nl-BE"/>
              </w:rPr>
              <w:t>Beursdeelnames buiten de EER</w:t>
            </w:r>
          </w:p>
        </w:tc>
        <w:tc>
          <w:tcPr>
            <w:tcW w:w="3119" w:type="dxa"/>
            <w:vAlign w:val="center"/>
          </w:tcPr>
          <w:p w:rsidR="00F73023" w:rsidRPr="009A7430" w:rsidRDefault="00F73023" w:rsidP="009A7430">
            <w:pPr>
              <w:ind w:right="884"/>
              <w:jc w:val="right"/>
              <w:rPr>
                <w:bCs/>
                <w:szCs w:val="22"/>
              </w:rPr>
            </w:pPr>
            <w:r w:rsidRPr="009A7430">
              <w:rPr>
                <w:szCs w:val="22"/>
                <w:lang w:val="nl-BE"/>
              </w:rPr>
              <w:t>2.910,57</w:t>
            </w:r>
          </w:p>
        </w:tc>
      </w:tr>
      <w:tr w:rsidR="00F73023" w:rsidRPr="003A528F" w:rsidTr="009A7430">
        <w:trPr>
          <w:trHeight w:hRule="exact" w:val="340"/>
        </w:trPr>
        <w:tc>
          <w:tcPr>
            <w:tcW w:w="4394" w:type="dxa"/>
            <w:vAlign w:val="center"/>
          </w:tcPr>
          <w:p w:rsidR="00F73023" w:rsidRPr="009A7430" w:rsidRDefault="00F73023" w:rsidP="003B3F00">
            <w:pPr>
              <w:rPr>
                <w:bCs/>
                <w:szCs w:val="22"/>
              </w:rPr>
            </w:pPr>
            <w:r w:rsidRPr="009A7430">
              <w:rPr>
                <w:szCs w:val="22"/>
                <w:lang w:val="nl-BE"/>
              </w:rPr>
              <w:t>Oprichting van een prospectiekantoor</w:t>
            </w:r>
          </w:p>
        </w:tc>
        <w:tc>
          <w:tcPr>
            <w:tcW w:w="3119" w:type="dxa"/>
            <w:vAlign w:val="center"/>
          </w:tcPr>
          <w:p w:rsidR="00F73023" w:rsidRPr="009A7430" w:rsidRDefault="00F73023" w:rsidP="009A7430">
            <w:pPr>
              <w:ind w:right="884"/>
              <w:jc w:val="right"/>
              <w:rPr>
                <w:bCs/>
                <w:szCs w:val="22"/>
              </w:rPr>
            </w:pPr>
            <w:r w:rsidRPr="009A7430">
              <w:rPr>
                <w:szCs w:val="22"/>
                <w:lang w:val="nl-BE"/>
              </w:rPr>
              <w:t>32.130,09</w:t>
            </w:r>
          </w:p>
        </w:tc>
      </w:tr>
      <w:tr w:rsidR="00F73023" w:rsidRPr="003A528F" w:rsidTr="009A7430">
        <w:trPr>
          <w:trHeight w:hRule="exact" w:val="340"/>
        </w:trPr>
        <w:tc>
          <w:tcPr>
            <w:tcW w:w="4394" w:type="dxa"/>
            <w:vAlign w:val="center"/>
          </w:tcPr>
          <w:p w:rsidR="00F73023" w:rsidRPr="009A7430" w:rsidRDefault="00F73023" w:rsidP="003B3F00">
            <w:pPr>
              <w:rPr>
                <w:bCs/>
                <w:szCs w:val="22"/>
              </w:rPr>
            </w:pPr>
            <w:r w:rsidRPr="009A7430">
              <w:rPr>
                <w:szCs w:val="22"/>
                <w:lang w:val="nl-BE"/>
              </w:rPr>
              <w:t>Reis naar multilaterale instelling</w:t>
            </w:r>
          </w:p>
        </w:tc>
        <w:tc>
          <w:tcPr>
            <w:tcW w:w="3119" w:type="dxa"/>
            <w:vAlign w:val="center"/>
          </w:tcPr>
          <w:p w:rsidR="00F73023" w:rsidRPr="009A7430" w:rsidRDefault="00F73023" w:rsidP="009A7430">
            <w:pPr>
              <w:ind w:right="884"/>
              <w:jc w:val="right"/>
              <w:rPr>
                <w:bCs/>
                <w:szCs w:val="22"/>
              </w:rPr>
            </w:pPr>
            <w:r w:rsidRPr="009A7430">
              <w:rPr>
                <w:szCs w:val="22"/>
                <w:lang w:val="nl-BE"/>
              </w:rPr>
              <w:t>1.421,82</w:t>
            </w:r>
          </w:p>
        </w:tc>
      </w:tr>
      <w:tr w:rsidR="00F73023" w:rsidRPr="003A528F" w:rsidTr="009A7430">
        <w:trPr>
          <w:trHeight w:hRule="exact" w:val="340"/>
        </w:trPr>
        <w:tc>
          <w:tcPr>
            <w:tcW w:w="4394" w:type="dxa"/>
            <w:vAlign w:val="center"/>
          </w:tcPr>
          <w:p w:rsidR="00F73023" w:rsidRPr="009A7430" w:rsidRDefault="00F73023" w:rsidP="003B3F00">
            <w:pPr>
              <w:rPr>
                <w:bCs/>
                <w:szCs w:val="22"/>
              </w:rPr>
            </w:pPr>
            <w:r w:rsidRPr="009A7430">
              <w:rPr>
                <w:szCs w:val="22"/>
                <w:lang w:val="nl-BE"/>
              </w:rPr>
              <w:t>Prospectiereizen</w:t>
            </w:r>
          </w:p>
        </w:tc>
        <w:tc>
          <w:tcPr>
            <w:tcW w:w="3119" w:type="dxa"/>
            <w:vAlign w:val="center"/>
          </w:tcPr>
          <w:p w:rsidR="00F73023" w:rsidRPr="009A7430" w:rsidRDefault="00F73023" w:rsidP="009A7430">
            <w:pPr>
              <w:ind w:right="884"/>
              <w:jc w:val="right"/>
              <w:rPr>
                <w:bCs/>
                <w:szCs w:val="22"/>
              </w:rPr>
            </w:pPr>
            <w:r w:rsidRPr="009A7430">
              <w:rPr>
                <w:szCs w:val="22"/>
                <w:lang w:val="nl-BE"/>
              </w:rPr>
              <w:t>1.001,16</w:t>
            </w:r>
          </w:p>
        </w:tc>
      </w:tr>
      <w:tr w:rsidR="00F73023" w:rsidRPr="003A528F" w:rsidTr="009A7430">
        <w:trPr>
          <w:trHeight w:hRule="exact" w:val="340"/>
        </w:trPr>
        <w:tc>
          <w:tcPr>
            <w:tcW w:w="4394" w:type="dxa"/>
            <w:vAlign w:val="center"/>
          </w:tcPr>
          <w:p w:rsidR="00F73023" w:rsidRPr="009A7430" w:rsidRDefault="00F73023" w:rsidP="003B3F00">
            <w:pPr>
              <w:rPr>
                <w:bCs/>
                <w:szCs w:val="22"/>
              </w:rPr>
            </w:pPr>
            <w:r w:rsidRPr="009A7430">
              <w:rPr>
                <w:szCs w:val="22"/>
                <w:lang w:val="nl-BE"/>
              </w:rPr>
              <w:t>Niche-evenementen</w:t>
            </w:r>
          </w:p>
        </w:tc>
        <w:tc>
          <w:tcPr>
            <w:tcW w:w="3119" w:type="dxa"/>
            <w:vAlign w:val="center"/>
          </w:tcPr>
          <w:p w:rsidR="00F73023" w:rsidRPr="009A7430" w:rsidRDefault="00F73023" w:rsidP="009A7430">
            <w:pPr>
              <w:ind w:right="884"/>
              <w:jc w:val="right"/>
              <w:rPr>
                <w:bCs/>
                <w:szCs w:val="22"/>
              </w:rPr>
            </w:pPr>
            <w:r w:rsidRPr="009A7430">
              <w:rPr>
                <w:szCs w:val="22"/>
                <w:lang w:val="nl-BE"/>
              </w:rPr>
              <w:t>1.118,75</w:t>
            </w:r>
          </w:p>
        </w:tc>
      </w:tr>
      <w:tr w:rsidR="00F73023" w:rsidRPr="003A528F" w:rsidTr="009A7430">
        <w:trPr>
          <w:trHeight w:hRule="exact" w:val="340"/>
        </w:trPr>
        <w:tc>
          <w:tcPr>
            <w:tcW w:w="4394" w:type="dxa"/>
            <w:vAlign w:val="center"/>
          </w:tcPr>
          <w:p w:rsidR="00F73023" w:rsidRPr="009A7430" w:rsidRDefault="00F73023" w:rsidP="003B3F00">
            <w:pPr>
              <w:rPr>
                <w:bCs/>
                <w:szCs w:val="22"/>
              </w:rPr>
            </w:pPr>
            <w:r w:rsidRPr="009A7430">
              <w:rPr>
                <w:szCs w:val="22"/>
                <w:lang w:val="nl-BE"/>
              </w:rPr>
              <w:t>Productdocumentatie</w:t>
            </w:r>
          </w:p>
        </w:tc>
        <w:tc>
          <w:tcPr>
            <w:tcW w:w="3119" w:type="dxa"/>
            <w:vAlign w:val="center"/>
          </w:tcPr>
          <w:p w:rsidR="00F73023" w:rsidRPr="009A7430" w:rsidRDefault="00F73023" w:rsidP="009A7430">
            <w:pPr>
              <w:ind w:right="884"/>
              <w:jc w:val="right"/>
              <w:rPr>
                <w:bCs/>
                <w:szCs w:val="22"/>
              </w:rPr>
            </w:pPr>
            <w:r w:rsidRPr="009A7430">
              <w:rPr>
                <w:szCs w:val="22"/>
                <w:lang w:val="nl-BE"/>
              </w:rPr>
              <w:t>1.909,88</w:t>
            </w:r>
          </w:p>
        </w:tc>
      </w:tr>
      <w:tr w:rsidR="00F73023" w:rsidRPr="003A528F" w:rsidTr="009A7430">
        <w:trPr>
          <w:trHeight w:hRule="exact" w:val="340"/>
        </w:trPr>
        <w:tc>
          <w:tcPr>
            <w:tcW w:w="4394" w:type="dxa"/>
            <w:vAlign w:val="center"/>
          </w:tcPr>
          <w:p w:rsidR="00F73023" w:rsidRPr="009A7430" w:rsidRDefault="00F73023" w:rsidP="003B3F00">
            <w:pPr>
              <w:rPr>
                <w:bCs/>
                <w:szCs w:val="22"/>
              </w:rPr>
            </w:pPr>
            <w:r w:rsidRPr="009A7430">
              <w:rPr>
                <w:szCs w:val="22"/>
                <w:lang w:val="nl-BE"/>
              </w:rPr>
              <w:t>Uitnodiging aankopers/decision makers</w:t>
            </w:r>
          </w:p>
        </w:tc>
        <w:tc>
          <w:tcPr>
            <w:tcW w:w="3119" w:type="dxa"/>
            <w:vAlign w:val="center"/>
          </w:tcPr>
          <w:p w:rsidR="00F73023" w:rsidRPr="009A7430" w:rsidRDefault="00F73023" w:rsidP="009A7430">
            <w:pPr>
              <w:ind w:right="884"/>
              <w:jc w:val="right"/>
              <w:rPr>
                <w:bCs/>
                <w:szCs w:val="22"/>
              </w:rPr>
            </w:pPr>
            <w:r w:rsidRPr="009A7430">
              <w:rPr>
                <w:szCs w:val="22"/>
                <w:lang w:val="nl-BE"/>
              </w:rPr>
              <w:t>1.292,86</w:t>
            </w:r>
          </w:p>
        </w:tc>
      </w:tr>
      <w:tr w:rsidR="00F73023" w:rsidRPr="003A528F" w:rsidTr="009A7430">
        <w:trPr>
          <w:trHeight w:hRule="exact" w:val="340"/>
        </w:trPr>
        <w:tc>
          <w:tcPr>
            <w:tcW w:w="4394" w:type="dxa"/>
            <w:vAlign w:val="center"/>
          </w:tcPr>
          <w:p w:rsidR="00F73023" w:rsidRPr="009A7430" w:rsidRDefault="00F73023" w:rsidP="003B3F00">
            <w:pPr>
              <w:rPr>
                <w:bCs/>
                <w:szCs w:val="22"/>
              </w:rPr>
            </w:pPr>
            <w:r w:rsidRPr="009A7430">
              <w:rPr>
                <w:szCs w:val="22"/>
                <w:lang w:val="nl-BE"/>
              </w:rPr>
              <w:t>Intrek in een dienstencentrum</w:t>
            </w:r>
          </w:p>
        </w:tc>
        <w:tc>
          <w:tcPr>
            <w:tcW w:w="3119" w:type="dxa"/>
            <w:vAlign w:val="center"/>
          </w:tcPr>
          <w:p w:rsidR="00F73023" w:rsidRPr="009A7430" w:rsidRDefault="00F73023" w:rsidP="009A7430">
            <w:pPr>
              <w:ind w:right="884"/>
              <w:jc w:val="right"/>
              <w:rPr>
                <w:bCs/>
                <w:szCs w:val="22"/>
              </w:rPr>
            </w:pPr>
            <w:r w:rsidRPr="009A7430">
              <w:rPr>
                <w:szCs w:val="22"/>
                <w:lang w:val="nl-BE"/>
              </w:rPr>
              <w:t>1.762,24</w:t>
            </w:r>
          </w:p>
        </w:tc>
      </w:tr>
      <w:tr w:rsidR="00F73023" w:rsidRPr="003A528F" w:rsidTr="009A7430">
        <w:trPr>
          <w:trHeight w:hRule="exact" w:val="340"/>
        </w:trPr>
        <w:tc>
          <w:tcPr>
            <w:tcW w:w="4394" w:type="dxa"/>
            <w:vAlign w:val="center"/>
          </w:tcPr>
          <w:p w:rsidR="00F73023" w:rsidRPr="009A7430" w:rsidRDefault="00F73023" w:rsidP="003B3F00">
            <w:pPr>
              <w:rPr>
                <w:bCs/>
                <w:szCs w:val="22"/>
              </w:rPr>
            </w:pPr>
            <w:r w:rsidRPr="009A7430">
              <w:rPr>
                <w:szCs w:val="22"/>
                <w:lang w:val="nl-BE"/>
              </w:rPr>
              <w:t>Registratie/Homologatie/Certificatie</w:t>
            </w:r>
          </w:p>
        </w:tc>
        <w:tc>
          <w:tcPr>
            <w:tcW w:w="3119" w:type="dxa"/>
            <w:vAlign w:val="center"/>
          </w:tcPr>
          <w:p w:rsidR="00F73023" w:rsidRPr="009A7430" w:rsidRDefault="00F73023" w:rsidP="009A7430">
            <w:pPr>
              <w:ind w:right="884"/>
              <w:jc w:val="right"/>
              <w:rPr>
                <w:bCs/>
                <w:szCs w:val="22"/>
              </w:rPr>
            </w:pPr>
            <w:r w:rsidRPr="009A7430">
              <w:rPr>
                <w:szCs w:val="22"/>
                <w:lang w:val="nl-BE"/>
              </w:rPr>
              <w:t>2.156,89</w:t>
            </w:r>
          </w:p>
        </w:tc>
      </w:tr>
    </w:tbl>
    <w:p w:rsidR="00F73023" w:rsidRPr="003A528F" w:rsidRDefault="00F73023" w:rsidP="002F63D7">
      <w:pPr>
        <w:jc w:val="both"/>
        <w:rPr>
          <w:bCs/>
          <w:szCs w:val="22"/>
        </w:rPr>
      </w:pPr>
    </w:p>
    <w:p w:rsidR="00F73023" w:rsidRPr="003A528F" w:rsidRDefault="00F73023" w:rsidP="002F63D7">
      <w:pPr>
        <w:numPr>
          <w:ilvl w:val="0"/>
          <w:numId w:val="3"/>
        </w:numPr>
        <w:tabs>
          <w:tab w:val="clear" w:pos="720"/>
          <w:tab w:val="num" w:pos="284"/>
        </w:tabs>
        <w:ind w:left="284" w:hanging="284"/>
        <w:jc w:val="both"/>
        <w:rPr>
          <w:szCs w:val="22"/>
        </w:rPr>
      </w:pPr>
      <w:r>
        <w:rPr>
          <w:szCs w:val="22"/>
        </w:rPr>
        <w:t>D</w:t>
      </w:r>
      <w:r w:rsidRPr="003A528F">
        <w:rPr>
          <w:szCs w:val="22"/>
        </w:rPr>
        <w:t xml:space="preserve">e subsidie-initiatieven </w:t>
      </w:r>
      <w:r>
        <w:rPr>
          <w:szCs w:val="22"/>
        </w:rPr>
        <w:t xml:space="preserve">zijn </w:t>
      </w:r>
      <w:r w:rsidRPr="003A528F">
        <w:rPr>
          <w:szCs w:val="22"/>
        </w:rPr>
        <w:t xml:space="preserve">bedoeld om het aantal exporterende bedrijven te laten toenemen, en </w:t>
      </w:r>
      <w:r>
        <w:rPr>
          <w:szCs w:val="22"/>
        </w:rPr>
        <w:t xml:space="preserve">het zijn </w:t>
      </w:r>
      <w:r w:rsidRPr="003A528F">
        <w:rPr>
          <w:szCs w:val="22"/>
        </w:rPr>
        <w:t>vooral de KMO’s die dit subsidiemechanisme het hardst nodig hebben. In die z</w:t>
      </w:r>
      <w:r>
        <w:rPr>
          <w:szCs w:val="22"/>
        </w:rPr>
        <w:t xml:space="preserve">in liggen deze initiatieven </w:t>
      </w:r>
      <w:r w:rsidRPr="003A528F">
        <w:rPr>
          <w:szCs w:val="22"/>
        </w:rPr>
        <w:t xml:space="preserve">volledig in de lijn van één van de doelstellingen van ViA. </w:t>
      </w:r>
    </w:p>
    <w:p w:rsidR="00F73023" w:rsidRPr="003A528F" w:rsidRDefault="00F73023" w:rsidP="002F63D7">
      <w:pPr>
        <w:ind w:left="284"/>
        <w:jc w:val="both"/>
        <w:rPr>
          <w:szCs w:val="22"/>
        </w:rPr>
      </w:pPr>
      <w:r w:rsidRPr="003A528F">
        <w:rPr>
          <w:szCs w:val="22"/>
        </w:rPr>
        <w:t xml:space="preserve">Om de initiatieven nog beter op het ViA kader te doen aansluiten, werd dit instrument onlangs geëvalueerd. Begin 2011 zal een nieuw besluit hierover aan de </w:t>
      </w:r>
      <w:r>
        <w:rPr>
          <w:szCs w:val="22"/>
        </w:rPr>
        <w:t xml:space="preserve">Vlaamse </w:t>
      </w:r>
      <w:r w:rsidRPr="003A528F">
        <w:rPr>
          <w:szCs w:val="22"/>
        </w:rPr>
        <w:t>Regeri</w:t>
      </w:r>
      <w:r>
        <w:rPr>
          <w:szCs w:val="22"/>
        </w:rPr>
        <w:t>ng worden voorgelegd, waarin</w:t>
      </w:r>
      <w:r w:rsidRPr="003A528F">
        <w:rPr>
          <w:szCs w:val="22"/>
        </w:rPr>
        <w:t xml:space="preserve"> enkele voorstellen </w:t>
      </w:r>
      <w:r>
        <w:rPr>
          <w:szCs w:val="22"/>
        </w:rPr>
        <w:t>tot aanpassing opgenomen</w:t>
      </w:r>
      <w:r w:rsidRPr="003A528F">
        <w:rPr>
          <w:szCs w:val="22"/>
        </w:rPr>
        <w:t xml:space="preserve"> zijn om nog beter aansluiting te vinden bij de doel</w:t>
      </w:r>
      <w:r>
        <w:rPr>
          <w:szCs w:val="22"/>
        </w:rPr>
        <w:t>stellingen van</w:t>
      </w:r>
      <w:r w:rsidRPr="003A528F">
        <w:rPr>
          <w:szCs w:val="22"/>
        </w:rPr>
        <w:t xml:space="preserve"> Pact 2020.</w:t>
      </w:r>
    </w:p>
    <w:p w:rsidR="00F73023" w:rsidRPr="003A528F" w:rsidRDefault="00F73023" w:rsidP="002F63D7">
      <w:pPr>
        <w:jc w:val="both"/>
        <w:rPr>
          <w:szCs w:val="22"/>
        </w:rPr>
      </w:pPr>
    </w:p>
    <w:p w:rsidR="00F73023" w:rsidRPr="003A528F" w:rsidRDefault="00F73023" w:rsidP="002F63D7">
      <w:pPr>
        <w:numPr>
          <w:ilvl w:val="0"/>
          <w:numId w:val="3"/>
        </w:numPr>
        <w:tabs>
          <w:tab w:val="clear" w:pos="720"/>
          <w:tab w:val="num" w:pos="284"/>
        </w:tabs>
        <w:ind w:left="284" w:hanging="284"/>
        <w:jc w:val="both"/>
        <w:rPr>
          <w:szCs w:val="22"/>
        </w:rPr>
      </w:pPr>
      <w:r>
        <w:rPr>
          <w:szCs w:val="22"/>
        </w:rPr>
        <w:t>Zoals hierboven vermeld, wordt d</w:t>
      </w:r>
      <w:r w:rsidRPr="003A528F">
        <w:rPr>
          <w:szCs w:val="22"/>
        </w:rPr>
        <w:t>it instrument regelmatig geëvalueerd. FIT legt op dit moment de laatste hand aan deze evaluatie, en zal de voorstellen tot bijsturing die hieruit voor</w:t>
      </w:r>
      <w:r>
        <w:rPr>
          <w:szCs w:val="22"/>
        </w:rPr>
        <w:t>tvloeien begin</w:t>
      </w:r>
      <w:r w:rsidRPr="003A528F">
        <w:rPr>
          <w:szCs w:val="22"/>
        </w:rPr>
        <w:t xml:space="preserve"> 2011</w:t>
      </w:r>
      <w:r>
        <w:rPr>
          <w:szCs w:val="22"/>
        </w:rPr>
        <w:t xml:space="preserve"> voorleggen</w:t>
      </w:r>
      <w:r w:rsidRPr="003A528F">
        <w:rPr>
          <w:szCs w:val="22"/>
        </w:rPr>
        <w:t>.</w:t>
      </w:r>
      <w:r>
        <w:rPr>
          <w:szCs w:val="22"/>
        </w:rPr>
        <w:t xml:space="preserve"> V</w:t>
      </w:r>
      <w:r w:rsidRPr="003A528F">
        <w:rPr>
          <w:szCs w:val="22"/>
        </w:rPr>
        <w:t xml:space="preserve">olgende uitgangspunten </w:t>
      </w:r>
      <w:r>
        <w:rPr>
          <w:szCs w:val="22"/>
        </w:rPr>
        <w:t xml:space="preserve">zullen </w:t>
      </w:r>
      <w:r w:rsidRPr="003A528F">
        <w:rPr>
          <w:szCs w:val="22"/>
        </w:rPr>
        <w:t xml:space="preserve">aan de basis </w:t>
      </w:r>
      <w:r>
        <w:rPr>
          <w:szCs w:val="22"/>
        </w:rPr>
        <w:t xml:space="preserve">liggen </w:t>
      </w:r>
      <w:r w:rsidRPr="003A528F">
        <w:rPr>
          <w:szCs w:val="22"/>
        </w:rPr>
        <w:t>van deze bijsturing:</w:t>
      </w:r>
      <w:r>
        <w:rPr>
          <w:szCs w:val="22"/>
        </w:rPr>
        <w:t xml:space="preserve"> (a) e</w:t>
      </w:r>
      <w:r w:rsidRPr="003A528F">
        <w:rPr>
          <w:szCs w:val="22"/>
        </w:rPr>
        <w:t>en betere afstemming op de doelstellingen met betrekking tot internationaal ondernemen z</w:t>
      </w:r>
      <w:r>
        <w:rPr>
          <w:szCs w:val="22"/>
        </w:rPr>
        <w:t>oals opgenomen in het Pact 2020, (b) a</w:t>
      </w:r>
      <w:r w:rsidRPr="003A528F">
        <w:rPr>
          <w:szCs w:val="22"/>
        </w:rPr>
        <w:t>lignering op de strategie van FIT en op de nieuwe beheers</w:t>
      </w:r>
      <w:r>
        <w:rPr>
          <w:szCs w:val="22"/>
        </w:rPr>
        <w:softHyphen/>
      </w:r>
      <w:r w:rsidRPr="003A528F">
        <w:rPr>
          <w:szCs w:val="22"/>
        </w:rPr>
        <w:t>overeenkomst met FIT 2011-2015.</w:t>
      </w:r>
    </w:p>
    <w:p w:rsidR="00F73023" w:rsidRPr="002F63D7" w:rsidRDefault="00F73023" w:rsidP="00FD5BF4"/>
    <w:sectPr w:rsidR="00F73023" w:rsidRPr="002F63D7"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1CA"/>
    <w:multiLevelType w:val="hybridMultilevel"/>
    <w:tmpl w:val="578850C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5263B"/>
    <w:rsid w:val="000865DB"/>
    <w:rsid w:val="000976E9"/>
    <w:rsid w:val="000B36BD"/>
    <w:rsid w:val="000C4E8C"/>
    <w:rsid w:val="000F3532"/>
    <w:rsid w:val="001B6E48"/>
    <w:rsid w:val="001F7390"/>
    <w:rsid w:val="00210C07"/>
    <w:rsid w:val="00266E3B"/>
    <w:rsid w:val="002678C9"/>
    <w:rsid w:val="002738A4"/>
    <w:rsid w:val="002F63D7"/>
    <w:rsid w:val="00326A58"/>
    <w:rsid w:val="003A528F"/>
    <w:rsid w:val="003B3F00"/>
    <w:rsid w:val="00400F44"/>
    <w:rsid w:val="004E2833"/>
    <w:rsid w:val="00566C53"/>
    <w:rsid w:val="005900AD"/>
    <w:rsid w:val="005E38CA"/>
    <w:rsid w:val="0063138E"/>
    <w:rsid w:val="00637F94"/>
    <w:rsid w:val="006548DD"/>
    <w:rsid w:val="0071248C"/>
    <w:rsid w:val="007252C7"/>
    <w:rsid w:val="007474BA"/>
    <w:rsid w:val="00785A0D"/>
    <w:rsid w:val="007B5ACE"/>
    <w:rsid w:val="007F60A8"/>
    <w:rsid w:val="008346AE"/>
    <w:rsid w:val="00894185"/>
    <w:rsid w:val="008A713D"/>
    <w:rsid w:val="008D5DB4"/>
    <w:rsid w:val="00932460"/>
    <w:rsid w:val="009347E0"/>
    <w:rsid w:val="009A7430"/>
    <w:rsid w:val="009D7043"/>
    <w:rsid w:val="00A27BDB"/>
    <w:rsid w:val="00A42280"/>
    <w:rsid w:val="00A76EC9"/>
    <w:rsid w:val="00A804C0"/>
    <w:rsid w:val="00B45EB2"/>
    <w:rsid w:val="00B60F0E"/>
    <w:rsid w:val="00B7462B"/>
    <w:rsid w:val="00BE425A"/>
    <w:rsid w:val="00C0707D"/>
    <w:rsid w:val="00C12266"/>
    <w:rsid w:val="00D71D99"/>
    <w:rsid w:val="00D754F2"/>
    <w:rsid w:val="00DB41C0"/>
    <w:rsid w:val="00DC4DB6"/>
    <w:rsid w:val="00DD19EF"/>
    <w:rsid w:val="00DD4121"/>
    <w:rsid w:val="00DF2F7F"/>
    <w:rsid w:val="00E0710D"/>
    <w:rsid w:val="00E12C5D"/>
    <w:rsid w:val="00E31F4D"/>
    <w:rsid w:val="00E55200"/>
    <w:rsid w:val="00E75830"/>
    <w:rsid w:val="00F22384"/>
    <w:rsid w:val="00F369E3"/>
    <w:rsid w:val="00F406FE"/>
    <w:rsid w:val="00F73023"/>
    <w:rsid w:val="00FA29D6"/>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CDC"/>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BE4CDC"/>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BE4CDC"/>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BE4CDC"/>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2F63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Normal"/>
    <w:uiPriority w:val="99"/>
    <w:rsid w:val="002F63D7"/>
    <w:pPr>
      <w:ind w:left="708"/>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2</Pages>
  <Words>635</Words>
  <Characters>3496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dcterms:created xsi:type="dcterms:W3CDTF">2010-11-19T08:36:00Z</dcterms:created>
  <dcterms:modified xsi:type="dcterms:W3CDTF">2010-11-22T15:13:00Z</dcterms:modified>
</cp:coreProperties>
</file>