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163" w:rsidRPr="00D65107" w:rsidRDefault="007E0163" w:rsidP="00C928B0">
      <w:pPr>
        <w:jc w:val="both"/>
        <w:rPr>
          <w:rFonts w:ascii="Times New Roman Vet" w:hAnsi="Times New Roman Vet"/>
          <w:b/>
          <w:smallCaps/>
          <w:sz w:val="22"/>
          <w:szCs w:val="22"/>
          <w:lang w:val="nl-BE"/>
        </w:rPr>
      </w:pPr>
      <w:r w:rsidRPr="00D65107">
        <w:rPr>
          <w:rFonts w:ascii="Times New Roman Vet" w:hAnsi="Times New Roman Vet"/>
          <w:b/>
          <w:smallCaps/>
          <w:sz w:val="22"/>
          <w:szCs w:val="22"/>
          <w:lang w:val="nl-BE"/>
        </w:rPr>
        <w:t xml:space="preserve">joke schauvliege </w:t>
      </w:r>
    </w:p>
    <w:p w:rsidR="007E0163" w:rsidRDefault="007E0163" w:rsidP="00C928B0">
      <w:pPr>
        <w:jc w:val="both"/>
        <w:rPr>
          <w:lang w:val="nl-BE"/>
        </w:rPr>
      </w:pPr>
      <w:r w:rsidRPr="00D65107">
        <w:rPr>
          <w:smallCaps/>
          <w:sz w:val="22"/>
          <w:szCs w:val="22"/>
          <w:lang w:val="nl-BE"/>
        </w:rPr>
        <w:t>vlaams minister van leefmilieu, natuur en cultuur</w:t>
      </w:r>
    </w:p>
    <w:p w:rsidR="007E0163" w:rsidRPr="00EC684F" w:rsidRDefault="007E0163" w:rsidP="00C928B0">
      <w:pPr>
        <w:pStyle w:val="StandaardSV"/>
        <w:pBdr>
          <w:bottom w:val="single" w:sz="4" w:space="1" w:color="auto"/>
        </w:pBdr>
        <w:rPr>
          <w:lang w:val="nl-BE"/>
        </w:rPr>
      </w:pPr>
    </w:p>
    <w:p w:rsidR="007E0163" w:rsidRDefault="007E0163" w:rsidP="00C928B0">
      <w:pPr>
        <w:jc w:val="both"/>
        <w:rPr>
          <w:sz w:val="22"/>
        </w:rPr>
      </w:pPr>
    </w:p>
    <w:p w:rsidR="007E0163" w:rsidRPr="005B1CED" w:rsidRDefault="007E0163" w:rsidP="00C928B0">
      <w:pPr>
        <w:jc w:val="both"/>
        <w:rPr>
          <w:rFonts w:ascii="Times New Roman Vet" w:hAnsi="Times New Roman Vet"/>
          <w:b/>
          <w:smallCaps/>
          <w:sz w:val="22"/>
        </w:rPr>
      </w:pPr>
      <w:r>
        <w:rPr>
          <w:rFonts w:ascii="Times New Roman Vet" w:hAnsi="Times New Roman Vet"/>
          <w:b/>
          <w:smallCaps/>
          <w:sz w:val="22"/>
        </w:rPr>
        <w:t>antwoord</w:t>
      </w:r>
    </w:p>
    <w:p w:rsidR="007E0163" w:rsidRDefault="007E0163" w:rsidP="00C928B0">
      <w:pPr>
        <w:jc w:val="both"/>
        <w:rPr>
          <w:sz w:val="22"/>
        </w:rPr>
      </w:pPr>
      <w:r>
        <w:rPr>
          <w:sz w:val="22"/>
        </w:rPr>
        <w:t>op vraag nr. 62 van 15 oktober 2010</w:t>
      </w:r>
    </w:p>
    <w:p w:rsidR="007E0163" w:rsidRDefault="007E0163" w:rsidP="00C928B0">
      <w:pPr>
        <w:jc w:val="both"/>
        <w:rPr>
          <w:b/>
          <w:sz w:val="22"/>
        </w:rPr>
      </w:pPr>
      <w:r>
        <w:rPr>
          <w:sz w:val="22"/>
        </w:rPr>
        <w:t xml:space="preserve">van </w:t>
      </w:r>
      <w:r>
        <w:rPr>
          <w:b/>
          <w:smallCaps/>
          <w:sz w:val="22"/>
        </w:rPr>
        <w:t>tinne rombouts</w:t>
      </w:r>
    </w:p>
    <w:p w:rsidR="007E0163" w:rsidRDefault="007E0163" w:rsidP="00C928B0">
      <w:pPr>
        <w:pBdr>
          <w:bottom w:val="single" w:sz="4" w:space="1" w:color="auto"/>
        </w:pBdr>
        <w:jc w:val="both"/>
        <w:rPr>
          <w:sz w:val="22"/>
        </w:rPr>
      </w:pPr>
    </w:p>
    <w:p w:rsidR="007E0163" w:rsidRDefault="007E0163" w:rsidP="00C928B0">
      <w:pPr>
        <w:pStyle w:val="StandaardSV"/>
      </w:pPr>
    </w:p>
    <w:p w:rsidR="007E0163" w:rsidRDefault="007E0163" w:rsidP="00C928B0">
      <w:pPr>
        <w:pStyle w:val="StandaardSV"/>
      </w:pPr>
    </w:p>
    <w:p w:rsidR="007E0163" w:rsidRPr="004172D1" w:rsidRDefault="007E0163" w:rsidP="005B1CED">
      <w:pPr>
        <w:pStyle w:val="StandaardSV"/>
        <w:numPr>
          <w:ilvl w:val="0"/>
          <w:numId w:val="2"/>
        </w:numPr>
      </w:pPr>
      <w:r w:rsidRPr="004172D1">
        <w:t xml:space="preserve">Elke landbouwer en elke gestopte producent met nutriëntenhalte </w:t>
      </w:r>
      <w:r>
        <w:t>ontving</w:t>
      </w:r>
      <w:r w:rsidRPr="004172D1">
        <w:t xml:space="preserve"> van de Mestbank </w:t>
      </w:r>
      <w:r>
        <w:t xml:space="preserve">een schrijven </w:t>
      </w:r>
      <w:r w:rsidRPr="004172D1">
        <w:t xml:space="preserve">met zijn aantal toegekende NER-D. De producenten kregen enkel een toekenning als ze voldeden aan de voorwaarden beschreven in artikel 83, §5 van het Mestdecreet. </w:t>
      </w:r>
    </w:p>
    <w:p w:rsidR="007E0163" w:rsidRPr="004172D1" w:rsidRDefault="007E0163" w:rsidP="00C928B0">
      <w:pPr>
        <w:pStyle w:val="StandaardSV"/>
      </w:pPr>
    </w:p>
    <w:p w:rsidR="007E0163" w:rsidRDefault="007E0163" w:rsidP="005B1CED">
      <w:pPr>
        <w:pStyle w:val="StandaardSV"/>
        <w:ind w:left="360"/>
      </w:pPr>
      <w:r w:rsidRPr="004172D1">
        <w:t xml:space="preserve">Bijna 90% van de landbouwers en de producenten heeft zijn toekenning NER-D ontvangen in </w:t>
      </w:r>
      <w:smartTag w:uri="urn:schemas-microsoft-com:office:smarttags" w:element="metricconverter">
        <w:smartTagPr>
          <w:attr w:name="ProductID" w:val="2007. In"/>
        </w:smartTagPr>
        <w:r w:rsidRPr="004172D1">
          <w:t>2007. In</w:t>
        </w:r>
      </w:smartTag>
      <w:r w:rsidRPr="004172D1">
        <w:t xml:space="preserve"> 2008 beschikte bijna 99% van de landbouwers en producenten over hun toekenning en eind 2009 bedroeg dit 99,96%. Dit voorjaar hebben de laatste 17 landbouwers hun definitieve toekenning ontvangen. </w:t>
      </w:r>
    </w:p>
    <w:p w:rsidR="007E0163" w:rsidRPr="004172D1" w:rsidRDefault="007E0163" w:rsidP="00C928B0">
      <w:pPr>
        <w:pStyle w:val="StandaardSV"/>
      </w:pPr>
    </w:p>
    <w:p w:rsidR="007E0163" w:rsidRPr="004172D1" w:rsidRDefault="007E0163" w:rsidP="005B1CED">
      <w:pPr>
        <w:pStyle w:val="StandaardSV"/>
        <w:ind w:left="360"/>
      </w:pPr>
      <w:r w:rsidRPr="004172D1">
        <w:t>Elk bedrijf heeft dus tot op heden zijn toekenning van NER-D ontvange</w:t>
      </w:r>
      <w:r>
        <w:t>n en weet dus hoeveel dieren het</w:t>
      </w:r>
      <w:r w:rsidRPr="004172D1">
        <w:t xml:space="preserve"> jaarlijks gemiddeld mag houden. Tevens werden de landbouwers </w:t>
      </w:r>
      <w:r>
        <w:t>aan wie</w:t>
      </w:r>
      <w:r w:rsidRPr="004172D1">
        <w:t xml:space="preserve"> geen NER-D </w:t>
      </w:r>
      <w:r>
        <w:t>konden worden toegekend</w:t>
      </w:r>
      <w:r w:rsidRPr="004172D1">
        <w:t xml:space="preserve"> al in 2007 aangeschreven om hen te melden dat ze niet over nutriëntenemissierechten beschikken en dus niet meer dieren mogen houden dan overeenkomend met </w:t>
      </w:r>
      <w:smartTag w:uri="urn:schemas-microsoft-com:office:smarttags" w:element="metricconverter">
        <w:smartTagPr>
          <w:attr w:name="ProductID" w:val="300 kg"/>
        </w:smartTagPr>
        <w:r w:rsidRPr="004172D1">
          <w:t>300 kg</w:t>
        </w:r>
      </w:smartTag>
      <w:r w:rsidRPr="004172D1">
        <w:t xml:space="preserve"> P</w:t>
      </w:r>
      <w:r w:rsidRPr="004172D1">
        <w:rPr>
          <w:vertAlign w:val="subscript"/>
        </w:rPr>
        <w:t>2</w:t>
      </w:r>
      <w:r w:rsidRPr="004172D1">
        <w:t>O</w:t>
      </w:r>
      <w:r w:rsidRPr="004172D1">
        <w:rPr>
          <w:vertAlign w:val="subscript"/>
        </w:rPr>
        <w:t>5</w:t>
      </w:r>
      <w:r w:rsidRPr="004172D1">
        <w:t xml:space="preserve">. </w:t>
      </w:r>
    </w:p>
    <w:p w:rsidR="007E0163" w:rsidRPr="004172D1" w:rsidRDefault="007E0163" w:rsidP="00C928B0">
      <w:pPr>
        <w:pStyle w:val="StandaardSV"/>
      </w:pPr>
    </w:p>
    <w:p w:rsidR="007E0163" w:rsidRPr="004172D1" w:rsidRDefault="007E0163" w:rsidP="005B1CED">
      <w:pPr>
        <w:pStyle w:val="StandaardSV"/>
        <w:ind w:left="360"/>
      </w:pPr>
      <w:r w:rsidRPr="004172D1">
        <w:t xml:space="preserve">Tabel 1. </w:t>
      </w:r>
      <w:r>
        <w:t>g</w:t>
      </w:r>
      <w:r w:rsidRPr="004172D1">
        <w:t>eeft een overzicht van het aantal landbouwers die hun toekenning van nutriëntenemissie</w:t>
      </w:r>
      <w:r>
        <w:softHyphen/>
      </w:r>
      <w:r w:rsidRPr="004172D1">
        <w:t>rechten hebben gekregen per provincie en per jaar.</w:t>
      </w:r>
    </w:p>
    <w:p w:rsidR="007E0163" w:rsidRPr="004172D1" w:rsidRDefault="007E0163" w:rsidP="00C928B0">
      <w:pPr>
        <w:pStyle w:val="StandaardSV"/>
        <w:ind w:left="360"/>
      </w:pPr>
    </w:p>
    <w:p w:rsidR="007E0163" w:rsidRPr="004172D1" w:rsidRDefault="007E0163" w:rsidP="00C928B0">
      <w:pPr>
        <w:pStyle w:val="StandaardSV"/>
        <w:ind w:left="360"/>
      </w:pPr>
      <w:r w:rsidRPr="004172D1">
        <w:t xml:space="preserve">Tabel 1. Het aantal </w:t>
      </w:r>
      <w:r>
        <w:t xml:space="preserve">landbouwers met </w:t>
      </w:r>
      <w:r w:rsidRPr="004172D1">
        <w:t>toekenningen NER-D per provincie en per jaar</w:t>
      </w:r>
    </w:p>
    <w:tbl>
      <w:tblPr>
        <w:tblW w:w="7100" w:type="dxa"/>
        <w:tblInd w:w="988" w:type="dxa"/>
        <w:tblCellMar>
          <w:left w:w="70" w:type="dxa"/>
          <w:right w:w="70" w:type="dxa"/>
        </w:tblCellMar>
        <w:tblLook w:val="00A0"/>
      </w:tblPr>
      <w:tblGrid>
        <w:gridCol w:w="2709"/>
        <w:gridCol w:w="691"/>
        <w:gridCol w:w="880"/>
        <w:gridCol w:w="880"/>
        <w:gridCol w:w="880"/>
        <w:gridCol w:w="1060"/>
      </w:tblGrid>
      <w:tr w:rsidR="007E0163" w:rsidRPr="004172D1" w:rsidTr="005B1CED">
        <w:trPr>
          <w:trHeight w:val="300"/>
        </w:trPr>
        <w:tc>
          <w:tcPr>
            <w:tcW w:w="2709" w:type="dxa"/>
            <w:tcBorders>
              <w:top w:val="single" w:sz="4" w:space="0" w:color="000000"/>
              <w:left w:val="single" w:sz="4" w:space="0" w:color="000000"/>
              <w:bottom w:val="nil"/>
              <w:right w:val="nil"/>
            </w:tcBorders>
            <w:noWrap/>
            <w:vAlign w:val="bottom"/>
          </w:tcPr>
          <w:p w:rsidR="007E0163" w:rsidRPr="004172D1" w:rsidRDefault="007E0163" w:rsidP="00B8093F">
            <w:pPr>
              <w:rPr>
                <w:color w:val="000000"/>
                <w:szCs w:val="22"/>
                <w:lang w:val="nl-BE" w:eastAsia="nl-BE"/>
              </w:rPr>
            </w:pPr>
          </w:p>
        </w:tc>
        <w:tc>
          <w:tcPr>
            <w:tcW w:w="691" w:type="dxa"/>
            <w:tcBorders>
              <w:top w:val="single" w:sz="4" w:space="0" w:color="000000"/>
              <w:left w:val="single" w:sz="4" w:space="0" w:color="000000"/>
              <w:bottom w:val="nil"/>
              <w:right w:val="nil"/>
            </w:tcBorders>
            <w:noWrap/>
            <w:vAlign w:val="bottom"/>
          </w:tcPr>
          <w:p w:rsidR="007E0163" w:rsidRPr="004172D1" w:rsidRDefault="007E0163" w:rsidP="00B8093F">
            <w:pPr>
              <w:rPr>
                <w:color w:val="000000"/>
                <w:szCs w:val="22"/>
                <w:lang w:val="nl-BE" w:eastAsia="nl-BE"/>
              </w:rPr>
            </w:pPr>
            <w:r w:rsidRPr="004172D1">
              <w:rPr>
                <w:color w:val="000000"/>
                <w:sz w:val="22"/>
                <w:szCs w:val="22"/>
                <w:lang w:val="nl-BE" w:eastAsia="nl-BE"/>
              </w:rPr>
              <w:t>JAAR</w:t>
            </w:r>
          </w:p>
        </w:tc>
        <w:tc>
          <w:tcPr>
            <w:tcW w:w="880" w:type="dxa"/>
            <w:tcBorders>
              <w:top w:val="single" w:sz="4" w:space="0" w:color="000000"/>
              <w:left w:val="nil"/>
              <w:bottom w:val="nil"/>
              <w:right w:val="nil"/>
            </w:tcBorders>
            <w:noWrap/>
            <w:vAlign w:val="bottom"/>
          </w:tcPr>
          <w:p w:rsidR="007E0163" w:rsidRPr="004172D1" w:rsidRDefault="007E0163" w:rsidP="00B8093F">
            <w:pPr>
              <w:rPr>
                <w:color w:val="000000"/>
                <w:szCs w:val="22"/>
                <w:lang w:val="nl-BE" w:eastAsia="nl-BE"/>
              </w:rPr>
            </w:pPr>
            <w:r w:rsidRPr="004172D1">
              <w:rPr>
                <w:color w:val="000000"/>
                <w:sz w:val="22"/>
                <w:szCs w:val="22"/>
                <w:lang w:val="nl-BE" w:eastAsia="nl-BE"/>
              </w:rPr>
              <w:t> </w:t>
            </w:r>
          </w:p>
        </w:tc>
        <w:tc>
          <w:tcPr>
            <w:tcW w:w="880" w:type="dxa"/>
            <w:tcBorders>
              <w:top w:val="single" w:sz="4" w:space="0" w:color="000000"/>
              <w:left w:val="nil"/>
              <w:bottom w:val="nil"/>
              <w:right w:val="nil"/>
            </w:tcBorders>
            <w:noWrap/>
            <w:vAlign w:val="bottom"/>
          </w:tcPr>
          <w:p w:rsidR="007E0163" w:rsidRPr="004172D1" w:rsidRDefault="007E0163" w:rsidP="00B8093F">
            <w:pPr>
              <w:rPr>
                <w:color w:val="000000"/>
                <w:szCs w:val="22"/>
                <w:lang w:val="nl-BE" w:eastAsia="nl-BE"/>
              </w:rPr>
            </w:pPr>
            <w:r w:rsidRPr="004172D1">
              <w:rPr>
                <w:color w:val="000000"/>
                <w:sz w:val="22"/>
                <w:szCs w:val="22"/>
                <w:lang w:val="nl-BE" w:eastAsia="nl-BE"/>
              </w:rPr>
              <w:t> </w:t>
            </w:r>
          </w:p>
        </w:tc>
        <w:tc>
          <w:tcPr>
            <w:tcW w:w="880" w:type="dxa"/>
            <w:tcBorders>
              <w:top w:val="single" w:sz="4" w:space="0" w:color="000000"/>
              <w:left w:val="nil"/>
              <w:bottom w:val="nil"/>
              <w:right w:val="nil"/>
            </w:tcBorders>
            <w:noWrap/>
            <w:vAlign w:val="bottom"/>
          </w:tcPr>
          <w:p w:rsidR="007E0163" w:rsidRPr="004172D1" w:rsidRDefault="007E0163" w:rsidP="00B8093F">
            <w:pPr>
              <w:rPr>
                <w:color w:val="000000"/>
                <w:szCs w:val="22"/>
                <w:lang w:val="nl-BE" w:eastAsia="nl-BE"/>
              </w:rPr>
            </w:pPr>
            <w:r w:rsidRPr="004172D1">
              <w:rPr>
                <w:color w:val="000000"/>
                <w:sz w:val="22"/>
                <w:szCs w:val="22"/>
                <w:lang w:val="nl-BE" w:eastAsia="nl-BE"/>
              </w:rPr>
              <w:t> </w:t>
            </w:r>
          </w:p>
        </w:tc>
        <w:tc>
          <w:tcPr>
            <w:tcW w:w="1060" w:type="dxa"/>
            <w:tcBorders>
              <w:top w:val="single" w:sz="4" w:space="0" w:color="000000"/>
              <w:left w:val="nil"/>
              <w:bottom w:val="nil"/>
              <w:right w:val="single" w:sz="4" w:space="0" w:color="000000"/>
            </w:tcBorders>
            <w:noWrap/>
            <w:vAlign w:val="bottom"/>
          </w:tcPr>
          <w:p w:rsidR="007E0163" w:rsidRPr="004172D1" w:rsidRDefault="007E0163" w:rsidP="00B8093F">
            <w:pPr>
              <w:rPr>
                <w:color w:val="000000"/>
                <w:szCs w:val="22"/>
                <w:lang w:val="nl-BE" w:eastAsia="nl-BE"/>
              </w:rPr>
            </w:pPr>
            <w:r w:rsidRPr="004172D1">
              <w:rPr>
                <w:color w:val="000000"/>
                <w:sz w:val="22"/>
                <w:szCs w:val="22"/>
                <w:lang w:val="nl-BE" w:eastAsia="nl-BE"/>
              </w:rPr>
              <w:t> </w:t>
            </w:r>
          </w:p>
        </w:tc>
      </w:tr>
      <w:tr w:rsidR="007E0163" w:rsidRPr="004172D1" w:rsidTr="005B1CED">
        <w:trPr>
          <w:trHeight w:val="300"/>
        </w:trPr>
        <w:tc>
          <w:tcPr>
            <w:tcW w:w="2709" w:type="dxa"/>
            <w:tcBorders>
              <w:top w:val="single" w:sz="4" w:space="0" w:color="000000"/>
              <w:left w:val="single" w:sz="4" w:space="0" w:color="000000"/>
              <w:bottom w:val="nil"/>
              <w:right w:val="nil"/>
            </w:tcBorders>
            <w:noWrap/>
            <w:vAlign w:val="bottom"/>
          </w:tcPr>
          <w:p w:rsidR="007E0163" w:rsidRPr="004172D1" w:rsidRDefault="007E0163" w:rsidP="00B8093F">
            <w:pPr>
              <w:rPr>
                <w:color w:val="000000"/>
                <w:szCs w:val="22"/>
                <w:lang w:val="nl-BE" w:eastAsia="nl-BE"/>
              </w:rPr>
            </w:pPr>
            <w:r w:rsidRPr="004172D1">
              <w:rPr>
                <w:color w:val="000000"/>
                <w:sz w:val="22"/>
                <w:szCs w:val="22"/>
                <w:lang w:val="nl-BE" w:eastAsia="nl-BE"/>
              </w:rPr>
              <w:t>Provincie</w:t>
            </w:r>
          </w:p>
        </w:tc>
        <w:tc>
          <w:tcPr>
            <w:tcW w:w="691" w:type="dxa"/>
            <w:tcBorders>
              <w:top w:val="single" w:sz="4" w:space="0" w:color="000000"/>
              <w:left w:val="single" w:sz="4" w:space="0" w:color="000000"/>
              <w:bottom w:val="nil"/>
              <w:right w:val="nil"/>
            </w:tcBorders>
            <w:noWrap/>
            <w:vAlign w:val="bottom"/>
          </w:tcPr>
          <w:p w:rsidR="007E0163" w:rsidRPr="004172D1" w:rsidRDefault="007E0163" w:rsidP="00B8093F">
            <w:pPr>
              <w:jc w:val="right"/>
              <w:rPr>
                <w:color w:val="000000"/>
                <w:szCs w:val="22"/>
                <w:lang w:val="nl-BE" w:eastAsia="nl-BE"/>
              </w:rPr>
            </w:pPr>
            <w:r w:rsidRPr="004172D1">
              <w:rPr>
                <w:color w:val="000000"/>
                <w:sz w:val="22"/>
                <w:szCs w:val="22"/>
                <w:lang w:val="nl-BE" w:eastAsia="nl-BE"/>
              </w:rPr>
              <w:t>2007</w:t>
            </w:r>
          </w:p>
        </w:tc>
        <w:tc>
          <w:tcPr>
            <w:tcW w:w="880" w:type="dxa"/>
            <w:tcBorders>
              <w:top w:val="single" w:sz="4" w:space="0" w:color="000000"/>
              <w:left w:val="nil"/>
              <w:bottom w:val="nil"/>
              <w:right w:val="nil"/>
            </w:tcBorders>
            <w:noWrap/>
            <w:vAlign w:val="bottom"/>
          </w:tcPr>
          <w:p w:rsidR="007E0163" w:rsidRPr="004172D1" w:rsidRDefault="007E0163" w:rsidP="00B8093F">
            <w:pPr>
              <w:jc w:val="right"/>
              <w:rPr>
                <w:color w:val="000000"/>
                <w:szCs w:val="22"/>
                <w:lang w:val="nl-BE" w:eastAsia="nl-BE"/>
              </w:rPr>
            </w:pPr>
            <w:r w:rsidRPr="004172D1">
              <w:rPr>
                <w:color w:val="000000"/>
                <w:sz w:val="22"/>
                <w:szCs w:val="22"/>
                <w:lang w:val="nl-BE" w:eastAsia="nl-BE"/>
              </w:rPr>
              <w:t>2008</w:t>
            </w:r>
          </w:p>
        </w:tc>
        <w:tc>
          <w:tcPr>
            <w:tcW w:w="880" w:type="dxa"/>
            <w:tcBorders>
              <w:top w:val="single" w:sz="4" w:space="0" w:color="000000"/>
              <w:left w:val="nil"/>
              <w:bottom w:val="nil"/>
              <w:right w:val="nil"/>
            </w:tcBorders>
            <w:noWrap/>
            <w:vAlign w:val="bottom"/>
          </w:tcPr>
          <w:p w:rsidR="007E0163" w:rsidRPr="004172D1" w:rsidRDefault="007E0163" w:rsidP="00B8093F">
            <w:pPr>
              <w:jc w:val="right"/>
              <w:rPr>
                <w:color w:val="000000"/>
                <w:szCs w:val="22"/>
                <w:lang w:val="nl-BE" w:eastAsia="nl-BE"/>
              </w:rPr>
            </w:pPr>
            <w:r w:rsidRPr="004172D1">
              <w:rPr>
                <w:color w:val="000000"/>
                <w:sz w:val="22"/>
                <w:szCs w:val="22"/>
                <w:lang w:val="nl-BE" w:eastAsia="nl-BE"/>
              </w:rPr>
              <w:t>2009</w:t>
            </w:r>
          </w:p>
        </w:tc>
        <w:tc>
          <w:tcPr>
            <w:tcW w:w="880" w:type="dxa"/>
            <w:tcBorders>
              <w:top w:val="single" w:sz="4" w:space="0" w:color="000000"/>
              <w:left w:val="nil"/>
              <w:bottom w:val="nil"/>
              <w:right w:val="nil"/>
            </w:tcBorders>
            <w:noWrap/>
            <w:vAlign w:val="bottom"/>
          </w:tcPr>
          <w:p w:rsidR="007E0163" w:rsidRPr="004172D1" w:rsidRDefault="007E0163" w:rsidP="00B8093F">
            <w:pPr>
              <w:jc w:val="right"/>
              <w:rPr>
                <w:color w:val="000000"/>
                <w:szCs w:val="22"/>
                <w:lang w:val="nl-BE" w:eastAsia="nl-BE"/>
              </w:rPr>
            </w:pPr>
            <w:r w:rsidRPr="004172D1">
              <w:rPr>
                <w:color w:val="000000"/>
                <w:sz w:val="22"/>
                <w:szCs w:val="22"/>
                <w:lang w:val="nl-BE" w:eastAsia="nl-BE"/>
              </w:rPr>
              <w:t>2010</w:t>
            </w:r>
          </w:p>
        </w:tc>
        <w:tc>
          <w:tcPr>
            <w:tcW w:w="1060" w:type="dxa"/>
            <w:tcBorders>
              <w:top w:val="single" w:sz="4" w:space="0" w:color="000000"/>
              <w:left w:val="single" w:sz="4" w:space="0" w:color="000000"/>
              <w:bottom w:val="nil"/>
              <w:right w:val="single" w:sz="4" w:space="0" w:color="000000"/>
            </w:tcBorders>
            <w:noWrap/>
            <w:vAlign w:val="bottom"/>
          </w:tcPr>
          <w:p w:rsidR="007E0163" w:rsidRPr="004172D1" w:rsidRDefault="007E0163" w:rsidP="00B8093F">
            <w:pPr>
              <w:rPr>
                <w:color w:val="000000"/>
                <w:szCs w:val="22"/>
                <w:lang w:val="nl-BE" w:eastAsia="nl-BE"/>
              </w:rPr>
            </w:pPr>
            <w:r w:rsidRPr="004172D1">
              <w:rPr>
                <w:color w:val="000000"/>
                <w:sz w:val="22"/>
                <w:szCs w:val="22"/>
                <w:lang w:val="nl-BE" w:eastAsia="nl-BE"/>
              </w:rPr>
              <w:t>Eindtotaal</w:t>
            </w:r>
          </w:p>
        </w:tc>
      </w:tr>
      <w:tr w:rsidR="007E0163" w:rsidRPr="004172D1" w:rsidTr="005B1CED">
        <w:trPr>
          <w:trHeight w:val="300"/>
        </w:trPr>
        <w:tc>
          <w:tcPr>
            <w:tcW w:w="2709" w:type="dxa"/>
            <w:tcBorders>
              <w:top w:val="single" w:sz="4" w:space="0" w:color="000000"/>
              <w:left w:val="single" w:sz="4" w:space="0" w:color="000000"/>
              <w:bottom w:val="nil"/>
              <w:right w:val="nil"/>
            </w:tcBorders>
            <w:noWrap/>
            <w:vAlign w:val="bottom"/>
          </w:tcPr>
          <w:p w:rsidR="007E0163" w:rsidRPr="004172D1" w:rsidRDefault="007E0163" w:rsidP="00B8093F">
            <w:pPr>
              <w:rPr>
                <w:color w:val="000000"/>
                <w:szCs w:val="22"/>
                <w:lang w:val="nl-BE" w:eastAsia="nl-BE"/>
              </w:rPr>
            </w:pPr>
            <w:r w:rsidRPr="004172D1">
              <w:rPr>
                <w:color w:val="000000"/>
                <w:sz w:val="22"/>
                <w:szCs w:val="22"/>
                <w:lang w:val="nl-BE" w:eastAsia="nl-BE"/>
              </w:rPr>
              <w:t>Provincie West-Vlaanderen</w:t>
            </w:r>
          </w:p>
        </w:tc>
        <w:tc>
          <w:tcPr>
            <w:tcW w:w="691" w:type="dxa"/>
            <w:tcBorders>
              <w:top w:val="single" w:sz="4" w:space="0" w:color="000000"/>
              <w:left w:val="single" w:sz="4" w:space="0" w:color="000000"/>
              <w:bottom w:val="nil"/>
              <w:right w:val="nil"/>
            </w:tcBorders>
            <w:noWrap/>
            <w:vAlign w:val="bottom"/>
          </w:tcPr>
          <w:p w:rsidR="007E0163" w:rsidRPr="004172D1" w:rsidRDefault="007E0163" w:rsidP="00B8093F">
            <w:pPr>
              <w:jc w:val="right"/>
              <w:rPr>
                <w:color w:val="000000"/>
                <w:szCs w:val="22"/>
                <w:lang w:val="nl-BE" w:eastAsia="nl-BE"/>
              </w:rPr>
            </w:pPr>
            <w:r w:rsidRPr="004172D1">
              <w:rPr>
                <w:color w:val="000000"/>
                <w:sz w:val="22"/>
                <w:szCs w:val="22"/>
                <w:lang w:val="nl-BE" w:eastAsia="nl-BE"/>
              </w:rPr>
              <w:t>12914</w:t>
            </w:r>
          </w:p>
        </w:tc>
        <w:tc>
          <w:tcPr>
            <w:tcW w:w="880" w:type="dxa"/>
            <w:tcBorders>
              <w:top w:val="single" w:sz="4" w:space="0" w:color="000000"/>
              <w:left w:val="nil"/>
              <w:bottom w:val="nil"/>
              <w:right w:val="nil"/>
            </w:tcBorders>
            <w:noWrap/>
            <w:vAlign w:val="bottom"/>
          </w:tcPr>
          <w:p w:rsidR="007E0163" w:rsidRPr="004172D1" w:rsidRDefault="007E0163" w:rsidP="00B8093F">
            <w:pPr>
              <w:jc w:val="right"/>
              <w:rPr>
                <w:color w:val="000000"/>
                <w:szCs w:val="22"/>
                <w:lang w:val="nl-BE" w:eastAsia="nl-BE"/>
              </w:rPr>
            </w:pPr>
            <w:r w:rsidRPr="004172D1">
              <w:rPr>
                <w:color w:val="000000"/>
                <w:sz w:val="22"/>
                <w:szCs w:val="22"/>
                <w:lang w:val="nl-BE" w:eastAsia="nl-BE"/>
              </w:rPr>
              <w:t>937</w:t>
            </w:r>
          </w:p>
        </w:tc>
        <w:tc>
          <w:tcPr>
            <w:tcW w:w="880" w:type="dxa"/>
            <w:tcBorders>
              <w:top w:val="single" w:sz="4" w:space="0" w:color="000000"/>
              <w:left w:val="nil"/>
              <w:bottom w:val="nil"/>
              <w:right w:val="nil"/>
            </w:tcBorders>
            <w:noWrap/>
            <w:vAlign w:val="bottom"/>
          </w:tcPr>
          <w:p w:rsidR="007E0163" w:rsidRPr="004172D1" w:rsidRDefault="007E0163" w:rsidP="00B8093F">
            <w:pPr>
              <w:jc w:val="right"/>
              <w:rPr>
                <w:color w:val="000000"/>
                <w:szCs w:val="22"/>
                <w:lang w:val="nl-BE" w:eastAsia="nl-BE"/>
              </w:rPr>
            </w:pPr>
            <w:r w:rsidRPr="004172D1">
              <w:rPr>
                <w:color w:val="000000"/>
                <w:sz w:val="22"/>
                <w:szCs w:val="22"/>
                <w:lang w:val="nl-BE" w:eastAsia="nl-BE"/>
              </w:rPr>
              <w:t>130</w:t>
            </w:r>
          </w:p>
        </w:tc>
        <w:tc>
          <w:tcPr>
            <w:tcW w:w="880" w:type="dxa"/>
            <w:tcBorders>
              <w:top w:val="single" w:sz="4" w:space="0" w:color="000000"/>
              <w:left w:val="nil"/>
              <w:bottom w:val="nil"/>
              <w:right w:val="nil"/>
            </w:tcBorders>
            <w:noWrap/>
            <w:vAlign w:val="bottom"/>
          </w:tcPr>
          <w:p w:rsidR="007E0163" w:rsidRPr="004172D1" w:rsidRDefault="007E0163" w:rsidP="00B8093F">
            <w:pPr>
              <w:jc w:val="right"/>
              <w:rPr>
                <w:color w:val="000000"/>
                <w:szCs w:val="22"/>
                <w:lang w:val="nl-BE" w:eastAsia="nl-BE"/>
              </w:rPr>
            </w:pPr>
            <w:r w:rsidRPr="004172D1">
              <w:rPr>
                <w:color w:val="000000"/>
                <w:sz w:val="22"/>
                <w:szCs w:val="22"/>
                <w:lang w:val="nl-BE" w:eastAsia="nl-BE"/>
              </w:rPr>
              <w:t>1</w:t>
            </w:r>
          </w:p>
        </w:tc>
        <w:tc>
          <w:tcPr>
            <w:tcW w:w="1060" w:type="dxa"/>
            <w:tcBorders>
              <w:top w:val="single" w:sz="4" w:space="0" w:color="000000"/>
              <w:left w:val="single" w:sz="4" w:space="0" w:color="000000"/>
              <w:bottom w:val="nil"/>
              <w:right w:val="single" w:sz="4" w:space="0" w:color="000000"/>
            </w:tcBorders>
            <w:noWrap/>
            <w:vAlign w:val="bottom"/>
          </w:tcPr>
          <w:p w:rsidR="007E0163" w:rsidRPr="004172D1" w:rsidRDefault="007E0163" w:rsidP="00B8093F">
            <w:pPr>
              <w:jc w:val="right"/>
              <w:rPr>
                <w:color w:val="000000"/>
                <w:szCs w:val="22"/>
                <w:lang w:val="nl-BE" w:eastAsia="nl-BE"/>
              </w:rPr>
            </w:pPr>
            <w:r w:rsidRPr="004172D1">
              <w:rPr>
                <w:color w:val="000000"/>
                <w:sz w:val="22"/>
                <w:szCs w:val="22"/>
                <w:lang w:val="nl-BE" w:eastAsia="nl-BE"/>
              </w:rPr>
              <w:t>13982</w:t>
            </w:r>
          </w:p>
        </w:tc>
      </w:tr>
      <w:tr w:rsidR="007E0163" w:rsidRPr="004172D1" w:rsidTr="005B1CED">
        <w:trPr>
          <w:trHeight w:val="300"/>
        </w:trPr>
        <w:tc>
          <w:tcPr>
            <w:tcW w:w="2709" w:type="dxa"/>
            <w:tcBorders>
              <w:top w:val="nil"/>
              <w:left w:val="single" w:sz="4" w:space="0" w:color="000000"/>
              <w:bottom w:val="nil"/>
              <w:right w:val="nil"/>
            </w:tcBorders>
            <w:noWrap/>
            <w:vAlign w:val="bottom"/>
          </w:tcPr>
          <w:p w:rsidR="007E0163" w:rsidRPr="004172D1" w:rsidRDefault="007E0163" w:rsidP="00B8093F">
            <w:pPr>
              <w:rPr>
                <w:color w:val="000000"/>
                <w:szCs w:val="22"/>
                <w:lang w:val="nl-BE" w:eastAsia="nl-BE"/>
              </w:rPr>
            </w:pPr>
            <w:r w:rsidRPr="004172D1">
              <w:rPr>
                <w:color w:val="000000"/>
                <w:sz w:val="22"/>
                <w:szCs w:val="22"/>
                <w:lang w:val="nl-BE" w:eastAsia="nl-BE"/>
              </w:rPr>
              <w:t>Provincie Oost-Vlaanderen</w:t>
            </w:r>
          </w:p>
        </w:tc>
        <w:tc>
          <w:tcPr>
            <w:tcW w:w="691" w:type="dxa"/>
            <w:tcBorders>
              <w:top w:val="nil"/>
              <w:left w:val="single" w:sz="4" w:space="0" w:color="000000"/>
              <w:bottom w:val="nil"/>
              <w:right w:val="nil"/>
            </w:tcBorders>
            <w:noWrap/>
            <w:vAlign w:val="bottom"/>
          </w:tcPr>
          <w:p w:rsidR="007E0163" w:rsidRPr="004172D1" w:rsidRDefault="007E0163" w:rsidP="00B8093F">
            <w:pPr>
              <w:jc w:val="right"/>
              <w:rPr>
                <w:color w:val="000000"/>
                <w:szCs w:val="22"/>
                <w:lang w:val="nl-BE" w:eastAsia="nl-BE"/>
              </w:rPr>
            </w:pPr>
            <w:r w:rsidRPr="004172D1">
              <w:rPr>
                <w:color w:val="000000"/>
                <w:sz w:val="22"/>
                <w:szCs w:val="22"/>
                <w:lang w:val="nl-BE" w:eastAsia="nl-BE"/>
              </w:rPr>
              <w:t>10782</w:t>
            </w:r>
          </w:p>
        </w:tc>
        <w:tc>
          <w:tcPr>
            <w:tcW w:w="880" w:type="dxa"/>
            <w:tcBorders>
              <w:top w:val="nil"/>
              <w:left w:val="nil"/>
              <w:bottom w:val="nil"/>
              <w:right w:val="nil"/>
            </w:tcBorders>
            <w:noWrap/>
            <w:vAlign w:val="bottom"/>
          </w:tcPr>
          <w:p w:rsidR="007E0163" w:rsidRPr="004172D1" w:rsidRDefault="007E0163" w:rsidP="00B8093F">
            <w:pPr>
              <w:jc w:val="right"/>
              <w:rPr>
                <w:color w:val="000000"/>
                <w:szCs w:val="22"/>
                <w:lang w:val="nl-BE" w:eastAsia="nl-BE"/>
              </w:rPr>
            </w:pPr>
            <w:r w:rsidRPr="004172D1">
              <w:rPr>
                <w:color w:val="000000"/>
                <w:sz w:val="22"/>
                <w:szCs w:val="22"/>
                <w:lang w:val="nl-BE" w:eastAsia="nl-BE"/>
              </w:rPr>
              <w:t>984</w:t>
            </w:r>
          </w:p>
        </w:tc>
        <w:tc>
          <w:tcPr>
            <w:tcW w:w="880" w:type="dxa"/>
            <w:tcBorders>
              <w:top w:val="nil"/>
              <w:left w:val="nil"/>
              <w:bottom w:val="nil"/>
              <w:right w:val="nil"/>
            </w:tcBorders>
            <w:noWrap/>
            <w:vAlign w:val="bottom"/>
          </w:tcPr>
          <w:p w:rsidR="007E0163" w:rsidRPr="004172D1" w:rsidRDefault="007E0163" w:rsidP="00B8093F">
            <w:pPr>
              <w:jc w:val="right"/>
              <w:rPr>
                <w:color w:val="000000"/>
                <w:szCs w:val="22"/>
                <w:lang w:val="nl-BE" w:eastAsia="nl-BE"/>
              </w:rPr>
            </w:pPr>
            <w:r w:rsidRPr="004172D1">
              <w:rPr>
                <w:color w:val="000000"/>
                <w:sz w:val="22"/>
                <w:szCs w:val="22"/>
                <w:lang w:val="nl-BE" w:eastAsia="nl-BE"/>
              </w:rPr>
              <w:t>166</w:t>
            </w:r>
          </w:p>
        </w:tc>
        <w:tc>
          <w:tcPr>
            <w:tcW w:w="880" w:type="dxa"/>
            <w:tcBorders>
              <w:top w:val="nil"/>
              <w:left w:val="nil"/>
              <w:bottom w:val="nil"/>
              <w:right w:val="nil"/>
            </w:tcBorders>
            <w:noWrap/>
            <w:vAlign w:val="bottom"/>
          </w:tcPr>
          <w:p w:rsidR="007E0163" w:rsidRPr="004172D1" w:rsidRDefault="007E0163" w:rsidP="00B8093F">
            <w:pPr>
              <w:jc w:val="right"/>
              <w:rPr>
                <w:color w:val="000000"/>
                <w:szCs w:val="22"/>
                <w:lang w:val="nl-BE" w:eastAsia="nl-BE"/>
              </w:rPr>
            </w:pPr>
            <w:r w:rsidRPr="004172D1">
              <w:rPr>
                <w:color w:val="000000"/>
                <w:sz w:val="22"/>
                <w:szCs w:val="22"/>
                <w:lang w:val="nl-BE" w:eastAsia="nl-BE"/>
              </w:rPr>
              <w:t>3</w:t>
            </w:r>
          </w:p>
        </w:tc>
        <w:tc>
          <w:tcPr>
            <w:tcW w:w="1060" w:type="dxa"/>
            <w:tcBorders>
              <w:top w:val="nil"/>
              <w:left w:val="single" w:sz="4" w:space="0" w:color="000000"/>
              <w:bottom w:val="nil"/>
              <w:right w:val="single" w:sz="4" w:space="0" w:color="000000"/>
            </w:tcBorders>
            <w:noWrap/>
            <w:vAlign w:val="bottom"/>
          </w:tcPr>
          <w:p w:rsidR="007E0163" w:rsidRPr="004172D1" w:rsidRDefault="007E0163" w:rsidP="00B8093F">
            <w:pPr>
              <w:jc w:val="right"/>
              <w:rPr>
                <w:color w:val="000000"/>
                <w:szCs w:val="22"/>
                <w:lang w:val="nl-BE" w:eastAsia="nl-BE"/>
              </w:rPr>
            </w:pPr>
            <w:r w:rsidRPr="004172D1">
              <w:rPr>
                <w:color w:val="000000"/>
                <w:sz w:val="22"/>
                <w:szCs w:val="22"/>
                <w:lang w:val="nl-BE" w:eastAsia="nl-BE"/>
              </w:rPr>
              <w:t>11935</w:t>
            </w:r>
          </w:p>
        </w:tc>
      </w:tr>
      <w:tr w:rsidR="007E0163" w:rsidRPr="004172D1" w:rsidTr="005B1CED">
        <w:trPr>
          <w:trHeight w:val="300"/>
        </w:trPr>
        <w:tc>
          <w:tcPr>
            <w:tcW w:w="2709" w:type="dxa"/>
            <w:tcBorders>
              <w:top w:val="nil"/>
              <w:left w:val="single" w:sz="4" w:space="0" w:color="000000"/>
              <w:bottom w:val="nil"/>
              <w:right w:val="nil"/>
            </w:tcBorders>
            <w:noWrap/>
            <w:vAlign w:val="bottom"/>
          </w:tcPr>
          <w:p w:rsidR="007E0163" w:rsidRPr="004172D1" w:rsidRDefault="007E0163" w:rsidP="00B8093F">
            <w:pPr>
              <w:rPr>
                <w:color w:val="000000"/>
                <w:szCs w:val="22"/>
                <w:lang w:val="nl-BE" w:eastAsia="nl-BE"/>
              </w:rPr>
            </w:pPr>
            <w:r w:rsidRPr="004172D1">
              <w:rPr>
                <w:color w:val="000000"/>
                <w:sz w:val="22"/>
                <w:szCs w:val="22"/>
                <w:lang w:val="nl-BE" w:eastAsia="nl-BE"/>
              </w:rPr>
              <w:t>Provincie Antwerpen</w:t>
            </w:r>
          </w:p>
        </w:tc>
        <w:tc>
          <w:tcPr>
            <w:tcW w:w="691" w:type="dxa"/>
            <w:tcBorders>
              <w:top w:val="nil"/>
              <w:left w:val="single" w:sz="4" w:space="0" w:color="000000"/>
              <w:bottom w:val="nil"/>
              <w:right w:val="nil"/>
            </w:tcBorders>
            <w:noWrap/>
            <w:vAlign w:val="bottom"/>
          </w:tcPr>
          <w:p w:rsidR="007E0163" w:rsidRPr="004172D1" w:rsidRDefault="007E0163" w:rsidP="00B8093F">
            <w:pPr>
              <w:jc w:val="right"/>
              <w:rPr>
                <w:color w:val="000000"/>
                <w:szCs w:val="22"/>
                <w:lang w:val="nl-BE" w:eastAsia="nl-BE"/>
              </w:rPr>
            </w:pPr>
            <w:r w:rsidRPr="004172D1">
              <w:rPr>
                <w:color w:val="000000"/>
                <w:sz w:val="22"/>
                <w:szCs w:val="22"/>
                <w:lang w:val="nl-BE" w:eastAsia="nl-BE"/>
              </w:rPr>
              <w:t>8009</w:t>
            </w:r>
          </w:p>
        </w:tc>
        <w:tc>
          <w:tcPr>
            <w:tcW w:w="880" w:type="dxa"/>
            <w:tcBorders>
              <w:top w:val="nil"/>
              <w:left w:val="nil"/>
              <w:bottom w:val="nil"/>
              <w:right w:val="nil"/>
            </w:tcBorders>
            <w:noWrap/>
            <w:vAlign w:val="bottom"/>
          </w:tcPr>
          <w:p w:rsidR="007E0163" w:rsidRPr="004172D1" w:rsidRDefault="007E0163" w:rsidP="00B8093F">
            <w:pPr>
              <w:jc w:val="right"/>
              <w:rPr>
                <w:color w:val="000000"/>
                <w:szCs w:val="22"/>
                <w:lang w:val="nl-BE" w:eastAsia="nl-BE"/>
              </w:rPr>
            </w:pPr>
            <w:r w:rsidRPr="004172D1">
              <w:rPr>
                <w:color w:val="000000"/>
                <w:sz w:val="22"/>
                <w:szCs w:val="22"/>
                <w:lang w:val="nl-BE" w:eastAsia="nl-BE"/>
              </w:rPr>
              <w:t>778</w:t>
            </w:r>
          </w:p>
        </w:tc>
        <w:tc>
          <w:tcPr>
            <w:tcW w:w="880" w:type="dxa"/>
            <w:tcBorders>
              <w:top w:val="nil"/>
              <w:left w:val="nil"/>
              <w:bottom w:val="nil"/>
              <w:right w:val="nil"/>
            </w:tcBorders>
            <w:noWrap/>
            <w:vAlign w:val="bottom"/>
          </w:tcPr>
          <w:p w:rsidR="007E0163" w:rsidRPr="004172D1" w:rsidRDefault="007E0163" w:rsidP="00B8093F">
            <w:pPr>
              <w:jc w:val="right"/>
              <w:rPr>
                <w:color w:val="000000"/>
                <w:szCs w:val="22"/>
                <w:lang w:val="nl-BE" w:eastAsia="nl-BE"/>
              </w:rPr>
            </w:pPr>
            <w:r w:rsidRPr="004172D1">
              <w:rPr>
                <w:color w:val="000000"/>
                <w:sz w:val="22"/>
                <w:szCs w:val="22"/>
                <w:lang w:val="nl-BE" w:eastAsia="nl-BE"/>
              </w:rPr>
              <w:t>111</w:t>
            </w:r>
          </w:p>
        </w:tc>
        <w:tc>
          <w:tcPr>
            <w:tcW w:w="880" w:type="dxa"/>
            <w:tcBorders>
              <w:top w:val="nil"/>
              <w:left w:val="nil"/>
              <w:bottom w:val="nil"/>
              <w:right w:val="nil"/>
            </w:tcBorders>
            <w:noWrap/>
            <w:vAlign w:val="bottom"/>
          </w:tcPr>
          <w:p w:rsidR="007E0163" w:rsidRPr="004172D1" w:rsidRDefault="007E0163" w:rsidP="00B8093F">
            <w:pPr>
              <w:jc w:val="right"/>
              <w:rPr>
                <w:color w:val="000000"/>
                <w:szCs w:val="22"/>
                <w:lang w:val="nl-BE" w:eastAsia="nl-BE"/>
              </w:rPr>
            </w:pPr>
            <w:r w:rsidRPr="004172D1">
              <w:rPr>
                <w:color w:val="000000"/>
                <w:sz w:val="22"/>
                <w:szCs w:val="22"/>
                <w:lang w:val="nl-BE" w:eastAsia="nl-BE"/>
              </w:rPr>
              <w:t>7</w:t>
            </w:r>
          </w:p>
        </w:tc>
        <w:tc>
          <w:tcPr>
            <w:tcW w:w="1060" w:type="dxa"/>
            <w:tcBorders>
              <w:top w:val="nil"/>
              <w:left w:val="single" w:sz="4" w:space="0" w:color="000000"/>
              <w:bottom w:val="nil"/>
              <w:right w:val="single" w:sz="4" w:space="0" w:color="000000"/>
            </w:tcBorders>
            <w:noWrap/>
            <w:vAlign w:val="bottom"/>
          </w:tcPr>
          <w:p w:rsidR="007E0163" w:rsidRPr="004172D1" w:rsidRDefault="007E0163" w:rsidP="00B8093F">
            <w:pPr>
              <w:jc w:val="right"/>
              <w:rPr>
                <w:color w:val="000000"/>
                <w:szCs w:val="22"/>
                <w:lang w:val="nl-BE" w:eastAsia="nl-BE"/>
              </w:rPr>
            </w:pPr>
            <w:r w:rsidRPr="004172D1">
              <w:rPr>
                <w:color w:val="000000"/>
                <w:sz w:val="22"/>
                <w:szCs w:val="22"/>
                <w:lang w:val="nl-BE" w:eastAsia="nl-BE"/>
              </w:rPr>
              <w:t>8905</w:t>
            </w:r>
          </w:p>
        </w:tc>
      </w:tr>
      <w:tr w:rsidR="007E0163" w:rsidRPr="004172D1" w:rsidTr="005B1CED">
        <w:trPr>
          <w:trHeight w:val="300"/>
        </w:trPr>
        <w:tc>
          <w:tcPr>
            <w:tcW w:w="2709" w:type="dxa"/>
            <w:tcBorders>
              <w:top w:val="nil"/>
              <w:left w:val="single" w:sz="4" w:space="0" w:color="000000"/>
              <w:bottom w:val="nil"/>
              <w:right w:val="nil"/>
            </w:tcBorders>
            <w:noWrap/>
            <w:vAlign w:val="bottom"/>
          </w:tcPr>
          <w:p w:rsidR="007E0163" w:rsidRPr="004172D1" w:rsidRDefault="007E0163" w:rsidP="00B8093F">
            <w:pPr>
              <w:rPr>
                <w:color w:val="000000"/>
                <w:szCs w:val="22"/>
                <w:lang w:val="nl-BE" w:eastAsia="nl-BE"/>
              </w:rPr>
            </w:pPr>
            <w:r w:rsidRPr="004172D1">
              <w:rPr>
                <w:color w:val="000000"/>
                <w:sz w:val="22"/>
                <w:szCs w:val="22"/>
                <w:lang w:val="nl-BE" w:eastAsia="nl-BE"/>
              </w:rPr>
              <w:t>Provincie Limburg</w:t>
            </w:r>
          </w:p>
        </w:tc>
        <w:tc>
          <w:tcPr>
            <w:tcW w:w="691" w:type="dxa"/>
            <w:tcBorders>
              <w:top w:val="nil"/>
              <w:left w:val="single" w:sz="4" w:space="0" w:color="000000"/>
              <w:bottom w:val="nil"/>
              <w:right w:val="nil"/>
            </w:tcBorders>
            <w:noWrap/>
            <w:vAlign w:val="bottom"/>
          </w:tcPr>
          <w:p w:rsidR="007E0163" w:rsidRPr="004172D1" w:rsidRDefault="007E0163" w:rsidP="00B8093F">
            <w:pPr>
              <w:jc w:val="right"/>
              <w:rPr>
                <w:color w:val="000000"/>
                <w:szCs w:val="22"/>
                <w:lang w:val="nl-BE" w:eastAsia="nl-BE"/>
              </w:rPr>
            </w:pPr>
            <w:r w:rsidRPr="004172D1">
              <w:rPr>
                <w:color w:val="000000"/>
                <w:sz w:val="22"/>
                <w:szCs w:val="22"/>
                <w:lang w:val="nl-BE" w:eastAsia="nl-BE"/>
              </w:rPr>
              <w:t>5497</w:t>
            </w:r>
          </w:p>
        </w:tc>
        <w:tc>
          <w:tcPr>
            <w:tcW w:w="880" w:type="dxa"/>
            <w:tcBorders>
              <w:top w:val="nil"/>
              <w:left w:val="nil"/>
              <w:bottom w:val="nil"/>
              <w:right w:val="nil"/>
            </w:tcBorders>
            <w:noWrap/>
            <w:vAlign w:val="bottom"/>
          </w:tcPr>
          <w:p w:rsidR="007E0163" w:rsidRPr="004172D1" w:rsidRDefault="007E0163" w:rsidP="00B8093F">
            <w:pPr>
              <w:jc w:val="right"/>
              <w:rPr>
                <w:color w:val="000000"/>
                <w:szCs w:val="22"/>
                <w:lang w:val="nl-BE" w:eastAsia="nl-BE"/>
              </w:rPr>
            </w:pPr>
            <w:r w:rsidRPr="004172D1">
              <w:rPr>
                <w:color w:val="000000"/>
                <w:sz w:val="22"/>
                <w:szCs w:val="22"/>
                <w:lang w:val="nl-BE" w:eastAsia="nl-BE"/>
              </w:rPr>
              <w:t>827</w:t>
            </w:r>
          </w:p>
        </w:tc>
        <w:tc>
          <w:tcPr>
            <w:tcW w:w="880" w:type="dxa"/>
            <w:tcBorders>
              <w:top w:val="nil"/>
              <w:left w:val="nil"/>
              <w:bottom w:val="nil"/>
              <w:right w:val="nil"/>
            </w:tcBorders>
            <w:noWrap/>
            <w:vAlign w:val="bottom"/>
          </w:tcPr>
          <w:p w:rsidR="007E0163" w:rsidRPr="004172D1" w:rsidRDefault="007E0163" w:rsidP="00B8093F">
            <w:pPr>
              <w:jc w:val="right"/>
              <w:rPr>
                <w:color w:val="000000"/>
                <w:szCs w:val="22"/>
                <w:lang w:val="nl-BE" w:eastAsia="nl-BE"/>
              </w:rPr>
            </w:pPr>
            <w:r w:rsidRPr="004172D1">
              <w:rPr>
                <w:color w:val="000000"/>
                <w:sz w:val="22"/>
                <w:szCs w:val="22"/>
                <w:lang w:val="nl-BE" w:eastAsia="nl-BE"/>
              </w:rPr>
              <w:t>96</w:t>
            </w:r>
          </w:p>
        </w:tc>
        <w:tc>
          <w:tcPr>
            <w:tcW w:w="880" w:type="dxa"/>
            <w:tcBorders>
              <w:top w:val="nil"/>
              <w:left w:val="nil"/>
              <w:bottom w:val="nil"/>
              <w:right w:val="nil"/>
            </w:tcBorders>
            <w:noWrap/>
            <w:vAlign w:val="bottom"/>
          </w:tcPr>
          <w:p w:rsidR="007E0163" w:rsidRPr="004172D1" w:rsidRDefault="007E0163" w:rsidP="00B8093F">
            <w:pPr>
              <w:jc w:val="right"/>
              <w:rPr>
                <w:color w:val="000000"/>
                <w:szCs w:val="22"/>
                <w:lang w:val="nl-BE" w:eastAsia="nl-BE"/>
              </w:rPr>
            </w:pPr>
            <w:r w:rsidRPr="004172D1">
              <w:rPr>
                <w:color w:val="000000"/>
                <w:sz w:val="22"/>
                <w:szCs w:val="22"/>
                <w:lang w:val="nl-BE" w:eastAsia="nl-BE"/>
              </w:rPr>
              <w:t>1</w:t>
            </w:r>
          </w:p>
        </w:tc>
        <w:tc>
          <w:tcPr>
            <w:tcW w:w="1060" w:type="dxa"/>
            <w:tcBorders>
              <w:top w:val="nil"/>
              <w:left w:val="single" w:sz="4" w:space="0" w:color="000000"/>
              <w:bottom w:val="nil"/>
              <w:right w:val="single" w:sz="4" w:space="0" w:color="000000"/>
            </w:tcBorders>
            <w:noWrap/>
            <w:vAlign w:val="bottom"/>
          </w:tcPr>
          <w:p w:rsidR="007E0163" w:rsidRPr="004172D1" w:rsidRDefault="007E0163" w:rsidP="00B8093F">
            <w:pPr>
              <w:jc w:val="right"/>
              <w:rPr>
                <w:color w:val="000000"/>
                <w:szCs w:val="22"/>
                <w:lang w:val="nl-BE" w:eastAsia="nl-BE"/>
              </w:rPr>
            </w:pPr>
            <w:r w:rsidRPr="004172D1">
              <w:rPr>
                <w:color w:val="000000"/>
                <w:sz w:val="22"/>
                <w:szCs w:val="22"/>
                <w:lang w:val="nl-BE" w:eastAsia="nl-BE"/>
              </w:rPr>
              <w:t>6421</w:t>
            </w:r>
          </w:p>
        </w:tc>
      </w:tr>
      <w:tr w:rsidR="007E0163" w:rsidRPr="004172D1" w:rsidTr="005B1CED">
        <w:trPr>
          <w:trHeight w:val="300"/>
        </w:trPr>
        <w:tc>
          <w:tcPr>
            <w:tcW w:w="2709" w:type="dxa"/>
            <w:tcBorders>
              <w:top w:val="nil"/>
              <w:left w:val="single" w:sz="4" w:space="0" w:color="000000"/>
              <w:bottom w:val="nil"/>
              <w:right w:val="nil"/>
            </w:tcBorders>
            <w:noWrap/>
            <w:vAlign w:val="bottom"/>
          </w:tcPr>
          <w:p w:rsidR="007E0163" w:rsidRPr="004172D1" w:rsidRDefault="007E0163" w:rsidP="00B8093F">
            <w:pPr>
              <w:rPr>
                <w:color w:val="000000"/>
                <w:szCs w:val="22"/>
                <w:lang w:val="nl-BE" w:eastAsia="nl-BE"/>
              </w:rPr>
            </w:pPr>
            <w:r w:rsidRPr="004172D1">
              <w:rPr>
                <w:color w:val="000000"/>
                <w:sz w:val="22"/>
                <w:szCs w:val="22"/>
                <w:lang w:val="nl-BE" w:eastAsia="nl-BE"/>
              </w:rPr>
              <w:t>Provincie Vlaams-Brabant</w:t>
            </w:r>
          </w:p>
        </w:tc>
        <w:tc>
          <w:tcPr>
            <w:tcW w:w="691" w:type="dxa"/>
            <w:tcBorders>
              <w:top w:val="nil"/>
              <w:left w:val="single" w:sz="4" w:space="0" w:color="000000"/>
              <w:bottom w:val="nil"/>
              <w:right w:val="nil"/>
            </w:tcBorders>
            <w:noWrap/>
            <w:vAlign w:val="bottom"/>
          </w:tcPr>
          <w:p w:rsidR="007E0163" w:rsidRPr="004172D1" w:rsidRDefault="007E0163" w:rsidP="00B8093F">
            <w:pPr>
              <w:jc w:val="right"/>
              <w:rPr>
                <w:color w:val="000000"/>
                <w:szCs w:val="22"/>
                <w:lang w:val="nl-BE" w:eastAsia="nl-BE"/>
              </w:rPr>
            </w:pPr>
            <w:r w:rsidRPr="004172D1">
              <w:rPr>
                <w:color w:val="000000"/>
                <w:sz w:val="22"/>
                <w:szCs w:val="22"/>
                <w:lang w:val="nl-BE" w:eastAsia="nl-BE"/>
              </w:rPr>
              <w:t>4450</w:t>
            </w:r>
          </w:p>
        </w:tc>
        <w:tc>
          <w:tcPr>
            <w:tcW w:w="880" w:type="dxa"/>
            <w:tcBorders>
              <w:top w:val="nil"/>
              <w:left w:val="nil"/>
              <w:bottom w:val="nil"/>
              <w:right w:val="nil"/>
            </w:tcBorders>
            <w:noWrap/>
            <w:vAlign w:val="bottom"/>
          </w:tcPr>
          <w:p w:rsidR="007E0163" w:rsidRPr="004172D1" w:rsidRDefault="007E0163" w:rsidP="00B8093F">
            <w:pPr>
              <w:jc w:val="right"/>
              <w:rPr>
                <w:color w:val="000000"/>
                <w:szCs w:val="22"/>
                <w:lang w:val="nl-BE" w:eastAsia="nl-BE"/>
              </w:rPr>
            </w:pPr>
            <w:r w:rsidRPr="004172D1">
              <w:rPr>
                <w:color w:val="000000"/>
                <w:sz w:val="22"/>
                <w:szCs w:val="22"/>
                <w:lang w:val="nl-BE" w:eastAsia="nl-BE"/>
              </w:rPr>
              <w:t>572</w:t>
            </w:r>
          </w:p>
        </w:tc>
        <w:tc>
          <w:tcPr>
            <w:tcW w:w="880" w:type="dxa"/>
            <w:tcBorders>
              <w:top w:val="nil"/>
              <w:left w:val="nil"/>
              <w:bottom w:val="nil"/>
              <w:right w:val="nil"/>
            </w:tcBorders>
            <w:noWrap/>
            <w:vAlign w:val="bottom"/>
          </w:tcPr>
          <w:p w:rsidR="007E0163" w:rsidRPr="004172D1" w:rsidRDefault="007E0163" w:rsidP="00B8093F">
            <w:pPr>
              <w:jc w:val="right"/>
              <w:rPr>
                <w:color w:val="000000"/>
                <w:szCs w:val="22"/>
                <w:lang w:val="nl-BE" w:eastAsia="nl-BE"/>
              </w:rPr>
            </w:pPr>
            <w:r w:rsidRPr="004172D1">
              <w:rPr>
                <w:color w:val="000000"/>
                <w:sz w:val="22"/>
                <w:szCs w:val="22"/>
                <w:lang w:val="nl-BE" w:eastAsia="nl-BE"/>
              </w:rPr>
              <w:t>94</w:t>
            </w:r>
          </w:p>
        </w:tc>
        <w:tc>
          <w:tcPr>
            <w:tcW w:w="880" w:type="dxa"/>
            <w:tcBorders>
              <w:top w:val="nil"/>
              <w:left w:val="nil"/>
              <w:bottom w:val="nil"/>
              <w:right w:val="nil"/>
            </w:tcBorders>
            <w:noWrap/>
            <w:vAlign w:val="bottom"/>
          </w:tcPr>
          <w:p w:rsidR="007E0163" w:rsidRPr="004172D1" w:rsidRDefault="007E0163" w:rsidP="00B8093F">
            <w:pPr>
              <w:jc w:val="right"/>
              <w:rPr>
                <w:color w:val="000000"/>
                <w:szCs w:val="22"/>
                <w:lang w:val="nl-BE" w:eastAsia="nl-BE"/>
              </w:rPr>
            </w:pPr>
            <w:r w:rsidRPr="004172D1">
              <w:rPr>
                <w:color w:val="000000"/>
                <w:sz w:val="22"/>
                <w:szCs w:val="22"/>
                <w:lang w:val="nl-BE" w:eastAsia="nl-BE"/>
              </w:rPr>
              <w:t>5</w:t>
            </w:r>
          </w:p>
        </w:tc>
        <w:tc>
          <w:tcPr>
            <w:tcW w:w="1060" w:type="dxa"/>
            <w:tcBorders>
              <w:top w:val="nil"/>
              <w:left w:val="single" w:sz="4" w:space="0" w:color="000000"/>
              <w:bottom w:val="nil"/>
              <w:right w:val="single" w:sz="4" w:space="0" w:color="000000"/>
            </w:tcBorders>
            <w:noWrap/>
            <w:vAlign w:val="bottom"/>
          </w:tcPr>
          <w:p w:rsidR="007E0163" w:rsidRPr="004172D1" w:rsidRDefault="007E0163" w:rsidP="00B8093F">
            <w:pPr>
              <w:jc w:val="right"/>
              <w:rPr>
                <w:color w:val="000000"/>
                <w:szCs w:val="22"/>
                <w:lang w:val="nl-BE" w:eastAsia="nl-BE"/>
              </w:rPr>
            </w:pPr>
            <w:r w:rsidRPr="004172D1">
              <w:rPr>
                <w:color w:val="000000"/>
                <w:sz w:val="22"/>
                <w:szCs w:val="22"/>
                <w:lang w:val="nl-BE" w:eastAsia="nl-BE"/>
              </w:rPr>
              <w:t>5121</w:t>
            </w:r>
          </w:p>
        </w:tc>
      </w:tr>
      <w:tr w:rsidR="007E0163" w:rsidRPr="004172D1" w:rsidTr="005B1CED">
        <w:trPr>
          <w:trHeight w:val="300"/>
        </w:trPr>
        <w:tc>
          <w:tcPr>
            <w:tcW w:w="2709" w:type="dxa"/>
            <w:tcBorders>
              <w:top w:val="single" w:sz="4" w:space="0" w:color="000000"/>
              <w:left w:val="single" w:sz="4" w:space="0" w:color="000000"/>
              <w:bottom w:val="single" w:sz="4" w:space="0" w:color="000000"/>
              <w:right w:val="nil"/>
            </w:tcBorders>
            <w:noWrap/>
            <w:vAlign w:val="bottom"/>
          </w:tcPr>
          <w:p w:rsidR="007E0163" w:rsidRPr="004172D1" w:rsidRDefault="007E0163" w:rsidP="00B8093F">
            <w:pPr>
              <w:rPr>
                <w:color w:val="000000"/>
                <w:szCs w:val="22"/>
                <w:lang w:val="nl-BE" w:eastAsia="nl-BE"/>
              </w:rPr>
            </w:pPr>
            <w:r w:rsidRPr="004172D1">
              <w:rPr>
                <w:color w:val="000000"/>
                <w:sz w:val="22"/>
                <w:szCs w:val="22"/>
                <w:lang w:val="nl-BE" w:eastAsia="nl-BE"/>
              </w:rPr>
              <w:t>Eindtotaal</w:t>
            </w:r>
          </w:p>
        </w:tc>
        <w:tc>
          <w:tcPr>
            <w:tcW w:w="691" w:type="dxa"/>
            <w:tcBorders>
              <w:top w:val="single" w:sz="4" w:space="0" w:color="000000"/>
              <w:left w:val="single" w:sz="4" w:space="0" w:color="000000"/>
              <w:bottom w:val="single" w:sz="4" w:space="0" w:color="000000"/>
              <w:right w:val="nil"/>
            </w:tcBorders>
            <w:noWrap/>
            <w:vAlign w:val="bottom"/>
          </w:tcPr>
          <w:p w:rsidR="007E0163" w:rsidRPr="004172D1" w:rsidRDefault="007E0163" w:rsidP="00B8093F">
            <w:pPr>
              <w:jc w:val="right"/>
              <w:rPr>
                <w:color w:val="000000"/>
                <w:szCs w:val="22"/>
                <w:lang w:val="nl-BE" w:eastAsia="nl-BE"/>
              </w:rPr>
            </w:pPr>
            <w:r w:rsidRPr="004172D1">
              <w:rPr>
                <w:color w:val="000000"/>
                <w:sz w:val="22"/>
                <w:szCs w:val="22"/>
                <w:lang w:val="nl-BE" w:eastAsia="nl-BE"/>
              </w:rPr>
              <w:t>41652</w:t>
            </w:r>
          </w:p>
        </w:tc>
        <w:tc>
          <w:tcPr>
            <w:tcW w:w="880" w:type="dxa"/>
            <w:tcBorders>
              <w:top w:val="single" w:sz="4" w:space="0" w:color="000000"/>
              <w:left w:val="nil"/>
              <w:bottom w:val="single" w:sz="4" w:space="0" w:color="000000"/>
              <w:right w:val="nil"/>
            </w:tcBorders>
            <w:noWrap/>
            <w:vAlign w:val="bottom"/>
          </w:tcPr>
          <w:p w:rsidR="007E0163" w:rsidRPr="004172D1" w:rsidRDefault="007E0163" w:rsidP="00B8093F">
            <w:pPr>
              <w:jc w:val="right"/>
              <w:rPr>
                <w:color w:val="000000"/>
                <w:szCs w:val="22"/>
                <w:lang w:val="nl-BE" w:eastAsia="nl-BE"/>
              </w:rPr>
            </w:pPr>
            <w:r w:rsidRPr="004172D1">
              <w:rPr>
                <w:color w:val="000000"/>
                <w:sz w:val="22"/>
                <w:szCs w:val="22"/>
                <w:lang w:val="nl-BE" w:eastAsia="nl-BE"/>
              </w:rPr>
              <w:t>4098</w:t>
            </w:r>
          </w:p>
        </w:tc>
        <w:tc>
          <w:tcPr>
            <w:tcW w:w="880" w:type="dxa"/>
            <w:tcBorders>
              <w:top w:val="single" w:sz="4" w:space="0" w:color="000000"/>
              <w:left w:val="nil"/>
              <w:bottom w:val="single" w:sz="4" w:space="0" w:color="000000"/>
              <w:right w:val="nil"/>
            </w:tcBorders>
            <w:noWrap/>
            <w:vAlign w:val="bottom"/>
          </w:tcPr>
          <w:p w:rsidR="007E0163" w:rsidRPr="004172D1" w:rsidRDefault="007E0163" w:rsidP="00B8093F">
            <w:pPr>
              <w:jc w:val="right"/>
              <w:rPr>
                <w:color w:val="000000"/>
                <w:szCs w:val="22"/>
                <w:lang w:val="nl-BE" w:eastAsia="nl-BE"/>
              </w:rPr>
            </w:pPr>
            <w:r w:rsidRPr="004172D1">
              <w:rPr>
                <w:color w:val="000000"/>
                <w:sz w:val="22"/>
                <w:szCs w:val="22"/>
                <w:lang w:val="nl-BE" w:eastAsia="nl-BE"/>
              </w:rPr>
              <w:t>597</w:t>
            </w:r>
          </w:p>
        </w:tc>
        <w:tc>
          <w:tcPr>
            <w:tcW w:w="880" w:type="dxa"/>
            <w:tcBorders>
              <w:top w:val="single" w:sz="4" w:space="0" w:color="000000"/>
              <w:left w:val="nil"/>
              <w:bottom w:val="single" w:sz="4" w:space="0" w:color="000000"/>
              <w:right w:val="nil"/>
            </w:tcBorders>
            <w:noWrap/>
            <w:vAlign w:val="bottom"/>
          </w:tcPr>
          <w:p w:rsidR="007E0163" w:rsidRPr="004172D1" w:rsidRDefault="007E0163" w:rsidP="00B8093F">
            <w:pPr>
              <w:jc w:val="right"/>
              <w:rPr>
                <w:color w:val="000000"/>
                <w:szCs w:val="22"/>
                <w:lang w:val="nl-BE" w:eastAsia="nl-BE"/>
              </w:rPr>
            </w:pPr>
            <w:r w:rsidRPr="004172D1">
              <w:rPr>
                <w:color w:val="000000"/>
                <w:sz w:val="22"/>
                <w:szCs w:val="22"/>
                <w:lang w:val="nl-BE" w:eastAsia="nl-BE"/>
              </w:rPr>
              <w:t>17</w:t>
            </w:r>
          </w:p>
        </w:tc>
        <w:tc>
          <w:tcPr>
            <w:tcW w:w="1060" w:type="dxa"/>
            <w:tcBorders>
              <w:top w:val="single" w:sz="4" w:space="0" w:color="000000"/>
              <w:left w:val="single" w:sz="4" w:space="0" w:color="000000"/>
              <w:bottom w:val="single" w:sz="4" w:space="0" w:color="000000"/>
              <w:right w:val="single" w:sz="4" w:space="0" w:color="000000"/>
            </w:tcBorders>
            <w:noWrap/>
            <w:vAlign w:val="bottom"/>
          </w:tcPr>
          <w:p w:rsidR="007E0163" w:rsidRPr="004172D1" w:rsidRDefault="007E0163" w:rsidP="00B8093F">
            <w:pPr>
              <w:jc w:val="right"/>
              <w:rPr>
                <w:color w:val="000000"/>
                <w:szCs w:val="22"/>
                <w:lang w:val="nl-BE" w:eastAsia="nl-BE"/>
              </w:rPr>
            </w:pPr>
            <w:r w:rsidRPr="004172D1">
              <w:rPr>
                <w:color w:val="000000"/>
                <w:sz w:val="22"/>
                <w:szCs w:val="22"/>
                <w:lang w:val="nl-BE" w:eastAsia="nl-BE"/>
              </w:rPr>
              <w:t>46364</w:t>
            </w:r>
          </w:p>
        </w:tc>
      </w:tr>
    </w:tbl>
    <w:p w:rsidR="007E0163" w:rsidRDefault="007E0163" w:rsidP="00C928B0">
      <w:pPr>
        <w:pStyle w:val="StandaardSV"/>
      </w:pPr>
    </w:p>
    <w:p w:rsidR="007E0163" w:rsidRDefault="007E0163" w:rsidP="005B1CED">
      <w:pPr>
        <w:pStyle w:val="StandaardSV"/>
        <w:numPr>
          <w:ilvl w:val="0"/>
          <w:numId w:val="2"/>
        </w:numPr>
      </w:pPr>
      <w:r>
        <w:t>De late toewijzing van de laatste NER-D begin dit jaar is het gevolg van het feit dat de betrokken landbouwers nog een beroep lopen hadden tegen de hun toegekende nutriëntenhalte in het kader van MAP2.</w:t>
      </w:r>
    </w:p>
    <w:p w:rsidR="007E0163" w:rsidRDefault="007E0163" w:rsidP="00C928B0">
      <w:pPr>
        <w:pStyle w:val="StandaardSV"/>
      </w:pPr>
    </w:p>
    <w:p w:rsidR="007E0163" w:rsidRPr="004172D1" w:rsidRDefault="007E0163" w:rsidP="005B1CED">
      <w:pPr>
        <w:pStyle w:val="StandaardSV"/>
        <w:numPr>
          <w:ilvl w:val="0"/>
          <w:numId w:val="2"/>
        </w:numPr>
      </w:pPr>
      <w:r w:rsidRPr="004172D1">
        <w:t>Tegen de toekenning van de NER-D kon de landbouwer en de producent een bezwaar bij de Mestbank, een beroep bij de minister van Leefmilieu of zowel een bezwaar als een beroep indienen.</w:t>
      </w:r>
    </w:p>
    <w:p w:rsidR="007E0163" w:rsidRDefault="007E0163" w:rsidP="005B1CED">
      <w:pPr>
        <w:pStyle w:val="StandaardSV"/>
        <w:ind w:left="360"/>
      </w:pPr>
      <w:r w:rsidRPr="004172D1">
        <w:t>Tot nu zijn er nog 3 onafgewerkte bezwaren. Deze bezwaren werden nog niet afgehandeld omwille van lopende rechtszaken. Ook zijn er nog 7 openstaande beroepen tegen de toekenning NER-D</w:t>
      </w:r>
      <w:r>
        <w:t xml:space="preserve"> waarvan er 4 niet kunnen</w:t>
      </w:r>
      <w:r w:rsidRPr="004172D1">
        <w:t xml:space="preserve"> afgewerkt worden omwille van lopende rechtszaken. Bij de landbouwers die nog een openstaand bezwaar of beroep tegen de toekenning NER-D hebben, werd er nog geen berekening gemaakt van het aantal overschreden NER per jaar. Er wordt altijd gewacht op de afhandeling van het openstaande dossier alvorens een mogelijke boete NER wordt opgelegd.</w:t>
      </w:r>
    </w:p>
    <w:p w:rsidR="007E0163" w:rsidRDefault="007E0163"/>
    <w:sectPr w:rsidR="007E0163" w:rsidSect="00CA7D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5136A"/>
    <w:multiLevelType w:val="hybridMultilevel"/>
    <w:tmpl w:val="CA4659C0"/>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55417661"/>
    <w:multiLevelType w:val="hybridMultilevel"/>
    <w:tmpl w:val="4FDC12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28B0"/>
    <w:rsid w:val="00210769"/>
    <w:rsid w:val="003C6F07"/>
    <w:rsid w:val="004172D1"/>
    <w:rsid w:val="004258B2"/>
    <w:rsid w:val="005B1CED"/>
    <w:rsid w:val="00710A5F"/>
    <w:rsid w:val="007E0163"/>
    <w:rsid w:val="00AE6FB6"/>
    <w:rsid w:val="00B8093F"/>
    <w:rsid w:val="00C928B0"/>
    <w:rsid w:val="00CA7D91"/>
    <w:rsid w:val="00D65107"/>
    <w:rsid w:val="00EC684F"/>
    <w:rsid w:val="00F66DC9"/>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8B0"/>
    <w:rPr>
      <w:rFonts w:ascii="Times New Roman" w:eastAsia="Times New Roman" w:hAnsi="Times New Roman"/>
      <w:sz w:val="24"/>
      <w:szCs w:val="20"/>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ardSV">
    <w:name w:val="Standaard SV"/>
    <w:basedOn w:val="Normal"/>
    <w:uiPriority w:val="99"/>
    <w:rsid w:val="00C928B0"/>
    <w:pPr>
      <w:jc w:val="both"/>
    </w:pPr>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393</Words>
  <Characters>2163</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Phaedra Van Keymolen</dc:creator>
  <cp:keywords/>
  <dc:description/>
  <cp:lastModifiedBy>Nathalie De Keyzer</cp:lastModifiedBy>
  <cp:revision>3</cp:revision>
  <dcterms:created xsi:type="dcterms:W3CDTF">2010-11-16T10:06:00Z</dcterms:created>
  <dcterms:modified xsi:type="dcterms:W3CDTF">2010-11-18T14:15:00Z</dcterms:modified>
</cp:coreProperties>
</file>