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AB" w:rsidRPr="00A8473D" w:rsidRDefault="003B24AB"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3B24AB" w:rsidRDefault="003B24AB"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3B24AB" w:rsidRDefault="003B24AB">
      <w:pPr>
        <w:pBdr>
          <w:bottom w:val="single" w:sz="4" w:space="1" w:color="auto"/>
        </w:pBdr>
        <w:rPr>
          <w:sz w:val="22"/>
        </w:rPr>
      </w:pPr>
    </w:p>
    <w:p w:rsidR="003B24AB" w:rsidRDefault="003B24AB">
      <w:pPr>
        <w:rPr>
          <w:sz w:val="22"/>
        </w:rPr>
      </w:pPr>
    </w:p>
    <w:p w:rsidR="003B24AB" w:rsidRDefault="003B24AB">
      <w:pPr>
        <w:rPr>
          <w:b/>
          <w:smallCaps/>
          <w:sz w:val="22"/>
        </w:rPr>
      </w:pPr>
      <w:r>
        <w:rPr>
          <w:b/>
          <w:smallCaps/>
          <w:sz w:val="22"/>
        </w:rPr>
        <w:t>antwoord</w:t>
      </w:r>
    </w:p>
    <w:p w:rsidR="003B24AB" w:rsidRDefault="003B24AB">
      <w:pPr>
        <w:rPr>
          <w:sz w:val="22"/>
        </w:rPr>
      </w:pPr>
      <w:r>
        <w:rPr>
          <w:sz w:val="22"/>
        </w:rPr>
        <w:t>op vraag nr. 352 van 14 september 2010</w:t>
      </w:r>
    </w:p>
    <w:p w:rsidR="003B24AB" w:rsidRDefault="003B24AB">
      <w:pPr>
        <w:rPr>
          <w:sz w:val="22"/>
        </w:rPr>
      </w:pPr>
      <w:r>
        <w:rPr>
          <w:sz w:val="22"/>
        </w:rPr>
        <w:t xml:space="preserve">van </w:t>
      </w:r>
      <w:r>
        <w:rPr>
          <w:b/>
          <w:smallCaps/>
          <w:sz w:val="22"/>
        </w:rPr>
        <w:t>els robeyns</w:t>
      </w:r>
    </w:p>
    <w:p w:rsidR="003B24AB" w:rsidRDefault="003B24AB" w:rsidP="009976C1">
      <w:pPr>
        <w:pBdr>
          <w:bottom w:val="single" w:sz="4" w:space="1" w:color="auto"/>
        </w:pBdr>
        <w:jc w:val="both"/>
        <w:rPr>
          <w:sz w:val="22"/>
        </w:rPr>
      </w:pPr>
    </w:p>
    <w:p w:rsidR="003B24AB" w:rsidRDefault="003B24AB" w:rsidP="009976C1">
      <w:pPr>
        <w:jc w:val="both"/>
        <w:rPr>
          <w:sz w:val="22"/>
        </w:rPr>
      </w:pPr>
    </w:p>
    <w:p w:rsidR="003B24AB" w:rsidRDefault="003B24AB" w:rsidP="009976C1">
      <w:pPr>
        <w:jc w:val="both"/>
        <w:rPr>
          <w:sz w:val="22"/>
        </w:rPr>
      </w:pPr>
    </w:p>
    <w:p w:rsidR="003B24AB" w:rsidRDefault="003B24AB" w:rsidP="009976C1">
      <w:pPr>
        <w:jc w:val="both"/>
        <w:rPr>
          <w:sz w:val="22"/>
        </w:rPr>
        <w:sectPr w:rsidR="003B24AB">
          <w:pgSz w:w="11906" w:h="16838"/>
          <w:pgMar w:top="1417" w:right="1417" w:bottom="1417" w:left="1417" w:header="708" w:footer="708" w:gutter="0"/>
          <w:cols w:space="708"/>
          <w:docGrid w:linePitch="360"/>
        </w:sectPr>
      </w:pPr>
    </w:p>
    <w:p w:rsidR="003B24AB" w:rsidRDefault="003B24AB" w:rsidP="008F77D9">
      <w:pPr>
        <w:pStyle w:val="SVTitel"/>
        <w:numPr>
          <w:ilvl w:val="0"/>
          <w:numId w:val="4"/>
        </w:numPr>
        <w:rPr>
          <w:i w:val="0"/>
          <w:szCs w:val="22"/>
          <w:lang w:eastAsia="nl-BE"/>
        </w:rPr>
      </w:pPr>
      <w:r w:rsidRPr="00463ADB">
        <w:rPr>
          <w:i w:val="0"/>
          <w:szCs w:val="22"/>
        </w:rPr>
        <w:t>Er zijn op dit ogenblik geen exacte cijfers betreffende het antibiotica gebruik in de veeteelt.</w:t>
      </w:r>
    </w:p>
    <w:p w:rsidR="003B24AB" w:rsidRPr="00463ADB" w:rsidRDefault="003B24AB" w:rsidP="00463ADB">
      <w:pPr>
        <w:pStyle w:val="SVTitel"/>
        <w:ind w:left="360"/>
        <w:rPr>
          <w:i w:val="0"/>
          <w:szCs w:val="22"/>
          <w:lang w:eastAsia="nl-BE"/>
        </w:rPr>
      </w:pPr>
      <w:r w:rsidRPr="00463ADB">
        <w:rPr>
          <w:i w:val="0"/>
          <w:szCs w:val="22"/>
          <w:lang w:eastAsia="nl-BE"/>
        </w:rPr>
        <w:t xml:space="preserve">Er is wel een project opgestart met de naam BELVETSAC (Belgium Veterinary surveillance of antimicrobial consumption) onder leiding van de faculteit Diergeneeskunde (Prof. J. Dewulf, </w:t>
      </w:r>
      <w:hyperlink r:id="rId5" w:history="1">
        <w:r w:rsidRPr="00463ADB">
          <w:rPr>
            <w:i w:val="0"/>
            <w:color w:val="000000"/>
            <w:szCs w:val="22"/>
            <w:u w:val="single"/>
            <w:lang w:eastAsia="nl-BE"/>
          </w:rPr>
          <w:t>jeroen.dewulf@ugent.be</w:t>
        </w:r>
      </w:hyperlink>
      <w:r>
        <w:rPr>
          <w:i w:val="0"/>
          <w:szCs w:val="22"/>
          <w:lang w:eastAsia="nl-BE"/>
        </w:rPr>
        <w:t xml:space="preserve">). </w:t>
      </w:r>
      <w:r w:rsidRPr="00463ADB">
        <w:rPr>
          <w:i w:val="0"/>
          <w:szCs w:val="22"/>
          <w:lang w:eastAsia="nl-BE"/>
        </w:rPr>
        <w:t xml:space="preserve">Aan dit project werken volgende instanties samen: het Federaal Agentschap voor Geneesmiddelen en Gezondheidsproducten (FAGG), het CODA, het WIV (Wetenschappelijk Instituut voor Volksgezondheid en BAPCOC (Belgian Antibiotic Policy Coordination Committee). Gezien het gebruik van antibiotica te maken heeft met de sanitaire problematiek en de volksgezondheid is het registreren van het gebruik van antibiotica immers federale bevoegdheid. </w:t>
      </w:r>
    </w:p>
    <w:p w:rsidR="003B24AB" w:rsidRPr="00463ADB" w:rsidRDefault="003B24AB" w:rsidP="00463ADB">
      <w:pPr>
        <w:pStyle w:val="Lijstalinea1"/>
        <w:ind w:left="360"/>
        <w:jc w:val="both"/>
        <w:rPr>
          <w:rFonts w:ascii="Times New Roman" w:hAnsi="Times New Roman"/>
          <w:lang w:eastAsia="nl-BE"/>
        </w:rPr>
      </w:pPr>
      <w:r w:rsidRPr="00463ADB">
        <w:rPr>
          <w:rFonts w:ascii="Times New Roman" w:hAnsi="Times New Roman"/>
          <w:lang w:eastAsia="nl-BE"/>
        </w:rPr>
        <w:t>Het is de bedoeling om in dit project</w:t>
      </w:r>
      <w:r>
        <w:rPr>
          <w:rFonts w:ascii="Times New Roman" w:hAnsi="Times New Roman"/>
          <w:lang w:eastAsia="nl-BE"/>
        </w:rPr>
        <w:t xml:space="preserve"> </w:t>
      </w:r>
      <w:r w:rsidRPr="00463ADB">
        <w:rPr>
          <w:rFonts w:ascii="Times New Roman" w:hAnsi="Times New Roman"/>
          <w:color w:val="000000"/>
          <w:lang w:eastAsia="nl-BE"/>
        </w:rPr>
        <w:t>via de groothandelaren de verkoop van antibiotica in België te registreren. Vervolgens</w:t>
      </w:r>
      <w:r>
        <w:rPr>
          <w:rFonts w:ascii="Times New Roman" w:hAnsi="Times New Roman"/>
          <w:color w:val="000000"/>
          <w:lang w:eastAsia="nl-BE"/>
        </w:rPr>
        <w:t xml:space="preserve"> </w:t>
      </w:r>
      <w:r w:rsidRPr="00463ADB">
        <w:rPr>
          <w:rFonts w:ascii="Times New Roman" w:hAnsi="Times New Roman"/>
          <w:color w:val="000000"/>
          <w:lang w:eastAsia="nl-BE"/>
        </w:rPr>
        <w:t>zullen de</w:t>
      </w:r>
      <w:r>
        <w:rPr>
          <w:rFonts w:ascii="Times New Roman" w:hAnsi="Times New Roman"/>
          <w:color w:val="000000"/>
          <w:lang w:eastAsia="nl-BE"/>
        </w:rPr>
        <w:t xml:space="preserve"> </w:t>
      </w:r>
      <w:r w:rsidRPr="00463ADB">
        <w:rPr>
          <w:rFonts w:ascii="Times New Roman" w:hAnsi="Times New Roman"/>
          <w:color w:val="000000"/>
          <w:lang w:eastAsia="nl-BE"/>
        </w:rPr>
        <w:t>verschille</w:t>
      </w:r>
      <w:r>
        <w:rPr>
          <w:rFonts w:ascii="Times New Roman" w:hAnsi="Times New Roman"/>
          <w:color w:val="000000"/>
          <w:lang w:eastAsia="nl-BE"/>
        </w:rPr>
        <w:t xml:space="preserve">nde producten toegewezen worden </w:t>
      </w:r>
      <w:r w:rsidRPr="00463ADB">
        <w:rPr>
          <w:rFonts w:ascii="Times New Roman" w:hAnsi="Times New Roman"/>
          <w:color w:val="000000"/>
          <w:lang w:eastAsia="nl-BE"/>
        </w:rPr>
        <w:t>aan de verschillende diersoor</w:t>
      </w:r>
      <w:r>
        <w:rPr>
          <w:rFonts w:ascii="Times New Roman" w:hAnsi="Times New Roman"/>
          <w:color w:val="000000"/>
          <w:lang w:eastAsia="nl-BE"/>
        </w:rPr>
        <w:t xml:space="preserve">ten waarbij ze gebruikt worden. </w:t>
      </w:r>
      <w:r w:rsidRPr="00463ADB">
        <w:rPr>
          <w:rFonts w:ascii="Times New Roman" w:hAnsi="Times New Roman"/>
          <w:color w:val="000000"/>
          <w:lang w:eastAsia="nl-BE"/>
        </w:rPr>
        <w:t>Tegen einde</w:t>
      </w:r>
      <w:r>
        <w:rPr>
          <w:rFonts w:ascii="Times New Roman" w:hAnsi="Times New Roman"/>
          <w:color w:val="000000"/>
          <w:lang w:eastAsia="nl-BE"/>
        </w:rPr>
        <w:t xml:space="preserve"> 2010 </w:t>
      </w:r>
      <w:r w:rsidRPr="00463ADB">
        <w:rPr>
          <w:rFonts w:ascii="Times New Roman" w:hAnsi="Times New Roman"/>
          <w:color w:val="000000"/>
          <w:lang w:eastAsia="nl-BE"/>
        </w:rPr>
        <w:t>kunnen de eerste resultaten van dit project verwacht worden.</w:t>
      </w:r>
    </w:p>
    <w:p w:rsidR="003B24AB" w:rsidRPr="00463ADB" w:rsidRDefault="003B24AB" w:rsidP="00463ADB">
      <w:pPr>
        <w:pStyle w:val="Lijstalinea1"/>
        <w:ind w:left="360"/>
        <w:jc w:val="both"/>
        <w:rPr>
          <w:rFonts w:ascii="Times New Roman" w:hAnsi="Times New Roman"/>
          <w:lang w:eastAsia="nl-BE"/>
        </w:rPr>
      </w:pPr>
    </w:p>
    <w:p w:rsidR="003B24AB" w:rsidRPr="00463ADB" w:rsidRDefault="003B24AB" w:rsidP="00463ADB">
      <w:pPr>
        <w:pStyle w:val="Lijstalinea1"/>
        <w:ind w:left="360"/>
        <w:jc w:val="both"/>
        <w:rPr>
          <w:rFonts w:ascii="Times New Roman" w:hAnsi="Times New Roman"/>
          <w:lang w:eastAsia="nl-BE"/>
        </w:rPr>
      </w:pPr>
      <w:r w:rsidRPr="00463ADB">
        <w:rPr>
          <w:rFonts w:ascii="Times New Roman" w:hAnsi="Times New Roman"/>
          <w:lang w:eastAsia="nl-BE"/>
        </w:rPr>
        <w:t>Verder is er in de schoot van VEPEK (Verbond voor Pluimvee, Eieren en Konijnen vzw) een werkgroep ‘Antibioticaresistentie’ opgericht. Binnen deze werkgroep heeft een dierenartsen</w:t>
      </w:r>
      <w:r>
        <w:rPr>
          <w:rFonts w:ascii="Times New Roman" w:hAnsi="Times New Roman"/>
          <w:lang w:eastAsia="nl-BE"/>
        </w:rPr>
        <w:softHyphen/>
      </w:r>
      <w:r w:rsidRPr="00463ADB">
        <w:rPr>
          <w:rFonts w:ascii="Times New Roman" w:hAnsi="Times New Roman"/>
          <w:lang w:eastAsia="nl-BE"/>
        </w:rPr>
        <w:t>praktijk met een Excell-ontwerp het antibioticumgebruik voor 95 braadkippenbedrijven (ca. 30% van de sector) in de maand mei 2010 geïnventariseerd als proefproject. Het voorstel is om een dergelijk systeem op te starten met alle dierenartspraktijken (5 à 6-tal) voor de braadkippensector. Belplume zal de dierenartsenpraktijken contacteren om deel te nemen.</w:t>
      </w:r>
    </w:p>
    <w:p w:rsidR="003B24AB" w:rsidRPr="00463ADB" w:rsidRDefault="003B24AB" w:rsidP="00463ADB">
      <w:pPr>
        <w:pStyle w:val="SVTitel"/>
        <w:ind w:left="360"/>
        <w:rPr>
          <w:i w:val="0"/>
          <w:szCs w:val="22"/>
        </w:rPr>
      </w:pPr>
    </w:p>
    <w:p w:rsidR="003B24AB" w:rsidRPr="00463ADB" w:rsidRDefault="003B24AB" w:rsidP="00463ADB">
      <w:pPr>
        <w:pStyle w:val="SVTitel"/>
        <w:rPr>
          <w:i w:val="0"/>
          <w:szCs w:val="22"/>
        </w:rPr>
      </w:pPr>
    </w:p>
    <w:p w:rsidR="003B24AB" w:rsidRPr="00463ADB" w:rsidRDefault="003B24AB" w:rsidP="008F77D9">
      <w:pPr>
        <w:pStyle w:val="SVTitel"/>
        <w:numPr>
          <w:ilvl w:val="0"/>
          <w:numId w:val="4"/>
        </w:numPr>
        <w:rPr>
          <w:i w:val="0"/>
          <w:szCs w:val="22"/>
        </w:rPr>
      </w:pPr>
      <w:r w:rsidRPr="00463ADB">
        <w:rPr>
          <w:i w:val="0"/>
          <w:szCs w:val="22"/>
        </w:rPr>
        <w:t>Actueel stelt de problematiek van antibiotica zich het scherpst in de pluimveesector omwille van de esbl-vormende bacteriën.</w:t>
      </w:r>
    </w:p>
    <w:p w:rsidR="003B24AB" w:rsidRPr="00463ADB" w:rsidRDefault="003B24AB" w:rsidP="00463ADB">
      <w:pPr>
        <w:ind w:left="360"/>
        <w:jc w:val="both"/>
        <w:rPr>
          <w:sz w:val="22"/>
          <w:szCs w:val="22"/>
        </w:rPr>
      </w:pPr>
      <w:r w:rsidRPr="00463ADB">
        <w:rPr>
          <w:sz w:val="22"/>
          <w:szCs w:val="22"/>
        </w:rPr>
        <w:t xml:space="preserve">Daarom is er op 29 april, op mijn initiatief, een overlegvergadering geweest op het proefbedrijf te Geel met vertegenwoordigers van alle schakels van de pluimveesector. </w:t>
      </w:r>
    </w:p>
    <w:p w:rsidR="003B24AB" w:rsidRPr="00463ADB" w:rsidRDefault="003B24AB" w:rsidP="00463ADB">
      <w:pPr>
        <w:ind w:left="360"/>
        <w:jc w:val="both"/>
        <w:rPr>
          <w:sz w:val="22"/>
          <w:szCs w:val="22"/>
        </w:rPr>
      </w:pPr>
      <w:r w:rsidRPr="00463ADB">
        <w:rPr>
          <w:sz w:val="22"/>
          <w:szCs w:val="22"/>
        </w:rPr>
        <w:t>Alle partijen waren het er unaniem over eens dat het gebruik van antibiotica zo laag mogelijk dient te blijven. Daartoe moet de onderlinge communicatie tussen de verschillende schakels en tussen de sector en het wetenschappelijk onderzoek beter worden. Vooral op momenten van crisis moet men snel kunnen communiceren. Daarom werd afgesproken deze vergadering tweemaal per jaar samen te roepen. In geval van crisis dient ze onmiddellijk samengeroepen te worden.</w:t>
      </w:r>
    </w:p>
    <w:p w:rsidR="003B24AB" w:rsidRPr="00463ADB" w:rsidRDefault="003B24AB" w:rsidP="00463ADB">
      <w:pPr>
        <w:ind w:left="360"/>
        <w:jc w:val="both"/>
        <w:rPr>
          <w:sz w:val="22"/>
          <w:szCs w:val="22"/>
        </w:rPr>
      </w:pPr>
    </w:p>
    <w:p w:rsidR="003B24AB" w:rsidRPr="00463ADB" w:rsidRDefault="003B24AB" w:rsidP="00463ADB">
      <w:pPr>
        <w:ind w:left="360"/>
        <w:jc w:val="both"/>
        <w:rPr>
          <w:sz w:val="22"/>
          <w:szCs w:val="22"/>
        </w:rPr>
      </w:pPr>
      <w:r w:rsidRPr="00463ADB">
        <w:rPr>
          <w:sz w:val="22"/>
          <w:szCs w:val="22"/>
        </w:rPr>
        <w:t>Verder was de vergadering van mening dat nog meer hygiëne bij alle schakels het voornaamste middel is om te komen tot een verminderd AB gebruik.</w:t>
      </w:r>
    </w:p>
    <w:p w:rsidR="003B24AB" w:rsidRPr="00463ADB" w:rsidRDefault="003B24AB" w:rsidP="00463ADB">
      <w:pPr>
        <w:ind w:left="360"/>
        <w:jc w:val="both"/>
        <w:rPr>
          <w:sz w:val="22"/>
          <w:szCs w:val="22"/>
        </w:rPr>
      </w:pPr>
    </w:p>
    <w:p w:rsidR="003B24AB" w:rsidRPr="00463ADB" w:rsidRDefault="003B24AB" w:rsidP="00463ADB">
      <w:pPr>
        <w:ind w:left="360"/>
        <w:jc w:val="both"/>
        <w:rPr>
          <w:sz w:val="22"/>
          <w:szCs w:val="22"/>
        </w:rPr>
      </w:pPr>
      <w:r w:rsidRPr="00463ADB">
        <w:rPr>
          <w:sz w:val="22"/>
          <w:szCs w:val="22"/>
        </w:rPr>
        <w:t xml:space="preserve">De pluimveesector heeft binnen de veeteeltsector, steeds een voortrekkersrol gespeeld op het vlak van hygiënemaatregelen. De sector heeft al snel ingezien dat hygiëne een belangrijk punt is in de voorkoming en bestrijding van pluimveeziekten.  FAVV controleert de pluimvee bedrijven in het kader van de ABC-gezondheidskwalificatie.  </w:t>
      </w:r>
    </w:p>
    <w:p w:rsidR="003B24AB" w:rsidRPr="00463ADB" w:rsidRDefault="003B24AB" w:rsidP="00463ADB">
      <w:pPr>
        <w:ind w:left="360"/>
        <w:jc w:val="both"/>
        <w:rPr>
          <w:sz w:val="22"/>
          <w:szCs w:val="22"/>
        </w:rPr>
      </w:pPr>
    </w:p>
    <w:p w:rsidR="003B24AB" w:rsidRPr="00463ADB" w:rsidRDefault="003B24AB" w:rsidP="00463ADB">
      <w:pPr>
        <w:ind w:left="360"/>
        <w:jc w:val="both"/>
        <w:rPr>
          <w:sz w:val="22"/>
          <w:szCs w:val="22"/>
        </w:rPr>
      </w:pPr>
      <w:r w:rsidRPr="00463ADB">
        <w:rPr>
          <w:sz w:val="22"/>
          <w:szCs w:val="22"/>
        </w:rPr>
        <w:t xml:space="preserve">Bemefa (Belgische vereniging voor mengvoederfabrikanten) werkt momenteel aan een inventaris van de gebruikte gemedicineerde voeders en zal eerstdaags een sensibiliseringscampagne starten waarbij een progressieve vermindering van het gebruik ervan in alle sectoren wordt nagestreefd. </w:t>
      </w:r>
    </w:p>
    <w:p w:rsidR="003B24AB" w:rsidRPr="00463ADB" w:rsidRDefault="003B24AB" w:rsidP="00463ADB">
      <w:pPr>
        <w:pStyle w:val="SVTitel"/>
        <w:rPr>
          <w:i w:val="0"/>
          <w:szCs w:val="22"/>
        </w:rPr>
      </w:pPr>
    </w:p>
    <w:p w:rsidR="003B24AB" w:rsidRPr="00463ADB" w:rsidRDefault="003B24AB" w:rsidP="00463ADB">
      <w:pPr>
        <w:pStyle w:val="SVTitel"/>
        <w:numPr>
          <w:ilvl w:val="0"/>
          <w:numId w:val="4"/>
        </w:numPr>
        <w:rPr>
          <w:i w:val="0"/>
          <w:color w:val="000000"/>
          <w:szCs w:val="22"/>
          <w:lang w:eastAsia="nl-BE"/>
        </w:rPr>
      </w:pPr>
      <w:r w:rsidRPr="00463ADB">
        <w:rPr>
          <w:i w:val="0"/>
          <w:color w:val="000000"/>
          <w:szCs w:val="22"/>
          <w:lang w:eastAsia="nl-BE"/>
        </w:rPr>
        <w:t>In België is BAPCOC (het Belgi</w:t>
      </w:r>
      <w:r>
        <w:rPr>
          <w:i w:val="0"/>
          <w:color w:val="000000"/>
          <w:szCs w:val="22"/>
          <w:lang w:eastAsia="nl-BE"/>
        </w:rPr>
        <w:t xml:space="preserve">an Antibiotic Policy Committee) </w:t>
      </w:r>
      <w:r w:rsidRPr="00463ADB">
        <w:rPr>
          <w:i w:val="0"/>
          <w:color w:val="000000"/>
          <w:szCs w:val="22"/>
          <w:lang w:eastAsia="nl-BE"/>
        </w:rPr>
        <w:t>belast met de preventie van de antibiot</w:t>
      </w:r>
      <w:r>
        <w:rPr>
          <w:i w:val="0"/>
          <w:color w:val="000000"/>
          <w:szCs w:val="22"/>
          <w:lang w:eastAsia="nl-BE"/>
        </w:rPr>
        <w:t xml:space="preserve">icaresistentie. Onder BAPCOC is </w:t>
      </w:r>
      <w:r w:rsidRPr="00463ADB">
        <w:rPr>
          <w:i w:val="0"/>
          <w:color w:val="000000"/>
          <w:szCs w:val="22"/>
          <w:lang w:eastAsia="nl-BE"/>
        </w:rPr>
        <w:t xml:space="preserve">een diergeneeskundig luik vertegenwoordigd. De websites zijn: </w:t>
      </w:r>
    </w:p>
    <w:p w:rsidR="003B24AB" w:rsidRPr="00463ADB" w:rsidRDefault="003B24AB" w:rsidP="00463ADB">
      <w:pPr>
        <w:ind w:left="360"/>
        <w:jc w:val="both"/>
        <w:rPr>
          <w:color w:val="0000FF"/>
          <w:sz w:val="22"/>
          <w:szCs w:val="22"/>
          <w:lang w:eastAsia="nl-BE"/>
        </w:rPr>
      </w:pPr>
      <w:hyperlink r:id="rId6" w:tgtFrame="_blank" w:history="1">
        <w:r w:rsidRPr="00463ADB">
          <w:rPr>
            <w:rStyle w:val="Hyperlink"/>
            <w:sz w:val="22"/>
            <w:szCs w:val="22"/>
            <w:lang w:eastAsia="nl-BE"/>
          </w:rPr>
          <w:t>http://www.health.fgov.be/antibiotics</w:t>
        </w:r>
      </w:hyperlink>
      <w:r w:rsidRPr="00463ADB">
        <w:rPr>
          <w:color w:val="0000FF"/>
          <w:sz w:val="22"/>
          <w:szCs w:val="22"/>
          <w:lang w:eastAsia="nl-BE"/>
        </w:rPr>
        <w:t xml:space="preserve"> </w:t>
      </w:r>
    </w:p>
    <w:p w:rsidR="003B24AB" w:rsidRPr="00463ADB" w:rsidRDefault="003B24AB" w:rsidP="00463ADB">
      <w:pPr>
        <w:ind w:left="360"/>
        <w:jc w:val="both"/>
        <w:rPr>
          <w:color w:val="0000FF"/>
          <w:sz w:val="22"/>
          <w:szCs w:val="22"/>
          <w:lang w:eastAsia="nl-BE"/>
        </w:rPr>
      </w:pPr>
      <w:hyperlink r:id="rId7" w:tgtFrame="_blank" w:history="1">
        <w:r w:rsidRPr="00463ADB">
          <w:rPr>
            <w:rStyle w:val="Hyperlink"/>
            <w:sz w:val="22"/>
            <w:szCs w:val="22"/>
            <w:lang w:eastAsia="nl-BE"/>
          </w:rPr>
          <w:t>http://www.red-antibiotica.org</w:t>
        </w:r>
      </w:hyperlink>
    </w:p>
    <w:p w:rsidR="003B24AB" w:rsidRPr="00463ADB" w:rsidRDefault="003B24AB" w:rsidP="00463ADB">
      <w:pPr>
        <w:ind w:left="360"/>
        <w:jc w:val="both"/>
        <w:rPr>
          <w:sz w:val="22"/>
          <w:szCs w:val="22"/>
          <w:lang w:eastAsia="nl-BE"/>
        </w:rPr>
      </w:pPr>
      <w:hyperlink r:id="rId8" w:tgtFrame="_blank" w:history="1">
        <w:r w:rsidRPr="00463ADB">
          <w:rPr>
            <w:rStyle w:val="Hyperlink"/>
            <w:sz w:val="22"/>
            <w:szCs w:val="22"/>
            <w:lang w:eastAsia="nl-BE"/>
          </w:rPr>
          <w:t>http://www.antibiotics-info.be</w:t>
        </w:r>
      </w:hyperlink>
      <w:r w:rsidRPr="00463ADB">
        <w:rPr>
          <w:sz w:val="22"/>
          <w:szCs w:val="22"/>
          <w:lang w:eastAsia="nl-BE"/>
        </w:rPr>
        <w:t xml:space="preserve"> </w:t>
      </w:r>
    </w:p>
    <w:p w:rsidR="003B24AB" w:rsidRPr="00463ADB" w:rsidRDefault="003B24AB" w:rsidP="00463ADB">
      <w:pPr>
        <w:ind w:left="360"/>
        <w:jc w:val="both"/>
        <w:rPr>
          <w:sz w:val="22"/>
          <w:szCs w:val="22"/>
          <w:lang w:val="nl-BE"/>
        </w:rPr>
      </w:pPr>
    </w:p>
    <w:p w:rsidR="003B24AB" w:rsidRPr="00463ADB" w:rsidRDefault="003B24AB" w:rsidP="00463ADB">
      <w:pPr>
        <w:ind w:left="360"/>
        <w:jc w:val="both"/>
        <w:rPr>
          <w:sz w:val="22"/>
          <w:szCs w:val="22"/>
          <w:lang w:val="nl-BE"/>
        </w:rPr>
      </w:pPr>
      <w:r w:rsidRPr="00463ADB">
        <w:rPr>
          <w:sz w:val="22"/>
          <w:szCs w:val="22"/>
          <w:lang w:val="nl-BE"/>
        </w:rPr>
        <w:t>Voor de veehouderij is er een zeer uitgebreide reeks regelgeving inzake dierziekten.</w:t>
      </w:r>
    </w:p>
    <w:p w:rsidR="003B24AB" w:rsidRPr="00463ADB" w:rsidRDefault="003B24AB" w:rsidP="00463ADB">
      <w:pPr>
        <w:ind w:left="360"/>
        <w:jc w:val="both"/>
        <w:rPr>
          <w:sz w:val="22"/>
          <w:szCs w:val="22"/>
          <w:lang w:val="nl-BE"/>
        </w:rPr>
      </w:pPr>
    </w:p>
    <w:p w:rsidR="003B24AB" w:rsidRPr="00463ADB" w:rsidRDefault="003B24AB" w:rsidP="00463ADB">
      <w:pPr>
        <w:ind w:left="360"/>
        <w:jc w:val="both"/>
        <w:rPr>
          <w:sz w:val="22"/>
          <w:szCs w:val="22"/>
          <w:lang w:val="nl-BE"/>
        </w:rPr>
      </w:pPr>
      <w:r w:rsidRPr="00463ADB">
        <w:rPr>
          <w:sz w:val="22"/>
          <w:szCs w:val="22"/>
          <w:lang w:val="nl-BE"/>
        </w:rPr>
        <w:t>Aangifteplichtige ziekten (</w:t>
      </w:r>
      <w:r w:rsidRPr="00463ADB">
        <w:rPr>
          <w:color w:val="222222"/>
          <w:sz w:val="22"/>
          <w:szCs w:val="22"/>
        </w:rPr>
        <w:t xml:space="preserve">dit houdt in dat een verdenking van besmetting onmiddellijk door de veehouder of de dierenarts gemeld moet worden aan de bevoegde inspecteur-dierenarts) </w:t>
      </w:r>
      <w:r w:rsidRPr="00463ADB">
        <w:rPr>
          <w:sz w:val="22"/>
          <w:szCs w:val="22"/>
          <w:lang w:val="nl-BE"/>
        </w:rPr>
        <w:t xml:space="preserve">zijn terug te vinden op : </w:t>
      </w:r>
      <w:hyperlink r:id="rId9" w:history="1">
        <w:r w:rsidRPr="00463ADB">
          <w:rPr>
            <w:rStyle w:val="Hyperlink"/>
            <w:sz w:val="22"/>
            <w:szCs w:val="22"/>
            <w:lang w:val="nl-BE"/>
          </w:rPr>
          <w:t>http://www.favv.be/sp/pa-sa/zoosani_nl.asp</w:t>
        </w:r>
      </w:hyperlink>
    </w:p>
    <w:p w:rsidR="003B24AB" w:rsidRPr="00463ADB" w:rsidRDefault="003B24AB" w:rsidP="00463ADB">
      <w:pPr>
        <w:ind w:left="360"/>
        <w:jc w:val="both"/>
        <w:rPr>
          <w:sz w:val="22"/>
          <w:szCs w:val="22"/>
          <w:lang w:val="nl-BE"/>
        </w:rPr>
      </w:pPr>
      <w:r w:rsidRPr="00463ADB">
        <w:rPr>
          <w:sz w:val="22"/>
          <w:szCs w:val="22"/>
          <w:lang w:val="nl-BE"/>
        </w:rPr>
        <w:t>Bij vaststelling van dergelijke aandoening worden door de diensten van het FAVV de nodige maatregelen getroffen om verdere verspreiding tegen te gaan.</w:t>
      </w:r>
    </w:p>
    <w:p w:rsidR="003B24AB" w:rsidRPr="00463ADB" w:rsidRDefault="003B24AB" w:rsidP="00463ADB">
      <w:pPr>
        <w:ind w:left="360"/>
        <w:jc w:val="both"/>
        <w:rPr>
          <w:sz w:val="22"/>
          <w:szCs w:val="22"/>
          <w:lang w:val="nl-BE"/>
        </w:rPr>
      </w:pPr>
    </w:p>
    <w:p w:rsidR="003B24AB" w:rsidRPr="00463ADB" w:rsidRDefault="003B24AB" w:rsidP="00463ADB">
      <w:pPr>
        <w:ind w:left="360"/>
        <w:jc w:val="both"/>
        <w:rPr>
          <w:sz w:val="22"/>
          <w:szCs w:val="22"/>
          <w:lang w:val="nl-BE"/>
        </w:rPr>
      </w:pPr>
      <w:r w:rsidRPr="00463ADB">
        <w:rPr>
          <w:sz w:val="22"/>
          <w:szCs w:val="22"/>
          <w:lang w:val="nl-BE"/>
        </w:rPr>
        <w:t>Een vaccinatiebeleid wordt door de FOD Volksgezondheid, Veiligheid van de Voedselketen en Leefmilieu gevoerd voor bepaalde ziekten. Dit is of was onder meer het geval voor IBR bij runderen, Aujeszky bij varkens, Blauwtong bij herkauwers…. .</w:t>
      </w:r>
    </w:p>
    <w:p w:rsidR="003B24AB" w:rsidRPr="00463ADB" w:rsidRDefault="003B24AB" w:rsidP="00463ADB">
      <w:pPr>
        <w:jc w:val="both"/>
        <w:rPr>
          <w:sz w:val="22"/>
          <w:szCs w:val="22"/>
          <w:lang w:val="nl-BE"/>
        </w:rPr>
      </w:pPr>
      <w:r w:rsidRPr="00463ADB">
        <w:rPr>
          <w:sz w:val="22"/>
          <w:szCs w:val="22"/>
          <w:lang w:val="nl-BE"/>
        </w:rPr>
        <w:t xml:space="preserve"> </w:t>
      </w:r>
    </w:p>
    <w:p w:rsidR="003B24AB" w:rsidRPr="00463ADB" w:rsidRDefault="003B24AB" w:rsidP="00463ADB">
      <w:pPr>
        <w:ind w:left="705" w:hanging="705"/>
        <w:jc w:val="both"/>
        <w:rPr>
          <w:sz w:val="22"/>
          <w:lang w:val="nl-BE"/>
        </w:rPr>
      </w:pPr>
    </w:p>
    <w:sectPr w:rsidR="003B24AB" w:rsidRPr="00463ADB" w:rsidSect="00463AD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C67"/>
    <w:multiLevelType w:val="hybridMultilevel"/>
    <w:tmpl w:val="E09A309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4A512C1"/>
    <w:multiLevelType w:val="hybridMultilevel"/>
    <w:tmpl w:val="6BDC3120"/>
    <w:lvl w:ilvl="0" w:tplc="C496421A">
      <w:start w:val="2"/>
      <w:numFmt w:val="decimal"/>
      <w:lvlText w:val="%1."/>
      <w:lvlJc w:val="left"/>
      <w:pPr>
        <w:tabs>
          <w:tab w:val="num" w:pos="720"/>
        </w:tabs>
        <w:ind w:left="720" w:hanging="360"/>
      </w:pPr>
      <w:rPr>
        <w:rFonts w:cs="Times New Roman" w:hint="default"/>
      </w:rPr>
    </w:lvl>
    <w:lvl w:ilvl="1" w:tplc="50C4BF98" w:tentative="1">
      <w:start w:val="1"/>
      <w:numFmt w:val="lowerLetter"/>
      <w:lvlText w:val="%2."/>
      <w:lvlJc w:val="left"/>
      <w:pPr>
        <w:tabs>
          <w:tab w:val="num" w:pos="1440"/>
        </w:tabs>
        <w:ind w:left="1440" w:hanging="360"/>
      </w:pPr>
      <w:rPr>
        <w:rFonts w:cs="Times New Roman"/>
      </w:rPr>
    </w:lvl>
    <w:lvl w:ilvl="2" w:tplc="B4DA9102" w:tentative="1">
      <w:start w:val="1"/>
      <w:numFmt w:val="lowerRoman"/>
      <w:lvlText w:val="%3."/>
      <w:lvlJc w:val="right"/>
      <w:pPr>
        <w:tabs>
          <w:tab w:val="num" w:pos="2160"/>
        </w:tabs>
        <w:ind w:left="2160" w:hanging="180"/>
      </w:pPr>
      <w:rPr>
        <w:rFonts w:cs="Times New Roman"/>
      </w:rPr>
    </w:lvl>
    <w:lvl w:ilvl="3" w:tplc="A412E64A" w:tentative="1">
      <w:start w:val="1"/>
      <w:numFmt w:val="decimal"/>
      <w:lvlText w:val="%4."/>
      <w:lvlJc w:val="left"/>
      <w:pPr>
        <w:tabs>
          <w:tab w:val="num" w:pos="2880"/>
        </w:tabs>
        <w:ind w:left="2880" w:hanging="360"/>
      </w:pPr>
      <w:rPr>
        <w:rFonts w:cs="Times New Roman"/>
      </w:rPr>
    </w:lvl>
    <w:lvl w:ilvl="4" w:tplc="634CC378" w:tentative="1">
      <w:start w:val="1"/>
      <w:numFmt w:val="lowerLetter"/>
      <w:lvlText w:val="%5."/>
      <w:lvlJc w:val="left"/>
      <w:pPr>
        <w:tabs>
          <w:tab w:val="num" w:pos="3600"/>
        </w:tabs>
        <w:ind w:left="3600" w:hanging="360"/>
      </w:pPr>
      <w:rPr>
        <w:rFonts w:cs="Times New Roman"/>
      </w:rPr>
    </w:lvl>
    <w:lvl w:ilvl="5" w:tplc="898C631A" w:tentative="1">
      <w:start w:val="1"/>
      <w:numFmt w:val="lowerRoman"/>
      <w:lvlText w:val="%6."/>
      <w:lvlJc w:val="right"/>
      <w:pPr>
        <w:tabs>
          <w:tab w:val="num" w:pos="4320"/>
        </w:tabs>
        <w:ind w:left="4320" w:hanging="180"/>
      </w:pPr>
      <w:rPr>
        <w:rFonts w:cs="Times New Roman"/>
      </w:rPr>
    </w:lvl>
    <w:lvl w:ilvl="6" w:tplc="34727810" w:tentative="1">
      <w:start w:val="1"/>
      <w:numFmt w:val="decimal"/>
      <w:lvlText w:val="%7."/>
      <w:lvlJc w:val="left"/>
      <w:pPr>
        <w:tabs>
          <w:tab w:val="num" w:pos="5040"/>
        </w:tabs>
        <w:ind w:left="5040" w:hanging="360"/>
      </w:pPr>
      <w:rPr>
        <w:rFonts w:cs="Times New Roman"/>
      </w:rPr>
    </w:lvl>
    <w:lvl w:ilvl="7" w:tplc="6E6211CA" w:tentative="1">
      <w:start w:val="1"/>
      <w:numFmt w:val="lowerLetter"/>
      <w:lvlText w:val="%8."/>
      <w:lvlJc w:val="left"/>
      <w:pPr>
        <w:tabs>
          <w:tab w:val="num" w:pos="5760"/>
        </w:tabs>
        <w:ind w:left="5760" w:hanging="360"/>
      </w:pPr>
      <w:rPr>
        <w:rFonts w:cs="Times New Roman"/>
      </w:rPr>
    </w:lvl>
    <w:lvl w:ilvl="8" w:tplc="DC0C45B6" w:tentative="1">
      <w:start w:val="1"/>
      <w:numFmt w:val="lowerRoman"/>
      <w:lvlText w:val="%9."/>
      <w:lvlJc w:val="right"/>
      <w:pPr>
        <w:tabs>
          <w:tab w:val="num" w:pos="6480"/>
        </w:tabs>
        <w:ind w:left="6480" w:hanging="180"/>
      </w:pPr>
      <w:rPr>
        <w:rFonts w:cs="Times New Roman"/>
      </w:r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E2E03E9"/>
    <w:multiLevelType w:val="hybridMultilevel"/>
    <w:tmpl w:val="F70AF0B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613F7C86"/>
    <w:multiLevelType w:val="multilevel"/>
    <w:tmpl w:val="F70AF0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1747B4"/>
    <w:rsid w:val="001F0937"/>
    <w:rsid w:val="002730B7"/>
    <w:rsid w:val="002E63C1"/>
    <w:rsid w:val="003B24AB"/>
    <w:rsid w:val="00463ADB"/>
    <w:rsid w:val="005431C7"/>
    <w:rsid w:val="006A324D"/>
    <w:rsid w:val="006B4189"/>
    <w:rsid w:val="006E7A17"/>
    <w:rsid w:val="006F7264"/>
    <w:rsid w:val="007A666B"/>
    <w:rsid w:val="007B527F"/>
    <w:rsid w:val="008F77D9"/>
    <w:rsid w:val="009976C1"/>
    <w:rsid w:val="009E2C40"/>
    <w:rsid w:val="00A330DB"/>
    <w:rsid w:val="00A8473D"/>
    <w:rsid w:val="00AB0AA4"/>
    <w:rsid w:val="00AF541F"/>
    <w:rsid w:val="00D522C8"/>
    <w:rsid w:val="00D77EE5"/>
    <w:rsid w:val="00E918C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DB"/>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A330DB"/>
    <w:pPr>
      <w:jc w:val="both"/>
    </w:pPr>
    <w:rPr>
      <w:sz w:val="22"/>
      <w:szCs w:val="20"/>
    </w:rPr>
  </w:style>
  <w:style w:type="paragraph" w:styleId="BalloonText">
    <w:name w:val="Balloon Text"/>
    <w:basedOn w:val="Normal"/>
    <w:link w:val="BalloonTextChar"/>
    <w:uiPriority w:val="99"/>
    <w:semiHidden/>
    <w:rsid w:val="00A330DB"/>
    <w:rPr>
      <w:rFonts w:ascii="Tahoma" w:hAnsi="Tahoma" w:cs="Tahoma"/>
      <w:sz w:val="16"/>
      <w:szCs w:val="16"/>
    </w:rPr>
  </w:style>
  <w:style w:type="character" w:customStyle="1" w:styleId="BalloonTextChar">
    <w:name w:val="Balloon Text Char"/>
    <w:basedOn w:val="DefaultParagraphFont"/>
    <w:link w:val="BalloonText"/>
    <w:uiPriority w:val="99"/>
    <w:semiHidden/>
    <w:rsid w:val="005357D6"/>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paragraph" w:customStyle="1" w:styleId="SVTitel">
    <w:name w:val="SV Titel"/>
    <w:basedOn w:val="Normal"/>
    <w:uiPriority w:val="99"/>
    <w:rsid w:val="00463ADB"/>
    <w:pPr>
      <w:jc w:val="both"/>
    </w:pPr>
    <w:rPr>
      <w:i/>
      <w:sz w:val="22"/>
      <w:szCs w:val="20"/>
    </w:rPr>
  </w:style>
  <w:style w:type="paragraph" w:customStyle="1" w:styleId="Lijstalinea1">
    <w:name w:val="Lijstalinea1"/>
    <w:basedOn w:val="Normal"/>
    <w:uiPriority w:val="99"/>
    <w:rsid w:val="00463ADB"/>
    <w:pPr>
      <w:ind w:left="720"/>
      <w:contextualSpacing/>
    </w:pPr>
    <w:rPr>
      <w:rFonts w:ascii="Calibri" w:hAnsi="Calibri"/>
      <w:sz w:val="22"/>
      <w:szCs w:val="22"/>
      <w:lang w:val="nl-BE" w:eastAsia="en-US"/>
    </w:rPr>
  </w:style>
  <w:style w:type="character" w:styleId="Hyperlink">
    <w:name w:val="Hyperlink"/>
    <w:basedOn w:val="DefaultParagraphFont"/>
    <w:uiPriority w:val="99"/>
    <w:rsid w:val="00463A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biotics-info.be/" TargetMode="External"/><Relationship Id="rId3" Type="http://schemas.openxmlformats.org/officeDocument/2006/relationships/settings" Target="settings.xml"/><Relationship Id="rId7" Type="http://schemas.openxmlformats.org/officeDocument/2006/relationships/hyperlink" Target="http://www.red-antibiot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fgov.be/antibiotics" TargetMode="External"/><Relationship Id="rId11" Type="http://schemas.openxmlformats.org/officeDocument/2006/relationships/theme" Target="theme/theme1.xml"/><Relationship Id="rId5" Type="http://schemas.openxmlformats.org/officeDocument/2006/relationships/hyperlink" Target="javascript:top.openWin('/WorldClient.dll?Session=MFVNJIY&amp;View=Compose&amp;New=Yes&amp;To=jeroen.dewulf@ugent.be','Compose',800,600,'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vv.be/sp/pa-sa/zoosani_nl.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3</TotalTime>
  <Pages>2</Pages>
  <Words>729</Words>
  <Characters>4015</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4</cp:revision>
  <cp:lastPrinted>2007-12-14T07:15:00Z</cp:lastPrinted>
  <dcterms:created xsi:type="dcterms:W3CDTF">2010-10-19T12:26:00Z</dcterms:created>
  <dcterms:modified xsi:type="dcterms:W3CDTF">2010-10-21T09:13:00Z</dcterms:modified>
</cp:coreProperties>
</file>