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8C6" w:rsidRPr="00A8473D" w:rsidRDefault="00BB78C6" w:rsidP="002730B7">
      <w:pPr>
        <w:jc w:val="both"/>
        <w:rPr>
          <w:rFonts w:ascii="Times New Roman Vet" w:hAnsi="Times New Roman Vet"/>
          <w:b/>
          <w:smallCaps/>
          <w:sz w:val="22"/>
          <w:szCs w:val="22"/>
          <w:lang w:val="nl-BE"/>
        </w:rPr>
      </w:pPr>
      <w:smartTag w:uri="urn:schemas-microsoft-com:office:smarttags" w:element="PersonName">
        <w:smartTagPr>
          <w:attr w:name="ProductID" w:val="KRIS PEETERS"/>
        </w:smartTagPr>
        <w:r w:rsidRPr="00A8473D">
          <w:rPr>
            <w:rFonts w:ascii="Times New Roman Vet" w:hAnsi="Times New Roman Vet"/>
            <w:b/>
            <w:smallCaps/>
            <w:sz w:val="22"/>
            <w:szCs w:val="22"/>
            <w:lang w:val="nl-BE"/>
          </w:rPr>
          <w:t>kris peeters</w:t>
        </w:r>
      </w:smartTag>
    </w:p>
    <w:p w:rsidR="00BB78C6" w:rsidRDefault="00BB78C6" w:rsidP="002730B7">
      <w:pPr>
        <w:pStyle w:val="StandaardSV"/>
        <w:rPr>
          <w:smallCaps/>
        </w:rPr>
      </w:pPr>
      <w:r w:rsidRPr="00A8473D">
        <w:rPr>
          <w:smallCaps/>
          <w:szCs w:val="22"/>
          <w:lang w:val="nl-BE"/>
        </w:rPr>
        <w:t>minister-president van de vlaamse regering, vlaams minister van economie, buitenlands beleid, landbouw en plattelandsbeleid</w:t>
      </w:r>
    </w:p>
    <w:p w:rsidR="00BB78C6" w:rsidRDefault="00BB78C6">
      <w:pPr>
        <w:pBdr>
          <w:bottom w:val="single" w:sz="4" w:space="1" w:color="auto"/>
        </w:pBdr>
        <w:rPr>
          <w:sz w:val="22"/>
        </w:rPr>
      </w:pPr>
    </w:p>
    <w:p w:rsidR="00BB78C6" w:rsidRDefault="00BB78C6">
      <w:pPr>
        <w:rPr>
          <w:sz w:val="22"/>
        </w:rPr>
      </w:pPr>
    </w:p>
    <w:p w:rsidR="00BB78C6" w:rsidRDefault="00BB78C6">
      <w:pPr>
        <w:rPr>
          <w:b/>
          <w:smallCaps/>
          <w:sz w:val="22"/>
        </w:rPr>
      </w:pPr>
      <w:r>
        <w:rPr>
          <w:b/>
          <w:smallCaps/>
          <w:sz w:val="22"/>
        </w:rPr>
        <w:t>antwoord</w:t>
      </w:r>
    </w:p>
    <w:p w:rsidR="00BB78C6" w:rsidRDefault="00BB78C6">
      <w:pPr>
        <w:rPr>
          <w:sz w:val="22"/>
        </w:rPr>
      </w:pPr>
      <w:r>
        <w:rPr>
          <w:sz w:val="22"/>
        </w:rPr>
        <w:t>op vraag nr. 373 van 20 september 2010</w:t>
      </w:r>
    </w:p>
    <w:p w:rsidR="00BB78C6" w:rsidRDefault="00BB78C6">
      <w:pPr>
        <w:rPr>
          <w:sz w:val="22"/>
        </w:rPr>
      </w:pPr>
      <w:r>
        <w:rPr>
          <w:sz w:val="22"/>
        </w:rPr>
        <w:t xml:space="preserve">van </w:t>
      </w:r>
      <w:r>
        <w:rPr>
          <w:b/>
          <w:smallCaps/>
          <w:sz w:val="22"/>
        </w:rPr>
        <w:t>els robeyns</w:t>
      </w:r>
    </w:p>
    <w:p w:rsidR="00BB78C6" w:rsidRDefault="00BB78C6" w:rsidP="009976C1">
      <w:pPr>
        <w:pBdr>
          <w:bottom w:val="single" w:sz="4" w:space="1" w:color="auto"/>
        </w:pBdr>
        <w:jc w:val="both"/>
        <w:rPr>
          <w:sz w:val="22"/>
        </w:rPr>
      </w:pPr>
    </w:p>
    <w:p w:rsidR="00BB78C6" w:rsidRDefault="00BB78C6" w:rsidP="009976C1">
      <w:pPr>
        <w:jc w:val="both"/>
        <w:rPr>
          <w:sz w:val="22"/>
        </w:rPr>
      </w:pPr>
    </w:p>
    <w:p w:rsidR="00BB78C6" w:rsidRDefault="00BB78C6" w:rsidP="009976C1">
      <w:pPr>
        <w:jc w:val="both"/>
        <w:rPr>
          <w:sz w:val="22"/>
        </w:rPr>
      </w:pPr>
    </w:p>
    <w:p w:rsidR="00BB78C6" w:rsidRDefault="00BB78C6" w:rsidP="009976C1">
      <w:pPr>
        <w:jc w:val="both"/>
        <w:rPr>
          <w:sz w:val="22"/>
        </w:rPr>
        <w:sectPr w:rsidR="00BB78C6">
          <w:pgSz w:w="11906" w:h="16838"/>
          <w:pgMar w:top="1417" w:right="1417" w:bottom="1417" w:left="1417" w:header="708" w:footer="708" w:gutter="0"/>
          <w:cols w:space="708"/>
          <w:docGrid w:linePitch="360"/>
        </w:sectPr>
      </w:pPr>
    </w:p>
    <w:p w:rsidR="00BB78C6" w:rsidRPr="006D548E" w:rsidRDefault="00BB78C6" w:rsidP="006D548E">
      <w:pPr>
        <w:pStyle w:val="StandaardSV"/>
        <w:numPr>
          <w:ilvl w:val="0"/>
          <w:numId w:val="10"/>
        </w:numPr>
        <w:rPr>
          <w:szCs w:val="22"/>
          <w:lang w:val="nl-BE"/>
        </w:rPr>
      </w:pPr>
      <w:r w:rsidRPr="006D548E">
        <w:rPr>
          <w:szCs w:val="22"/>
          <w:lang w:val="nl-BE"/>
        </w:rPr>
        <w:t>Tabel 1 geeft een overzicht van de uitbetaalde bedragen van 2006 tot en met 2010 voor de maatregel genetische diversiteit dieren. Sinds 2006 werd 1.583.475 euro effectief uitbetaald. Hiervan was 398.475 euro bestemd voor overeenkomsten met schapen of geiten en 1.185.000 euro voor overeenkomsten met runderen. De uitbetalingen in 2010 zijn nog niet volledig afgerond: in de loop van de volgende weken zal in principe nog 219.650 euro uitbetaald worden, wat maakt dat het totale uitbetaalde bedrag voor 2010 384.175 euro zal zijn. Het totaal uitbetaalde bedrag voor de periode 2006 tot 2010 wordt dan 1.803.125 euro.</w:t>
      </w:r>
    </w:p>
    <w:p w:rsidR="00BB78C6" w:rsidRPr="006D548E" w:rsidRDefault="00BB78C6" w:rsidP="006D548E">
      <w:pPr>
        <w:pStyle w:val="StandaardSV"/>
        <w:ind w:left="360"/>
        <w:rPr>
          <w:szCs w:val="22"/>
          <w:lang w:val="nl-BE"/>
        </w:rPr>
      </w:pPr>
      <w:r w:rsidRPr="006D548E">
        <w:rPr>
          <w:szCs w:val="22"/>
          <w:lang w:val="nl-BE"/>
        </w:rPr>
        <w:t>Deze bedragen zijn in principe voor 50% Europees gecofinancierd.</w:t>
      </w:r>
    </w:p>
    <w:p w:rsidR="00BB78C6" w:rsidRPr="006D548E" w:rsidRDefault="00BB78C6" w:rsidP="006D548E">
      <w:pPr>
        <w:pStyle w:val="StandaardSV"/>
        <w:ind w:left="360"/>
        <w:rPr>
          <w:szCs w:val="22"/>
          <w:lang w:val="nl-BE"/>
        </w:rPr>
      </w:pPr>
    </w:p>
    <w:tbl>
      <w:tblPr>
        <w:tblW w:w="7204"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16"/>
        <w:gridCol w:w="2202"/>
        <w:gridCol w:w="1701"/>
        <w:gridCol w:w="1185"/>
      </w:tblGrid>
      <w:tr w:rsidR="00BB78C6" w:rsidRPr="006D548E" w:rsidTr="007F7EEE">
        <w:trPr>
          <w:trHeight w:val="255"/>
        </w:trPr>
        <w:tc>
          <w:tcPr>
            <w:tcW w:w="4318" w:type="dxa"/>
            <w:gridSpan w:val="2"/>
            <w:noWrap/>
            <w:vAlign w:val="bottom"/>
          </w:tcPr>
          <w:p w:rsidR="00BB78C6" w:rsidRPr="006D548E" w:rsidRDefault="00BB78C6" w:rsidP="006D548E">
            <w:pPr>
              <w:jc w:val="both"/>
              <w:rPr>
                <w:color w:val="000000"/>
                <w:sz w:val="22"/>
                <w:szCs w:val="22"/>
              </w:rPr>
            </w:pPr>
            <w:r w:rsidRPr="006D548E">
              <w:rPr>
                <w:color w:val="000000"/>
                <w:sz w:val="22"/>
                <w:szCs w:val="22"/>
              </w:rPr>
              <w:t>Bedrag (euro) betaald in</w:t>
            </w:r>
          </w:p>
        </w:tc>
        <w:tc>
          <w:tcPr>
            <w:tcW w:w="1701" w:type="dxa"/>
            <w:noWrap/>
            <w:vAlign w:val="bottom"/>
          </w:tcPr>
          <w:p w:rsidR="00BB78C6" w:rsidRPr="006D548E" w:rsidRDefault="00BB78C6" w:rsidP="006D548E">
            <w:pPr>
              <w:jc w:val="both"/>
              <w:rPr>
                <w:color w:val="000000"/>
                <w:sz w:val="22"/>
                <w:szCs w:val="22"/>
              </w:rPr>
            </w:pPr>
            <w:r w:rsidRPr="006D548E">
              <w:rPr>
                <w:color w:val="000000"/>
                <w:sz w:val="22"/>
                <w:szCs w:val="22"/>
              </w:rPr>
              <w:t>Schapen</w:t>
            </w:r>
            <w:r>
              <w:rPr>
                <w:color w:val="000000"/>
                <w:sz w:val="22"/>
                <w:szCs w:val="22"/>
              </w:rPr>
              <w:t xml:space="preserve"> </w:t>
            </w:r>
            <w:r w:rsidRPr="006D548E">
              <w:rPr>
                <w:color w:val="000000"/>
                <w:sz w:val="22"/>
                <w:szCs w:val="22"/>
              </w:rPr>
              <w:t>+</w:t>
            </w:r>
            <w:r>
              <w:rPr>
                <w:color w:val="000000"/>
                <w:sz w:val="22"/>
                <w:szCs w:val="22"/>
              </w:rPr>
              <w:t xml:space="preserve"> </w:t>
            </w:r>
            <w:r w:rsidRPr="006D548E">
              <w:rPr>
                <w:color w:val="000000"/>
                <w:sz w:val="22"/>
                <w:szCs w:val="22"/>
              </w:rPr>
              <w:t>geiten</w:t>
            </w:r>
          </w:p>
        </w:tc>
        <w:tc>
          <w:tcPr>
            <w:tcW w:w="1185" w:type="dxa"/>
            <w:noWrap/>
            <w:vAlign w:val="bottom"/>
          </w:tcPr>
          <w:p w:rsidR="00BB78C6" w:rsidRPr="006D548E" w:rsidRDefault="00BB78C6" w:rsidP="006D548E">
            <w:pPr>
              <w:jc w:val="both"/>
              <w:rPr>
                <w:color w:val="000000"/>
                <w:sz w:val="22"/>
                <w:szCs w:val="22"/>
              </w:rPr>
            </w:pPr>
            <w:r w:rsidRPr="006D548E">
              <w:rPr>
                <w:color w:val="000000"/>
                <w:sz w:val="22"/>
                <w:szCs w:val="22"/>
              </w:rPr>
              <w:t>runderen</w:t>
            </w:r>
          </w:p>
        </w:tc>
      </w:tr>
      <w:tr w:rsidR="00BB78C6" w:rsidRPr="006D548E" w:rsidTr="007F7EEE">
        <w:trPr>
          <w:trHeight w:val="255"/>
        </w:trPr>
        <w:tc>
          <w:tcPr>
            <w:tcW w:w="2116" w:type="dxa"/>
            <w:noWrap/>
            <w:vAlign w:val="bottom"/>
          </w:tcPr>
          <w:p w:rsidR="00BB78C6" w:rsidRPr="006D548E" w:rsidRDefault="00BB78C6" w:rsidP="006D548E">
            <w:pPr>
              <w:jc w:val="both"/>
              <w:rPr>
                <w:color w:val="000000"/>
                <w:sz w:val="22"/>
                <w:szCs w:val="22"/>
              </w:rPr>
            </w:pPr>
            <w:r w:rsidRPr="006D548E">
              <w:rPr>
                <w:color w:val="000000"/>
                <w:sz w:val="22"/>
                <w:szCs w:val="22"/>
              </w:rPr>
              <w:t>2006</w:t>
            </w:r>
          </w:p>
        </w:tc>
        <w:tc>
          <w:tcPr>
            <w:tcW w:w="2202" w:type="dxa"/>
            <w:noWrap/>
            <w:vAlign w:val="bottom"/>
          </w:tcPr>
          <w:p w:rsidR="00BB78C6" w:rsidRPr="006D548E" w:rsidRDefault="00BB78C6" w:rsidP="006D548E">
            <w:pPr>
              <w:jc w:val="both"/>
              <w:rPr>
                <w:sz w:val="22"/>
                <w:szCs w:val="22"/>
              </w:rPr>
            </w:pPr>
            <w:r w:rsidRPr="006D548E">
              <w:rPr>
                <w:sz w:val="22"/>
                <w:szCs w:val="22"/>
              </w:rPr>
              <w:t>353.525</w:t>
            </w:r>
          </w:p>
        </w:tc>
        <w:tc>
          <w:tcPr>
            <w:tcW w:w="1701" w:type="dxa"/>
            <w:noWrap/>
            <w:vAlign w:val="bottom"/>
          </w:tcPr>
          <w:p w:rsidR="00BB78C6" w:rsidRPr="006D548E" w:rsidRDefault="00BB78C6" w:rsidP="006D548E">
            <w:pPr>
              <w:jc w:val="both"/>
              <w:rPr>
                <w:color w:val="000000"/>
                <w:sz w:val="22"/>
                <w:szCs w:val="22"/>
              </w:rPr>
            </w:pPr>
            <w:r w:rsidRPr="006D548E">
              <w:rPr>
                <w:color w:val="000000"/>
                <w:sz w:val="22"/>
                <w:szCs w:val="22"/>
              </w:rPr>
              <w:t>88.825</w:t>
            </w:r>
          </w:p>
        </w:tc>
        <w:tc>
          <w:tcPr>
            <w:tcW w:w="1185" w:type="dxa"/>
            <w:noWrap/>
            <w:vAlign w:val="bottom"/>
          </w:tcPr>
          <w:p w:rsidR="00BB78C6" w:rsidRPr="006D548E" w:rsidRDefault="00BB78C6" w:rsidP="006D548E">
            <w:pPr>
              <w:jc w:val="both"/>
              <w:rPr>
                <w:color w:val="000000"/>
                <w:sz w:val="22"/>
                <w:szCs w:val="22"/>
              </w:rPr>
            </w:pPr>
            <w:r w:rsidRPr="006D548E">
              <w:rPr>
                <w:color w:val="000000"/>
                <w:sz w:val="22"/>
                <w:szCs w:val="22"/>
              </w:rPr>
              <w:t>264.700</w:t>
            </w:r>
          </w:p>
        </w:tc>
      </w:tr>
      <w:tr w:rsidR="00BB78C6" w:rsidRPr="006D548E" w:rsidTr="007F7EEE">
        <w:trPr>
          <w:trHeight w:val="255"/>
        </w:trPr>
        <w:tc>
          <w:tcPr>
            <w:tcW w:w="2116" w:type="dxa"/>
            <w:noWrap/>
            <w:vAlign w:val="bottom"/>
          </w:tcPr>
          <w:p w:rsidR="00BB78C6" w:rsidRPr="006D548E" w:rsidRDefault="00BB78C6" w:rsidP="006D548E">
            <w:pPr>
              <w:jc w:val="both"/>
              <w:rPr>
                <w:color w:val="000000"/>
                <w:sz w:val="22"/>
                <w:szCs w:val="22"/>
              </w:rPr>
            </w:pPr>
            <w:r w:rsidRPr="006D548E">
              <w:rPr>
                <w:color w:val="000000"/>
                <w:sz w:val="22"/>
                <w:szCs w:val="22"/>
              </w:rPr>
              <w:t>2007</w:t>
            </w:r>
          </w:p>
        </w:tc>
        <w:tc>
          <w:tcPr>
            <w:tcW w:w="2202" w:type="dxa"/>
            <w:noWrap/>
            <w:vAlign w:val="bottom"/>
          </w:tcPr>
          <w:p w:rsidR="00BB78C6" w:rsidRPr="006D548E" w:rsidRDefault="00BB78C6" w:rsidP="006D548E">
            <w:pPr>
              <w:jc w:val="both"/>
              <w:rPr>
                <w:color w:val="000000"/>
                <w:sz w:val="22"/>
                <w:szCs w:val="22"/>
              </w:rPr>
            </w:pPr>
            <w:r w:rsidRPr="006D548E">
              <w:rPr>
                <w:color w:val="000000"/>
                <w:sz w:val="22"/>
                <w:szCs w:val="22"/>
              </w:rPr>
              <w:t>349.750</w:t>
            </w:r>
          </w:p>
        </w:tc>
        <w:tc>
          <w:tcPr>
            <w:tcW w:w="1701" w:type="dxa"/>
            <w:noWrap/>
            <w:vAlign w:val="bottom"/>
          </w:tcPr>
          <w:p w:rsidR="00BB78C6" w:rsidRPr="006D548E" w:rsidRDefault="00BB78C6" w:rsidP="006D548E">
            <w:pPr>
              <w:jc w:val="both"/>
              <w:rPr>
                <w:color w:val="000000"/>
                <w:sz w:val="22"/>
                <w:szCs w:val="22"/>
              </w:rPr>
            </w:pPr>
            <w:r w:rsidRPr="006D548E">
              <w:rPr>
                <w:color w:val="000000"/>
                <w:sz w:val="22"/>
                <w:szCs w:val="22"/>
              </w:rPr>
              <w:t>85.350</w:t>
            </w:r>
          </w:p>
        </w:tc>
        <w:tc>
          <w:tcPr>
            <w:tcW w:w="1185" w:type="dxa"/>
            <w:noWrap/>
            <w:vAlign w:val="bottom"/>
          </w:tcPr>
          <w:p w:rsidR="00BB78C6" w:rsidRPr="006D548E" w:rsidRDefault="00BB78C6" w:rsidP="006D548E">
            <w:pPr>
              <w:jc w:val="both"/>
              <w:rPr>
                <w:color w:val="000000"/>
                <w:sz w:val="22"/>
                <w:szCs w:val="22"/>
              </w:rPr>
            </w:pPr>
            <w:r w:rsidRPr="006D548E">
              <w:rPr>
                <w:color w:val="000000"/>
                <w:sz w:val="22"/>
                <w:szCs w:val="22"/>
              </w:rPr>
              <w:t>264.400</w:t>
            </w:r>
          </w:p>
        </w:tc>
      </w:tr>
      <w:tr w:rsidR="00BB78C6" w:rsidRPr="006D548E" w:rsidTr="007F7EEE">
        <w:trPr>
          <w:trHeight w:val="255"/>
        </w:trPr>
        <w:tc>
          <w:tcPr>
            <w:tcW w:w="2116" w:type="dxa"/>
            <w:noWrap/>
            <w:vAlign w:val="bottom"/>
          </w:tcPr>
          <w:p w:rsidR="00BB78C6" w:rsidRPr="006D548E" w:rsidRDefault="00BB78C6" w:rsidP="006D548E">
            <w:pPr>
              <w:jc w:val="both"/>
              <w:rPr>
                <w:color w:val="000000"/>
                <w:sz w:val="22"/>
                <w:szCs w:val="22"/>
              </w:rPr>
            </w:pPr>
            <w:r w:rsidRPr="006D548E">
              <w:rPr>
                <w:color w:val="000000"/>
                <w:sz w:val="22"/>
                <w:szCs w:val="22"/>
              </w:rPr>
              <w:t>2008</w:t>
            </w:r>
          </w:p>
        </w:tc>
        <w:tc>
          <w:tcPr>
            <w:tcW w:w="2202" w:type="dxa"/>
            <w:noWrap/>
            <w:vAlign w:val="bottom"/>
          </w:tcPr>
          <w:p w:rsidR="00BB78C6" w:rsidRPr="006D548E" w:rsidRDefault="00BB78C6" w:rsidP="006D548E">
            <w:pPr>
              <w:jc w:val="both"/>
              <w:rPr>
                <w:color w:val="000000"/>
                <w:sz w:val="22"/>
                <w:szCs w:val="22"/>
              </w:rPr>
            </w:pPr>
            <w:r w:rsidRPr="006D548E">
              <w:rPr>
                <w:color w:val="000000"/>
                <w:sz w:val="22"/>
                <w:szCs w:val="22"/>
              </w:rPr>
              <w:t>351.825</w:t>
            </w:r>
          </w:p>
        </w:tc>
        <w:tc>
          <w:tcPr>
            <w:tcW w:w="1701" w:type="dxa"/>
            <w:noWrap/>
            <w:vAlign w:val="bottom"/>
          </w:tcPr>
          <w:p w:rsidR="00BB78C6" w:rsidRPr="006D548E" w:rsidRDefault="00BB78C6" w:rsidP="006D548E">
            <w:pPr>
              <w:jc w:val="both"/>
              <w:rPr>
                <w:color w:val="000000"/>
                <w:sz w:val="22"/>
                <w:szCs w:val="22"/>
              </w:rPr>
            </w:pPr>
            <w:r w:rsidRPr="006D548E">
              <w:rPr>
                <w:color w:val="000000"/>
                <w:sz w:val="22"/>
                <w:szCs w:val="22"/>
              </w:rPr>
              <w:t>83.225</w:t>
            </w:r>
          </w:p>
        </w:tc>
        <w:tc>
          <w:tcPr>
            <w:tcW w:w="1185" w:type="dxa"/>
            <w:noWrap/>
            <w:vAlign w:val="bottom"/>
          </w:tcPr>
          <w:p w:rsidR="00BB78C6" w:rsidRPr="006D548E" w:rsidRDefault="00BB78C6" w:rsidP="006D548E">
            <w:pPr>
              <w:jc w:val="both"/>
              <w:rPr>
                <w:color w:val="000000"/>
                <w:sz w:val="22"/>
                <w:szCs w:val="22"/>
              </w:rPr>
            </w:pPr>
            <w:r w:rsidRPr="006D548E">
              <w:rPr>
                <w:color w:val="000000"/>
                <w:sz w:val="22"/>
                <w:szCs w:val="22"/>
              </w:rPr>
              <w:t>268.600</w:t>
            </w:r>
          </w:p>
        </w:tc>
      </w:tr>
      <w:tr w:rsidR="00BB78C6" w:rsidRPr="006D548E" w:rsidTr="007F7EEE">
        <w:trPr>
          <w:trHeight w:val="255"/>
        </w:trPr>
        <w:tc>
          <w:tcPr>
            <w:tcW w:w="2116" w:type="dxa"/>
            <w:noWrap/>
            <w:vAlign w:val="bottom"/>
          </w:tcPr>
          <w:p w:rsidR="00BB78C6" w:rsidRPr="006D548E" w:rsidRDefault="00BB78C6" w:rsidP="006D548E">
            <w:pPr>
              <w:jc w:val="both"/>
              <w:rPr>
                <w:color w:val="000000"/>
                <w:sz w:val="22"/>
                <w:szCs w:val="22"/>
              </w:rPr>
            </w:pPr>
            <w:r w:rsidRPr="006D548E">
              <w:rPr>
                <w:color w:val="000000"/>
                <w:sz w:val="22"/>
                <w:szCs w:val="22"/>
              </w:rPr>
              <w:t>2009</w:t>
            </w:r>
          </w:p>
        </w:tc>
        <w:tc>
          <w:tcPr>
            <w:tcW w:w="2202" w:type="dxa"/>
            <w:noWrap/>
            <w:vAlign w:val="bottom"/>
          </w:tcPr>
          <w:p w:rsidR="00BB78C6" w:rsidRPr="006D548E" w:rsidRDefault="00BB78C6" w:rsidP="006D548E">
            <w:pPr>
              <w:jc w:val="both"/>
              <w:rPr>
                <w:color w:val="000000"/>
                <w:sz w:val="22"/>
                <w:szCs w:val="22"/>
              </w:rPr>
            </w:pPr>
            <w:r w:rsidRPr="006D548E">
              <w:rPr>
                <w:color w:val="000000"/>
                <w:sz w:val="22"/>
                <w:szCs w:val="22"/>
              </w:rPr>
              <w:t>363.850</w:t>
            </w:r>
          </w:p>
        </w:tc>
        <w:tc>
          <w:tcPr>
            <w:tcW w:w="1701" w:type="dxa"/>
            <w:noWrap/>
            <w:vAlign w:val="bottom"/>
          </w:tcPr>
          <w:p w:rsidR="00BB78C6" w:rsidRPr="006D548E" w:rsidRDefault="00BB78C6" w:rsidP="006D548E">
            <w:pPr>
              <w:jc w:val="both"/>
              <w:rPr>
                <w:color w:val="000000"/>
                <w:sz w:val="22"/>
                <w:szCs w:val="22"/>
              </w:rPr>
            </w:pPr>
            <w:r w:rsidRPr="006D548E">
              <w:rPr>
                <w:color w:val="000000"/>
                <w:sz w:val="22"/>
                <w:szCs w:val="22"/>
              </w:rPr>
              <w:t>89.950</w:t>
            </w:r>
          </w:p>
        </w:tc>
        <w:tc>
          <w:tcPr>
            <w:tcW w:w="1185" w:type="dxa"/>
            <w:noWrap/>
            <w:vAlign w:val="bottom"/>
          </w:tcPr>
          <w:p w:rsidR="00BB78C6" w:rsidRPr="006D548E" w:rsidRDefault="00BB78C6" w:rsidP="006D548E">
            <w:pPr>
              <w:jc w:val="both"/>
              <w:rPr>
                <w:color w:val="000000"/>
                <w:sz w:val="22"/>
                <w:szCs w:val="22"/>
              </w:rPr>
            </w:pPr>
            <w:r w:rsidRPr="006D548E">
              <w:rPr>
                <w:color w:val="000000"/>
                <w:sz w:val="22"/>
                <w:szCs w:val="22"/>
              </w:rPr>
              <w:t>273.900</w:t>
            </w:r>
          </w:p>
        </w:tc>
      </w:tr>
      <w:tr w:rsidR="00BB78C6" w:rsidRPr="006D548E" w:rsidTr="007F7EEE">
        <w:trPr>
          <w:trHeight w:val="255"/>
        </w:trPr>
        <w:tc>
          <w:tcPr>
            <w:tcW w:w="2116" w:type="dxa"/>
            <w:noWrap/>
            <w:vAlign w:val="bottom"/>
          </w:tcPr>
          <w:p w:rsidR="00BB78C6" w:rsidRPr="006D548E" w:rsidRDefault="00BB78C6" w:rsidP="006D548E">
            <w:pPr>
              <w:jc w:val="both"/>
              <w:rPr>
                <w:color w:val="000000"/>
                <w:sz w:val="22"/>
                <w:szCs w:val="22"/>
              </w:rPr>
            </w:pPr>
            <w:r w:rsidRPr="006D548E">
              <w:rPr>
                <w:color w:val="000000"/>
                <w:sz w:val="22"/>
                <w:szCs w:val="22"/>
              </w:rPr>
              <w:t>2010</w:t>
            </w:r>
          </w:p>
        </w:tc>
        <w:tc>
          <w:tcPr>
            <w:tcW w:w="2202" w:type="dxa"/>
            <w:noWrap/>
            <w:vAlign w:val="bottom"/>
          </w:tcPr>
          <w:p w:rsidR="00BB78C6" w:rsidRPr="006D548E" w:rsidRDefault="00BB78C6" w:rsidP="006D548E">
            <w:pPr>
              <w:jc w:val="both"/>
              <w:rPr>
                <w:color w:val="000000"/>
                <w:sz w:val="22"/>
                <w:szCs w:val="22"/>
              </w:rPr>
            </w:pPr>
            <w:r w:rsidRPr="006D548E">
              <w:rPr>
                <w:color w:val="000000"/>
                <w:sz w:val="22"/>
                <w:szCs w:val="22"/>
              </w:rPr>
              <w:t>164.525</w:t>
            </w:r>
          </w:p>
        </w:tc>
        <w:tc>
          <w:tcPr>
            <w:tcW w:w="1701" w:type="dxa"/>
            <w:noWrap/>
            <w:vAlign w:val="bottom"/>
          </w:tcPr>
          <w:p w:rsidR="00BB78C6" w:rsidRPr="006D548E" w:rsidRDefault="00BB78C6" w:rsidP="006D548E">
            <w:pPr>
              <w:jc w:val="both"/>
              <w:rPr>
                <w:color w:val="000000"/>
                <w:sz w:val="22"/>
                <w:szCs w:val="22"/>
              </w:rPr>
            </w:pPr>
            <w:r w:rsidRPr="006D548E">
              <w:rPr>
                <w:color w:val="000000"/>
                <w:sz w:val="22"/>
                <w:szCs w:val="22"/>
              </w:rPr>
              <w:t>51.125</w:t>
            </w:r>
          </w:p>
        </w:tc>
        <w:tc>
          <w:tcPr>
            <w:tcW w:w="1185" w:type="dxa"/>
            <w:noWrap/>
            <w:vAlign w:val="bottom"/>
          </w:tcPr>
          <w:p w:rsidR="00BB78C6" w:rsidRPr="006D548E" w:rsidRDefault="00BB78C6" w:rsidP="006D548E">
            <w:pPr>
              <w:jc w:val="both"/>
              <w:rPr>
                <w:color w:val="000000"/>
                <w:sz w:val="22"/>
                <w:szCs w:val="22"/>
              </w:rPr>
            </w:pPr>
            <w:r w:rsidRPr="006D548E">
              <w:rPr>
                <w:color w:val="000000"/>
                <w:sz w:val="22"/>
                <w:szCs w:val="22"/>
              </w:rPr>
              <w:t>113.400</w:t>
            </w:r>
          </w:p>
        </w:tc>
      </w:tr>
      <w:tr w:rsidR="00BB78C6" w:rsidRPr="006D548E" w:rsidTr="007F7EEE">
        <w:trPr>
          <w:trHeight w:val="255"/>
        </w:trPr>
        <w:tc>
          <w:tcPr>
            <w:tcW w:w="2116" w:type="dxa"/>
            <w:noWrap/>
            <w:vAlign w:val="bottom"/>
          </w:tcPr>
          <w:p w:rsidR="00BB78C6" w:rsidRPr="006D548E" w:rsidRDefault="00BB78C6" w:rsidP="006D548E">
            <w:pPr>
              <w:jc w:val="both"/>
              <w:rPr>
                <w:color w:val="000000"/>
                <w:sz w:val="22"/>
                <w:szCs w:val="22"/>
              </w:rPr>
            </w:pPr>
            <w:r w:rsidRPr="006D548E">
              <w:rPr>
                <w:color w:val="000000"/>
                <w:sz w:val="22"/>
                <w:szCs w:val="22"/>
              </w:rPr>
              <w:t>Totaal</w:t>
            </w:r>
          </w:p>
        </w:tc>
        <w:tc>
          <w:tcPr>
            <w:tcW w:w="2202" w:type="dxa"/>
            <w:noWrap/>
            <w:vAlign w:val="bottom"/>
          </w:tcPr>
          <w:p w:rsidR="00BB78C6" w:rsidRPr="006D548E" w:rsidRDefault="00BB78C6" w:rsidP="006D548E">
            <w:pPr>
              <w:jc w:val="both"/>
              <w:rPr>
                <w:color w:val="000000"/>
                <w:sz w:val="22"/>
                <w:szCs w:val="22"/>
              </w:rPr>
            </w:pPr>
            <w:r w:rsidRPr="006D548E">
              <w:rPr>
                <w:color w:val="000000"/>
                <w:sz w:val="22"/>
                <w:szCs w:val="22"/>
              </w:rPr>
              <w:t>1.583.475</w:t>
            </w:r>
          </w:p>
        </w:tc>
        <w:tc>
          <w:tcPr>
            <w:tcW w:w="1701" w:type="dxa"/>
            <w:noWrap/>
            <w:vAlign w:val="bottom"/>
          </w:tcPr>
          <w:p w:rsidR="00BB78C6" w:rsidRPr="006D548E" w:rsidRDefault="00BB78C6" w:rsidP="006D548E">
            <w:pPr>
              <w:jc w:val="both"/>
              <w:rPr>
                <w:color w:val="000000"/>
                <w:sz w:val="22"/>
                <w:szCs w:val="22"/>
              </w:rPr>
            </w:pPr>
            <w:r w:rsidRPr="006D548E">
              <w:rPr>
                <w:color w:val="000000"/>
                <w:sz w:val="22"/>
                <w:szCs w:val="22"/>
              </w:rPr>
              <w:t>398.475</w:t>
            </w:r>
          </w:p>
        </w:tc>
        <w:tc>
          <w:tcPr>
            <w:tcW w:w="1185" w:type="dxa"/>
            <w:noWrap/>
            <w:vAlign w:val="bottom"/>
          </w:tcPr>
          <w:p w:rsidR="00BB78C6" w:rsidRPr="006D548E" w:rsidRDefault="00BB78C6" w:rsidP="006D548E">
            <w:pPr>
              <w:jc w:val="both"/>
              <w:rPr>
                <w:color w:val="000000"/>
                <w:sz w:val="22"/>
                <w:szCs w:val="22"/>
              </w:rPr>
            </w:pPr>
            <w:r w:rsidRPr="006D548E">
              <w:rPr>
                <w:color w:val="000000"/>
                <w:sz w:val="22"/>
                <w:szCs w:val="22"/>
              </w:rPr>
              <w:t>1.185.000</w:t>
            </w:r>
          </w:p>
        </w:tc>
      </w:tr>
    </w:tbl>
    <w:p w:rsidR="00BB78C6" w:rsidRPr="006D548E" w:rsidRDefault="00BB78C6" w:rsidP="006D548E">
      <w:pPr>
        <w:pStyle w:val="StandaardSV"/>
        <w:ind w:left="360"/>
        <w:rPr>
          <w:szCs w:val="22"/>
          <w:lang w:val="nl-BE"/>
        </w:rPr>
      </w:pPr>
      <w:r w:rsidRPr="006D548E">
        <w:rPr>
          <w:szCs w:val="22"/>
          <w:lang w:val="nl-BE"/>
        </w:rPr>
        <w:t>Tabel 1</w:t>
      </w:r>
    </w:p>
    <w:p w:rsidR="00BB78C6" w:rsidRPr="006D548E" w:rsidRDefault="00BB78C6" w:rsidP="006D548E">
      <w:pPr>
        <w:pStyle w:val="StandaardSV"/>
        <w:ind w:left="360"/>
        <w:rPr>
          <w:szCs w:val="22"/>
          <w:lang w:val="nl-BE"/>
        </w:rPr>
      </w:pPr>
    </w:p>
    <w:p w:rsidR="00BB78C6" w:rsidRPr="006D548E" w:rsidRDefault="00BB78C6" w:rsidP="006D548E">
      <w:pPr>
        <w:pStyle w:val="StandaardSV"/>
        <w:ind w:left="360"/>
        <w:rPr>
          <w:szCs w:val="22"/>
          <w:lang w:val="nl-BE"/>
        </w:rPr>
      </w:pPr>
      <w:r w:rsidRPr="006D548E">
        <w:rPr>
          <w:szCs w:val="22"/>
          <w:lang w:val="nl-BE"/>
        </w:rPr>
        <w:t xml:space="preserve">De verdeling van de uitbetaalde bedragen per provincie is weergegeven in tabel 2. </w:t>
      </w:r>
    </w:p>
    <w:tbl>
      <w:tblPr>
        <w:tblW w:w="6128" w:type="dxa"/>
        <w:tblInd w:w="43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tblPr>
      <w:tblGrid>
        <w:gridCol w:w="2835"/>
        <w:gridCol w:w="1617"/>
        <w:gridCol w:w="1676"/>
      </w:tblGrid>
      <w:tr w:rsidR="00BB78C6" w:rsidRPr="006D548E" w:rsidTr="007F7EEE">
        <w:trPr>
          <w:trHeight w:val="255"/>
        </w:trPr>
        <w:tc>
          <w:tcPr>
            <w:tcW w:w="2835" w:type="dxa"/>
            <w:tcBorders>
              <w:top w:val="single" w:sz="4" w:space="0" w:color="auto"/>
            </w:tcBorders>
            <w:noWrap/>
            <w:vAlign w:val="bottom"/>
          </w:tcPr>
          <w:p w:rsidR="00BB78C6" w:rsidRPr="006D548E" w:rsidRDefault="00BB78C6" w:rsidP="006D548E">
            <w:pPr>
              <w:jc w:val="both"/>
              <w:rPr>
                <w:color w:val="000000"/>
                <w:sz w:val="22"/>
                <w:szCs w:val="22"/>
              </w:rPr>
            </w:pPr>
            <w:r w:rsidRPr="006D548E">
              <w:rPr>
                <w:color w:val="000000"/>
                <w:sz w:val="22"/>
                <w:szCs w:val="22"/>
              </w:rPr>
              <w:t>Bedrag (euro) per  provincie</w:t>
            </w:r>
          </w:p>
        </w:tc>
        <w:tc>
          <w:tcPr>
            <w:tcW w:w="1617" w:type="dxa"/>
            <w:tcBorders>
              <w:top w:val="single" w:sz="4" w:space="0" w:color="auto"/>
            </w:tcBorders>
            <w:noWrap/>
            <w:vAlign w:val="bottom"/>
          </w:tcPr>
          <w:p w:rsidR="00BB78C6" w:rsidRPr="006D548E" w:rsidRDefault="00BB78C6" w:rsidP="006D548E">
            <w:pPr>
              <w:jc w:val="both"/>
              <w:rPr>
                <w:color w:val="000000"/>
                <w:sz w:val="22"/>
                <w:szCs w:val="22"/>
              </w:rPr>
            </w:pPr>
          </w:p>
        </w:tc>
        <w:tc>
          <w:tcPr>
            <w:tcW w:w="1676" w:type="dxa"/>
            <w:tcBorders>
              <w:top w:val="single" w:sz="4" w:space="0" w:color="auto"/>
            </w:tcBorders>
            <w:noWrap/>
            <w:vAlign w:val="bottom"/>
          </w:tcPr>
          <w:p w:rsidR="00BB78C6" w:rsidRPr="006D548E" w:rsidRDefault="00BB78C6" w:rsidP="006D548E">
            <w:pPr>
              <w:jc w:val="both"/>
              <w:rPr>
                <w:color w:val="000000"/>
                <w:sz w:val="22"/>
                <w:szCs w:val="22"/>
              </w:rPr>
            </w:pPr>
          </w:p>
        </w:tc>
      </w:tr>
      <w:tr w:rsidR="00BB78C6" w:rsidRPr="006D548E" w:rsidTr="007F7EEE">
        <w:trPr>
          <w:trHeight w:val="255"/>
        </w:trPr>
        <w:tc>
          <w:tcPr>
            <w:tcW w:w="2835" w:type="dxa"/>
            <w:noWrap/>
            <w:vAlign w:val="bottom"/>
          </w:tcPr>
          <w:p w:rsidR="00BB78C6" w:rsidRPr="006D548E" w:rsidRDefault="00BB78C6" w:rsidP="006D548E">
            <w:pPr>
              <w:jc w:val="both"/>
              <w:rPr>
                <w:color w:val="000000"/>
                <w:sz w:val="22"/>
                <w:szCs w:val="22"/>
              </w:rPr>
            </w:pPr>
            <w:r w:rsidRPr="006D548E">
              <w:rPr>
                <w:color w:val="000000"/>
                <w:sz w:val="22"/>
                <w:szCs w:val="22"/>
              </w:rPr>
              <w:t>Vlaams-Brabant</w:t>
            </w:r>
          </w:p>
        </w:tc>
        <w:tc>
          <w:tcPr>
            <w:tcW w:w="1617" w:type="dxa"/>
            <w:noWrap/>
            <w:vAlign w:val="bottom"/>
          </w:tcPr>
          <w:p w:rsidR="00BB78C6" w:rsidRPr="006D548E" w:rsidRDefault="00BB78C6" w:rsidP="006D548E">
            <w:pPr>
              <w:jc w:val="both"/>
              <w:rPr>
                <w:color w:val="000000"/>
                <w:sz w:val="22"/>
                <w:szCs w:val="22"/>
              </w:rPr>
            </w:pPr>
            <w:r w:rsidRPr="006D548E">
              <w:rPr>
                <w:color w:val="000000"/>
                <w:sz w:val="22"/>
                <w:szCs w:val="22"/>
              </w:rPr>
              <w:t>477.175,00</w:t>
            </w:r>
          </w:p>
        </w:tc>
        <w:tc>
          <w:tcPr>
            <w:tcW w:w="1676" w:type="dxa"/>
            <w:noWrap/>
            <w:vAlign w:val="bottom"/>
          </w:tcPr>
          <w:p w:rsidR="00BB78C6" w:rsidRPr="006D548E" w:rsidRDefault="00BB78C6" w:rsidP="006D548E">
            <w:pPr>
              <w:jc w:val="both"/>
              <w:rPr>
                <w:color w:val="000000"/>
                <w:sz w:val="22"/>
                <w:szCs w:val="22"/>
              </w:rPr>
            </w:pPr>
            <w:r w:rsidRPr="006D548E">
              <w:rPr>
                <w:color w:val="000000"/>
                <w:sz w:val="22"/>
                <w:szCs w:val="22"/>
              </w:rPr>
              <w:t>30,13%</w:t>
            </w:r>
          </w:p>
        </w:tc>
      </w:tr>
      <w:tr w:rsidR="00BB78C6" w:rsidRPr="006D548E" w:rsidTr="007F7EEE">
        <w:trPr>
          <w:trHeight w:val="255"/>
        </w:trPr>
        <w:tc>
          <w:tcPr>
            <w:tcW w:w="2835" w:type="dxa"/>
            <w:noWrap/>
            <w:vAlign w:val="bottom"/>
          </w:tcPr>
          <w:p w:rsidR="00BB78C6" w:rsidRPr="006D548E" w:rsidRDefault="00BB78C6" w:rsidP="006D548E">
            <w:pPr>
              <w:jc w:val="both"/>
              <w:rPr>
                <w:color w:val="000000"/>
                <w:sz w:val="22"/>
                <w:szCs w:val="22"/>
              </w:rPr>
            </w:pPr>
            <w:r w:rsidRPr="006D548E">
              <w:rPr>
                <w:color w:val="000000"/>
                <w:sz w:val="22"/>
                <w:szCs w:val="22"/>
              </w:rPr>
              <w:t>Antwerpen</w:t>
            </w:r>
          </w:p>
        </w:tc>
        <w:tc>
          <w:tcPr>
            <w:tcW w:w="1617" w:type="dxa"/>
            <w:noWrap/>
            <w:vAlign w:val="bottom"/>
          </w:tcPr>
          <w:p w:rsidR="00BB78C6" w:rsidRPr="006D548E" w:rsidRDefault="00BB78C6" w:rsidP="006D548E">
            <w:pPr>
              <w:jc w:val="both"/>
              <w:rPr>
                <w:color w:val="000000"/>
                <w:sz w:val="22"/>
                <w:szCs w:val="22"/>
              </w:rPr>
            </w:pPr>
            <w:r w:rsidRPr="006D548E">
              <w:rPr>
                <w:color w:val="000000"/>
                <w:sz w:val="22"/>
                <w:szCs w:val="22"/>
              </w:rPr>
              <w:t>240.050,00</w:t>
            </w:r>
          </w:p>
        </w:tc>
        <w:tc>
          <w:tcPr>
            <w:tcW w:w="1676" w:type="dxa"/>
            <w:noWrap/>
            <w:vAlign w:val="bottom"/>
          </w:tcPr>
          <w:p w:rsidR="00BB78C6" w:rsidRPr="006D548E" w:rsidRDefault="00BB78C6" w:rsidP="006D548E">
            <w:pPr>
              <w:jc w:val="both"/>
              <w:rPr>
                <w:color w:val="000000"/>
                <w:sz w:val="22"/>
                <w:szCs w:val="22"/>
              </w:rPr>
            </w:pPr>
            <w:r w:rsidRPr="006D548E">
              <w:rPr>
                <w:color w:val="000000"/>
                <w:sz w:val="22"/>
                <w:szCs w:val="22"/>
              </w:rPr>
              <w:t>15,16%</w:t>
            </w:r>
          </w:p>
        </w:tc>
      </w:tr>
      <w:tr w:rsidR="00BB78C6" w:rsidRPr="006D548E" w:rsidTr="007F7EEE">
        <w:trPr>
          <w:trHeight w:val="255"/>
        </w:trPr>
        <w:tc>
          <w:tcPr>
            <w:tcW w:w="2835" w:type="dxa"/>
            <w:noWrap/>
            <w:vAlign w:val="bottom"/>
          </w:tcPr>
          <w:p w:rsidR="00BB78C6" w:rsidRPr="006D548E" w:rsidRDefault="00BB78C6" w:rsidP="006D548E">
            <w:pPr>
              <w:jc w:val="both"/>
              <w:rPr>
                <w:color w:val="000000"/>
                <w:sz w:val="22"/>
                <w:szCs w:val="22"/>
              </w:rPr>
            </w:pPr>
            <w:r w:rsidRPr="006D548E">
              <w:rPr>
                <w:color w:val="000000"/>
                <w:sz w:val="22"/>
                <w:szCs w:val="22"/>
              </w:rPr>
              <w:t>Limburg</w:t>
            </w:r>
          </w:p>
        </w:tc>
        <w:tc>
          <w:tcPr>
            <w:tcW w:w="1617" w:type="dxa"/>
            <w:noWrap/>
            <w:vAlign w:val="bottom"/>
          </w:tcPr>
          <w:p w:rsidR="00BB78C6" w:rsidRPr="006D548E" w:rsidRDefault="00BB78C6" w:rsidP="006D548E">
            <w:pPr>
              <w:jc w:val="both"/>
              <w:rPr>
                <w:color w:val="000000"/>
                <w:sz w:val="22"/>
                <w:szCs w:val="22"/>
              </w:rPr>
            </w:pPr>
            <w:r w:rsidRPr="006D548E">
              <w:rPr>
                <w:color w:val="000000"/>
                <w:sz w:val="22"/>
                <w:szCs w:val="22"/>
              </w:rPr>
              <w:t>31.725,00</w:t>
            </w:r>
          </w:p>
        </w:tc>
        <w:tc>
          <w:tcPr>
            <w:tcW w:w="1676" w:type="dxa"/>
            <w:noWrap/>
            <w:vAlign w:val="bottom"/>
          </w:tcPr>
          <w:p w:rsidR="00BB78C6" w:rsidRPr="006D548E" w:rsidRDefault="00BB78C6" w:rsidP="006D548E">
            <w:pPr>
              <w:jc w:val="both"/>
              <w:rPr>
                <w:color w:val="000000"/>
                <w:sz w:val="22"/>
                <w:szCs w:val="22"/>
              </w:rPr>
            </w:pPr>
            <w:r w:rsidRPr="006D548E">
              <w:rPr>
                <w:color w:val="000000"/>
                <w:sz w:val="22"/>
                <w:szCs w:val="22"/>
              </w:rPr>
              <w:t>2,00%</w:t>
            </w:r>
          </w:p>
        </w:tc>
      </w:tr>
      <w:tr w:rsidR="00BB78C6" w:rsidRPr="006D548E" w:rsidTr="007F7EEE">
        <w:trPr>
          <w:trHeight w:val="255"/>
        </w:trPr>
        <w:tc>
          <w:tcPr>
            <w:tcW w:w="2835" w:type="dxa"/>
            <w:noWrap/>
            <w:vAlign w:val="bottom"/>
          </w:tcPr>
          <w:p w:rsidR="00BB78C6" w:rsidRPr="006D548E" w:rsidRDefault="00BB78C6" w:rsidP="006D548E">
            <w:pPr>
              <w:jc w:val="both"/>
              <w:rPr>
                <w:color w:val="000000"/>
                <w:sz w:val="22"/>
                <w:szCs w:val="22"/>
              </w:rPr>
            </w:pPr>
            <w:r w:rsidRPr="006D548E">
              <w:rPr>
                <w:color w:val="000000"/>
                <w:sz w:val="22"/>
                <w:szCs w:val="22"/>
              </w:rPr>
              <w:t>Oost-Vlaanderen</w:t>
            </w:r>
          </w:p>
        </w:tc>
        <w:tc>
          <w:tcPr>
            <w:tcW w:w="1617" w:type="dxa"/>
            <w:noWrap/>
            <w:vAlign w:val="bottom"/>
          </w:tcPr>
          <w:p w:rsidR="00BB78C6" w:rsidRPr="006D548E" w:rsidRDefault="00BB78C6" w:rsidP="006D548E">
            <w:pPr>
              <w:jc w:val="both"/>
              <w:rPr>
                <w:color w:val="000000"/>
                <w:sz w:val="22"/>
                <w:szCs w:val="22"/>
              </w:rPr>
            </w:pPr>
            <w:r w:rsidRPr="006D548E">
              <w:rPr>
                <w:color w:val="000000"/>
                <w:sz w:val="22"/>
                <w:szCs w:val="22"/>
              </w:rPr>
              <w:t>159.000,00</w:t>
            </w:r>
          </w:p>
        </w:tc>
        <w:tc>
          <w:tcPr>
            <w:tcW w:w="1676" w:type="dxa"/>
            <w:noWrap/>
            <w:vAlign w:val="bottom"/>
          </w:tcPr>
          <w:p w:rsidR="00BB78C6" w:rsidRPr="006D548E" w:rsidRDefault="00BB78C6" w:rsidP="006D548E">
            <w:pPr>
              <w:jc w:val="both"/>
              <w:rPr>
                <w:color w:val="000000"/>
                <w:sz w:val="22"/>
                <w:szCs w:val="22"/>
              </w:rPr>
            </w:pPr>
            <w:r w:rsidRPr="006D548E">
              <w:rPr>
                <w:color w:val="000000"/>
                <w:sz w:val="22"/>
                <w:szCs w:val="22"/>
              </w:rPr>
              <w:t>10,04%</w:t>
            </w:r>
          </w:p>
        </w:tc>
      </w:tr>
      <w:tr w:rsidR="00BB78C6" w:rsidRPr="006D548E" w:rsidTr="007F7EEE">
        <w:trPr>
          <w:trHeight w:val="255"/>
        </w:trPr>
        <w:tc>
          <w:tcPr>
            <w:tcW w:w="2835" w:type="dxa"/>
            <w:noWrap/>
            <w:vAlign w:val="bottom"/>
          </w:tcPr>
          <w:p w:rsidR="00BB78C6" w:rsidRPr="006D548E" w:rsidRDefault="00BB78C6" w:rsidP="006D548E">
            <w:pPr>
              <w:jc w:val="both"/>
              <w:rPr>
                <w:color w:val="000000"/>
                <w:sz w:val="22"/>
                <w:szCs w:val="22"/>
              </w:rPr>
            </w:pPr>
            <w:r w:rsidRPr="006D548E">
              <w:rPr>
                <w:color w:val="000000"/>
                <w:sz w:val="22"/>
                <w:szCs w:val="22"/>
              </w:rPr>
              <w:t>West-Vlaanderen</w:t>
            </w:r>
          </w:p>
        </w:tc>
        <w:tc>
          <w:tcPr>
            <w:tcW w:w="1617" w:type="dxa"/>
            <w:noWrap/>
            <w:vAlign w:val="bottom"/>
          </w:tcPr>
          <w:p w:rsidR="00BB78C6" w:rsidRPr="006D548E" w:rsidRDefault="00BB78C6" w:rsidP="006D548E">
            <w:pPr>
              <w:jc w:val="both"/>
              <w:rPr>
                <w:color w:val="000000"/>
                <w:sz w:val="22"/>
                <w:szCs w:val="22"/>
              </w:rPr>
            </w:pPr>
            <w:r w:rsidRPr="006D548E">
              <w:rPr>
                <w:color w:val="000000"/>
                <w:sz w:val="22"/>
                <w:szCs w:val="22"/>
              </w:rPr>
              <w:t>675.525,00</w:t>
            </w:r>
          </w:p>
        </w:tc>
        <w:tc>
          <w:tcPr>
            <w:tcW w:w="1676" w:type="dxa"/>
            <w:noWrap/>
            <w:vAlign w:val="bottom"/>
          </w:tcPr>
          <w:p w:rsidR="00BB78C6" w:rsidRPr="006D548E" w:rsidRDefault="00BB78C6" w:rsidP="006D548E">
            <w:pPr>
              <w:jc w:val="both"/>
              <w:rPr>
                <w:color w:val="000000"/>
                <w:sz w:val="22"/>
                <w:szCs w:val="22"/>
              </w:rPr>
            </w:pPr>
            <w:r w:rsidRPr="006D548E">
              <w:rPr>
                <w:color w:val="000000"/>
                <w:sz w:val="22"/>
                <w:szCs w:val="22"/>
              </w:rPr>
              <w:t>42,66%</w:t>
            </w:r>
          </w:p>
        </w:tc>
      </w:tr>
      <w:tr w:rsidR="00BB78C6" w:rsidRPr="006D548E" w:rsidTr="007F7EEE">
        <w:trPr>
          <w:trHeight w:val="255"/>
        </w:trPr>
        <w:tc>
          <w:tcPr>
            <w:tcW w:w="2835" w:type="dxa"/>
            <w:tcBorders>
              <w:bottom w:val="single" w:sz="4" w:space="0" w:color="auto"/>
            </w:tcBorders>
            <w:noWrap/>
            <w:vAlign w:val="bottom"/>
          </w:tcPr>
          <w:p w:rsidR="00BB78C6" w:rsidRPr="006D548E" w:rsidRDefault="00BB78C6" w:rsidP="006D548E">
            <w:pPr>
              <w:jc w:val="both"/>
              <w:rPr>
                <w:color w:val="000000"/>
                <w:sz w:val="22"/>
                <w:szCs w:val="22"/>
              </w:rPr>
            </w:pPr>
            <w:r w:rsidRPr="006D548E">
              <w:rPr>
                <w:color w:val="000000"/>
                <w:sz w:val="22"/>
                <w:szCs w:val="22"/>
              </w:rPr>
              <w:t>Totaal</w:t>
            </w:r>
          </w:p>
        </w:tc>
        <w:tc>
          <w:tcPr>
            <w:tcW w:w="1617" w:type="dxa"/>
            <w:tcBorders>
              <w:bottom w:val="single" w:sz="4" w:space="0" w:color="auto"/>
            </w:tcBorders>
            <w:noWrap/>
            <w:vAlign w:val="bottom"/>
          </w:tcPr>
          <w:p w:rsidR="00BB78C6" w:rsidRPr="006D548E" w:rsidRDefault="00BB78C6" w:rsidP="006D548E">
            <w:pPr>
              <w:jc w:val="both"/>
              <w:rPr>
                <w:color w:val="000000"/>
                <w:sz w:val="22"/>
                <w:szCs w:val="22"/>
              </w:rPr>
            </w:pPr>
            <w:r w:rsidRPr="006D548E">
              <w:rPr>
                <w:color w:val="000000"/>
                <w:sz w:val="22"/>
                <w:szCs w:val="22"/>
              </w:rPr>
              <w:t>1.583.475,00</w:t>
            </w:r>
          </w:p>
        </w:tc>
        <w:tc>
          <w:tcPr>
            <w:tcW w:w="1676" w:type="dxa"/>
            <w:tcBorders>
              <w:bottom w:val="single" w:sz="4" w:space="0" w:color="auto"/>
            </w:tcBorders>
            <w:noWrap/>
            <w:vAlign w:val="bottom"/>
          </w:tcPr>
          <w:p w:rsidR="00BB78C6" w:rsidRPr="006D548E" w:rsidRDefault="00BB78C6" w:rsidP="006D548E">
            <w:pPr>
              <w:jc w:val="both"/>
              <w:rPr>
                <w:color w:val="000000"/>
                <w:sz w:val="22"/>
                <w:szCs w:val="22"/>
              </w:rPr>
            </w:pPr>
          </w:p>
        </w:tc>
      </w:tr>
    </w:tbl>
    <w:p w:rsidR="00BB78C6" w:rsidRPr="006D548E" w:rsidRDefault="00BB78C6" w:rsidP="006D548E">
      <w:pPr>
        <w:pStyle w:val="StandaardSV"/>
        <w:ind w:left="360"/>
        <w:rPr>
          <w:szCs w:val="22"/>
          <w:lang w:val="nl-BE"/>
        </w:rPr>
      </w:pPr>
      <w:r w:rsidRPr="006D548E">
        <w:rPr>
          <w:szCs w:val="22"/>
          <w:lang w:val="nl-BE"/>
        </w:rPr>
        <w:t>Tabel 2</w:t>
      </w:r>
    </w:p>
    <w:p w:rsidR="00BB78C6" w:rsidRPr="006D548E" w:rsidRDefault="00BB78C6" w:rsidP="006D548E">
      <w:pPr>
        <w:pStyle w:val="StandaardSV"/>
        <w:rPr>
          <w:szCs w:val="22"/>
          <w:lang w:val="nl-BE"/>
        </w:rPr>
      </w:pPr>
    </w:p>
    <w:p w:rsidR="00BB78C6" w:rsidRPr="006D548E" w:rsidRDefault="00BB78C6" w:rsidP="006D548E">
      <w:pPr>
        <w:pStyle w:val="StandaardSV"/>
        <w:numPr>
          <w:ilvl w:val="0"/>
          <w:numId w:val="8"/>
        </w:numPr>
        <w:rPr>
          <w:szCs w:val="22"/>
          <w:lang w:val="nl-BE"/>
        </w:rPr>
      </w:pPr>
      <w:r w:rsidRPr="006D548E">
        <w:rPr>
          <w:szCs w:val="22"/>
          <w:lang w:val="nl-BE"/>
        </w:rPr>
        <w:t>De overeenkomsten worden aangegaan voor een periode van 5 jaar. Jaarlijks moet de begunstigde voor de uitbetaling van de subsidie een betalingsaanvraag indienen. In het totaal werden er sinds 2006 988 betaalaanvragen verwerkt. 529 betalingen hadden betrekking op overeenkomsten voor schapen of geiten, 459 op overeenkomsten voor runderen.</w:t>
      </w:r>
    </w:p>
    <w:p w:rsidR="00BB78C6" w:rsidRPr="006D548E" w:rsidRDefault="00BB78C6" w:rsidP="006D548E">
      <w:pPr>
        <w:jc w:val="both"/>
        <w:rPr>
          <w:sz w:val="22"/>
          <w:szCs w:val="22"/>
          <w:lang w:val="nl-BE"/>
        </w:rPr>
      </w:pPr>
    </w:p>
    <w:tbl>
      <w:tblPr>
        <w:tblW w:w="72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16"/>
        <w:gridCol w:w="2201"/>
        <w:gridCol w:w="1701"/>
        <w:gridCol w:w="1186"/>
      </w:tblGrid>
      <w:tr w:rsidR="00BB78C6" w:rsidRPr="006D548E" w:rsidTr="007F7EEE">
        <w:trPr>
          <w:trHeight w:val="255"/>
        </w:trPr>
        <w:tc>
          <w:tcPr>
            <w:tcW w:w="2116" w:type="dxa"/>
            <w:noWrap/>
            <w:vAlign w:val="bottom"/>
          </w:tcPr>
          <w:p w:rsidR="00BB78C6" w:rsidRPr="006D548E" w:rsidRDefault="00BB78C6" w:rsidP="006D548E">
            <w:pPr>
              <w:jc w:val="both"/>
              <w:rPr>
                <w:color w:val="000000"/>
                <w:sz w:val="22"/>
                <w:szCs w:val="22"/>
              </w:rPr>
            </w:pPr>
            <w:r w:rsidRPr="006D548E">
              <w:rPr>
                <w:color w:val="000000"/>
                <w:sz w:val="22"/>
                <w:szCs w:val="22"/>
              </w:rPr>
              <w:t xml:space="preserve">Aantal betalingen in </w:t>
            </w:r>
          </w:p>
        </w:tc>
        <w:tc>
          <w:tcPr>
            <w:tcW w:w="2201" w:type="dxa"/>
            <w:noWrap/>
            <w:vAlign w:val="bottom"/>
          </w:tcPr>
          <w:p w:rsidR="00BB78C6" w:rsidRPr="006D548E" w:rsidRDefault="00BB78C6" w:rsidP="006D548E">
            <w:pPr>
              <w:jc w:val="both"/>
              <w:rPr>
                <w:color w:val="000000"/>
                <w:sz w:val="22"/>
                <w:szCs w:val="22"/>
              </w:rPr>
            </w:pPr>
          </w:p>
        </w:tc>
        <w:tc>
          <w:tcPr>
            <w:tcW w:w="1701" w:type="dxa"/>
            <w:noWrap/>
            <w:vAlign w:val="bottom"/>
          </w:tcPr>
          <w:p w:rsidR="00BB78C6" w:rsidRPr="006D548E" w:rsidRDefault="00BB78C6" w:rsidP="006D548E">
            <w:pPr>
              <w:jc w:val="both"/>
              <w:rPr>
                <w:color w:val="000000"/>
                <w:sz w:val="22"/>
                <w:szCs w:val="22"/>
              </w:rPr>
            </w:pPr>
            <w:r>
              <w:rPr>
                <w:color w:val="000000"/>
                <w:sz w:val="22"/>
                <w:szCs w:val="22"/>
              </w:rPr>
              <w:t>S</w:t>
            </w:r>
            <w:r w:rsidRPr="006D548E">
              <w:rPr>
                <w:color w:val="000000"/>
                <w:sz w:val="22"/>
                <w:szCs w:val="22"/>
              </w:rPr>
              <w:t>chapen</w:t>
            </w:r>
            <w:r>
              <w:rPr>
                <w:color w:val="000000"/>
                <w:sz w:val="22"/>
                <w:szCs w:val="22"/>
              </w:rPr>
              <w:t xml:space="preserve"> </w:t>
            </w:r>
            <w:r w:rsidRPr="006D548E">
              <w:rPr>
                <w:color w:val="000000"/>
                <w:sz w:val="22"/>
                <w:szCs w:val="22"/>
              </w:rPr>
              <w:t>+</w:t>
            </w:r>
            <w:r>
              <w:rPr>
                <w:color w:val="000000"/>
                <w:sz w:val="22"/>
                <w:szCs w:val="22"/>
              </w:rPr>
              <w:t xml:space="preserve"> </w:t>
            </w:r>
            <w:r w:rsidRPr="006D548E">
              <w:rPr>
                <w:color w:val="000000"/>
                <w:sz w:val="22"/>
                <w:szCs w:val="22"/>
              </w:rPr>
              <w:t>geiten</w:t>
            </w:r>
          </w:p>
        </w:tc>
        <w:tc>
          <w:tcPr>
            <w:tcW w:w="1186" w:type="dxa"/>
            <w:noWrap/>
            <w:vAlign w:val="bottom"/>
          </w:tcPr>
          <w:p w:rsidR="00BB78C6" w:rsidRPr="006D548E" w:rsidRDefault="00BB78C6" w:rsidP="006D548E">
            <w:pPr>
              <w:jc w:val="both"/>
              <w:rPr>
                <w:color w:val="000000"/>
                <w:sz w:val="22"/>
                <w:szCs w:val="22"/>
              </w:rPr>
            </w:pPr>
            <w:r w:rsidRPr="006D548E">
              <w:rPr>
                <w:color w:val="000000"/>
                <w:sz w:val="22"/>
                <w:szCs w:val="22"/>
              </w:rPr>
              <w:t>runderen</w:t>
            </w:r>
          </w:p>
        </w:tc>
      </w:tr>
      <w:tr w:rsidR="00BB78C6" w:rsidRPr="006D548E" w:rsidTr="007F7EEE">
        <w:trPr>
          <w:trHeight w:val="255"/>
        </w:trPr>
        <w:tc>
          <w:tcPr>
            <w:tcW w:w="2116" w:type="dxa"/>
            <w:noWrap/>
            <w:vAlign w:val="bottom"/>
          </w:tcPr>
          <w:p w:rsidR="00BB78C6" w:rsidRPr="006D548E" w:rsidRDefault="00BB78C6" w:rsidP="006D548E">
            <w:pPr>
              <w:jc w:val="both"/>
              <w:rPr>
                <w:color w:val="000000"/>
                <w:sz w:val="22"/>
                <w:szCs w:val="22"/>
              </w:rPr>
            </w:pPr>
            <w:r w:rsidRPr="006D548E">
              <w:rPr>
                <w:color w:val="000000"/>
                <w:sz w:val="22"/>
                <w:szCs w:val="22"/>
              </w:rPr>
              <w:t>2006</w:t>
            </w:r>
          </w:p>
        </w:tc>
        <w:tc>
          <w:tcPr>
            <w:tcW w:w="2201" w:type="dxa"/>
            <w:noWrap/>
            <w:vAlign w:val="bottom"/>
          </w:tcPr>
          <w:p w:rsidR="00BB78C6" w:rsidRPr="006D548E" w:rsidRDefault="00BB78C6" w:rsidP="006D548E">
            <w:pPr>
              <w:jc w:val="both"/>
              <w:rPr>
                <w:color w:val="000000"/>
                <w:sz w:val="22"/>
                <w:szCs w:val="22"/>
              </w:rPr>
            </w:pPr>
            <w:r w:rsidRPr="006D548E">
              <w:rPr>
                <w:color w:val="000000"/>
                <w:sz w:val="22"/>
                <w:szCs w:val="22"/>
              </w:rPr>
              <w:t>227</w:t>
            </w:r>
          </w:p>
        </w:tc>
        <w:tc>
          <w:tcPr>
            <w:tcW w:w="1701" w:type="dxa"/>
            <w:noWrap/>
            <w:vAlign w:val="bottom"/>
          </w:tcPr>
          <w:p w:rsidR="00BB78C6" w:rsidRPr="006D548E" w:rsidRDefault="00BB78C6" w:rsidP="006D548E">
            <w:pPr>
              <w:jc w:val="both"/>
              <w:rPr>
                <w:color w:val="000000"/>
                <w:sz w:val="22"/>
                <w:szCs w:val="22"/>
              </w:rPr>
            </w:pPr>
            <w:r w:rsidRPr="006D548E">
              <w:rPr>
                <w:color w:val="000000"/>
                <w:sz w:val="22"/>
                <w:szCs w:val="22"/>
              </w:rPr>
              <w:t>113</w:t>
            </w:r>
          </w:p>
        </w:tc>
        <w:tc>
          <w:tcPr>
            <w:tcW w:w="1186" w:type="dxa"/>
            <w:noWrap/>
            <w:vAlign w:val="bottom"/>
          </w:tcPr>
          <w:p w:rsidR="00BB78C6" w:rsidRPr="006D548E" w:rsidRDefault="00BB78C6" w:rsidP="006D548E">
            <w:pPr>
              <w:jc w:val="both"/>
              <w:rPr>
                <w:color w:val="000000"/>
                <w:sz w:val="22"/>
                <w:szCs w:val="22"/>
              </w:rPr>
            </w:pPr>
            <w:r w:rsidRPr="006D548E">
              <w:rPr>
                <w:color w:val="000000"/>
                <w:sz w:val="22"/>
                <w:szCs w:val="22"/>
              </w:rPr>
              <w:t>114</w:t>
            </w:r>
          </w:p>
        </w:tc>
      </w:tr>
      <w:tr w:rsidR="00BB78C6" w:rsidRPr="006D548E" w:rsidTr="007F7EEE">
        <w:trPr>
          <w:trHeight w:val="255"/>
        </w:trPr>
        <w:tc>
          <w:tcPr>
            <w:tcW w:w="2116" w:type="dxa"/>
            <w:noWrap/>
            <w:vAlign w:val="bottom"/>
          </w:tcPr>
          <w:p w:rsidR="00BB78C6" w:rsidRPr="006D548E" w:rsidRDefault="00BB78C6" w:rsidP="006D548E">
            <w:pPr>
              <w:jc w:val="both"/>
              <w:rPr>
                <w:color w:val="000000"/>
                <w:sz w:val="22"/>
                <w:szCs w:val="22"/>
              </w:rPr>
            </w:pPr>
            <w:r w:rsidRPr="006D548E">
              <w:rPr>
                <w:color w:val="000000"/>
                <w:sz w:val="22"/>
                <w:szCs w:val="22"/>
              </w:rPr>
              <w:t>2007</w:t>
            </w:r>
          </w:p>
        </w:tc>
        <w:tc>
          <w:tcPr>
            <w:tcW w:w="2201" w:type="dxa"/>
            <w:noWrap/>
            <w:vAlign w:val="bottom"/>
          </w:tcPr>
          <w:p w:rsidR="00BB78C6" w:rsidRPr="006D548E" w:rsidRDefault="00BB78C6" w:rsidP="006D548E">
            <w:pPr>
              <w:jc w:val="both"/>
              <w:rPr>
                <w:color w:val="000000"/>
                <w:sz w:val="22"/>
                <w:szCs w:val="22"/>
              </w:rPr>
            </w:pPr>
            <w:r w:rsidRPr="006D548E">
              <w:rPr>
                <w:color w:val="000000"/>
                <w:sz w:val="22"/>
                <w:szCs w:val="22"/>
              </w:rPr>
              <w:t>220</w:t>
            </w:r>
          </w:p>
        </w:tc>
        <w:tc>
          <w:tcPr>
            <w:tcW w:w="1701" w:type="dxa"/>
            <w:noWrap/>
            <w:vAlign w:val="bottom"/>
          </w:tcPr>
          <w:p w:rsidR="00BB78C6" w:rsidRPr="006D548E" w:rsidRDefault="00BB78C6" w:rsidP="006D548E">
            <w:pPr>
              <w:jc w:val="both"/>
              <w:rPr>
                <w:color w:val="000000"/>
                <w:sz w:val="22"/>
                <w:szCs w:val="22"/>
              </w:rPr>
            </w:pPr>
            <w:r w:rsidRPr="006D548E">
              <w:rPr>
                <w:color w:val="000000"/>
                <w:sz w:val="22"/>
                <w:szCs w:val="22"/>
              </w:rPr>
              <w:t>116</w:t>
            </w:r>
          </w:p>
        </w:tc>
        <w:tc>
          <w:tcPr>
            <w:tcW w:w="1186" w:type="dxa"/>
            <w:noWrap/>
            <w:vAlign w:val="bottom"/>
          </w:tcPr>
          <w:p w:rsidR="00BB78C6" w:rsidRPr="006D548E" w:rsidRDefault="00BB78C6" w:rsidP="006D548E">
            <w:pPr>
              <w:jc w:val="both"/>
              <w:rPr>
                <w:color w:val="000000"/>
                <w:sz w:val="22"/>
                <w:szCs w:val="22"/>
              </w:rPr>
            </w:pPr>
            <w:r w:rsidRPr="006D548E">
              <w:rPr>
                <w:color w:val="000000"/>
                <w:sz w:val="22"/>
                <w:szCs w:val="22"/>
              </w:rPr>
              <w:t>104</w:t>
            </w:r>
          </w:p>
        </w:tc>
      </w:tr>
      <w:tr w:rsidR="00BB78C6" w:rsidRPr="006D548E" w:rsidTr="007F7EEE">
        <w:trPr>
          <w:trHeight w:val="255"/>
        </w:trPr>
        <w:tc>
          <w:tcPr>
            <w:tcW w:w="2116" w:type="dxa"/>
            <w:noWrap/>
            <w:vAlign w:val="bottom"/>
          </w:tcPr>
          <w:p w:rsidR="00BB78C6" w:rsidRPr="006D548E" w:rsidRDefault="00BB78C6" w:rsidP="006D548E">
            <w:pPr>
              <w:jc w:val="both"/>
              <w:rPr>
                <w:color w:val="000000"/>
                <w:sz w:val="22"/>
                <w:szCs w:val="22"/>
              </w:rPr>
            </w:pPr>
            <w:r w:rsidRPr="006D548E">
              <w:rPr>
                <w:color w:val="000000"/>
                <w:sz w:val="22"/>
                <w:szCs w:val="22"/>
              </w:rPr>
              <w:t>2008</w:t>
            </w:r>
          </w:p>
        </w:tc>
        <w:tc>
          <w:tcPr>
            <w:tcW w:w="2201" w:type="dxa"/>
            <w:noWrap/>
            <w:vAlign w:val="bottom"/>
          </w:tcPr>
          <w:p w:rsidR="00BB78C6" w:rsidRPr="006D548E" w:rsidRDefault="00BB78C6" w:rsidP="006D548E">
            <w:pPr>
              <w:jc w:val="both"/>
              <w:rPr>
                <w:color w:val="000000"/>
                <w:sz w:val="22"/>
                <w:szCs w:val="22"/>
              </w:rPr>
            </w:pPr>
            <w:r w:rsidRPr="006D548E">
              <w:rPr>
                <w:color w:val="000000"/>
                <w:sz w:val="22"/>
                <w:szCs w:val="22"/>
              </w:rPr>
              <w:t>220</w:t>
            </w:r>
          </w:p>
        </w:tc>
        <w:tc>
          <w:tcPr>
            <w:tcW w:w="1701" w:type="dxa"/>
            <w:noWrap/>
            <w:vAlign w:val="bottom"/>
          </w:tcPr>
          <w:p w:rsidR="00BB78C6" w:rsidRPr="006D548E" w:rsidRDefault="00BB78C6" w:rsidP="006D548E">
            <w:pPr>
              <w:jc w:val="both"/>
              <w:rPr>
                <w:color w:val="000000"/>
                <w:sz w:val="22"/>
                <w:szCs w:val="22"/>
              </w:rPr>
            </w:pPr>
            <w:r w:rsidRPr="006D548E">
              <w:rPr>
                <w:color w:val="000000"/>
                <w:sz w:val="22"/>
                <w:szCs w:val="22"/>
              </w:rPr>
              <w:t>119</w:t>
            </w:r>
          </w:p>
        </w:tc>
        <w:tc>
          <w:tcPr>
            <w:tcW w:w="1186" w:type="dxa"/>
            <w:noWrap/>
            <w:vAlign w:val="bottom"/>
          </w:tcPr>
          <w:p w:rsidR="00BB78C6" w:rsidRPr="006D548E" w:rsidRDefault="00BB78C6" w:rsidP="006D548E">
            <w:pPr>
              <w:jc w:val="both"/>
              <w:rPr>
                <w:color w:val="000000"/>
                <w:sz w:val="22"/>
                <w:szCs w:val="22"/>
              </w:rPr>
            </w:pPr>
            <w:r w:rsidRPr="006D548E">
              <w:rPr>
                <w:color w:val="000000"/>
                <w:sz w:val="22"/>
                <w:szCs w:val="22"/>
              </w:rPr>
              <w:t>101</w:t>
            </w:r>
          </w:p>
        </w:tc>
      </w:tr>
      <w:tr w:rsidR="00BB78C6" w:rsidRPr="006D548E" w:rsidTr="007F7EEE">
        <w:trPr>
          <w:trHeight w:val="255"/>
        </w:trPr>
        <w:tc>
          <w:tcPr>
            <w:tcW w:w="2116" w:type="dxa"/>
            <w:noWrap/>
            <w:vAlign w:val="bottom"/>
          </w:tcPr>
          <w:p w:rsidR="00BB78C6" w:rsidRPr="006D548E" w:rsidRDefault="00BB78C6" w:rsidP="006D548E">
            <w:pPr>
              <w:jc w:val="both"/>
              <w:rPr>
                <w:color w:val="000000"/>
                <w:sz w:val="22"/>
                <w:szCs w:val="22"/>
              </w:rPr>
            </w:pPr>
            <w:r w:rsidRPr="006D548E">
              <w:rPr>
                <w:color w:val="000000"/>
                <w:sz w:val="22"/>
                <w:szCs w:val="22"/>
              </w:rPr>
              <w:t>2009</w:t>
            </w:r>
          </w:p>
        </w:tc>
        <w:tc>
          <w:tcPr>
            <w:tcW w:w="2201" w:type="dxa"/>
            <w:noWrap/>
            <w:vAlign w:val="bottom"/>
          </w:tcPr>
          <w:p w:rsidR="00BB78C6" w:rsidRPr="006D548E" w:rsidRDefault="00BB78C6" w:rsidP="006D548E">
            <w:pPr>
              <w:jc w:val="both"/>
              <w:rPr>
                <w:color w:val="000000"/>
                <w:sz w:val="22"/>
                <w:szCs w:val="22"/>
              </w:rPr>
            </w:pPr>
            <w:r w:rsidRPr="006D548E">
              <w:rPr>
                <w:color w:val="000000"/>
                <w:sz w:val="22"/>
                <w:szCs w:val="22"/>
              </w:rPr>
              <w:t>218</w:t>
            </w:r>
          </w:p>
        </w:tc>
        <w:tc>
          <w:tcPr>
            <w:tcW w:w="1701" w:type="dxa"/>
            <w:noWrap/>
            <w:vAlign w:val="bottom"/>
          </w:tcPr>
          <w:p w:rsidR="00BB78C6" w:rsidRPr="006D548E" w:rsidRDefault="00BB78C6" w:rsidP="006D548E">
            <w:pPr>
              <w:jc w:val="both"/>
              <w:rPr>
                <w:color w:val="000000"/>
                <w:sz w:val="22"/>
                <w:szCs w:val="22"/>
              </w:rPr>
            </w:pPr>
            <w:r w:rsidRPr="006D548E">
              <w:rPr>
                <w:color w:val="000000"/>
                <w:sz w:val="22"/>
                <w:szCs w:val="22"/>
              </w:rPr>
              <w:t>126</w:t>
            </w:r>
          </w:p>
        </w:tc>
        <w:tc>
          <w:tcPr>
            <w:tcW w:w="1186" w:type="dxa"/>
            <w:noWrap/>
            <w:vAlign w:val="bottom"/>
          </w:tcPr>
          <w:p w:rsidR="00BB78C6" w:rsidRPr="006D548E" w:rsidRDefault="00BB78C6" w:rsidP="006D548E">
            <w:pPr>
              <w:jc w:val="both"/>
              <w:rPr>
                <w:color w:val="000000"/>
                <w:sz w:val="22"/>
                <w:szCs w:val="22"/>
              </w:rPr>
            </w:pPr>
            <w:r w:rsidRPr="006D548E">
              <w:rPr>
                <w:color w:val="000000"/>
                <w:sz w:val="22"/>
                <w:szCs w:val="22"/>
              </w:rPr>
              <w:t>92</w:t>
            </w:r>
          </w:p>
        </w:tc>
      </w:tr>
      <w:tr w:rsidR="00BB78C6" w:rsidRPr="006D548E" w:rsidTr="007F7EEE">
        <w:trPr>
          <w:trHeight w:val="255"/>
        </w:trPr>
        <w:tc>
          <w:tcPr>
            <w:tcW w:w="2116" w:type="dxa"/>
            <w:noWrap/>
            <w:vAlign w:val="bottom"/>
          </w:tcPr>
          <w:p w:rsidR="00BB78C6" w:rsidRPr="006D548E" w:rsidRDefault="00BB78C6" w:rsidP="006D548E">
            <w:pPr>
              <w:jc w:val="both"/>
              <w:rPr>
                <w:color w:val="000000"/>
                <w:sz w:val="22"/>
                <w:szCs w:val="22"/>
              </w:rPr>
            </w:pPr>
            <w:r w:rsidRPr="006D548E">
              <w:rPr>
                <w:color w:val="000000"/>
                <w:sz w:val="22"/>
                <w:szCs w:val="22"/>
              </w:rPr>
              <w:t>2010</w:t>
            </w:r>
          </w:p>
        </w:tc>
        <w:tc>
          <w:tcPr>
            <w:tcW w:w="2201" w:type="dxa"/>
            <w:noWrap/>
            <w:vAlign w:val="bottom"/>
          </w:tcPr>
          <w:p w:rsidR="00BB78C6" w:rsidRPr="006D548E" w:rsidRDefault="00BB78C6" w:rsidP="006D548E">
            <w:pPr>
              <w:jc w:val="both"/>
              <w:rPr>
                <w:color w:val="000000"/>
                <w:sz w:val="22"/>
                <w:szCs w:val="22"/>
              </w:rPr>
            </w:pPr>
            <w:r w:rsidRPr="006D548E">
              <w:rPr>
                <w:color w:val="000000"/>
                <w:sz w:val="22"/>
                <w:szCs w:val="22"/>
              </w:rPr>
              <w:t>103</w:t>
            </w:r>
          </w:p>
        </w:tc>
        <w:tc>
          <w:tcPr>
            <w:tcW w:w="1701" w:type="dxa"/>
            <w:noWrap/>
            <w:vAlign w:val="bottom"/>
          </w:tcPr>
          <w:p w:rsidR="00BB78C6" w:rsidRPr="006D548E" w:rsidRDefault="00BB78C6" w:rsidP="006D548E">
            <w:pPr>
              <w:jc w:val="both"/>
              <w:rPr>
                <w:color w:val="000000"/>
                <w:sz w:val="22"/>
                <w:szCs w:val="22"/>
              </w:rPr>
            </w:pPr>
            <w:r w:rsidRPr="006D548E">
              <w:rPr>
                <w:color w:val="000000"/>
                <w:sz w:val="22"/>
                <w:szCs w:val="22"/>
              </w:rPr>
              <w:t>55</w:t>
            </w:r>
          </w:p>
        </w:tc>
        <w:tc>
          <w:tcPr>
            <w:tcW w:w="1186" w:type="dxa"/>
            <w:noWrap/>
            <w:vAlign w:val="bottom"/>
          </w:tcPr>
          <w:p w:rsidR="00BB78C6" w:rsidRPr="006D548E" w:rsidRDefault="00BB78C6" w:rsidP="006D548E">
            <w:pPr>
              <w:jc w:val="both"/>
              <w:rPr>
                <w:color w:val="000000"/>
                <w:sz w:val="22"/>
                <w:szCs w:val="22"/>
              </w:rPr>
            </w:pPr>
            <w:r w:rsidRPr="006D548E">
              <w:rPr>
                <w:color w:val="000000"/>
                <w:sz w:val="22"/>
                <w:szCs w:val="22"/>
              </w:rPr>
              <w:t>48</w:t>
            </w:r>
          </w:p>
        </w:tc>
      </w:tr>
      <w:tr w:rsidR="00BB78C6" w:rsidRPr="006D548E" w:rsidTr="007F7EEE">
        <w:trPr>
          <w:trHeight w:val="255"/>
        </w:trPr>
        <w:tc>
          <w:tcPr>
            <w:tcW w:w="2116" w:type="dxa"/>
            <w:noWrap/>
            <w:vAlign w:val="bottom"/>
          </w:tcPr>
          <w:p w:rsidR="00BB78C6" w:rsidRPr="006D548E" w:rsidRDefault="00BB78C6" w:rsidP="006D548E">
            <w:pPr>
              <w:jc w:val="both"/>
              <w:rPr>
                <w:color w:val="000000"/>
                <w:sz w:val="22"/>
                <w:szCs w:val="22"/>
              </w:rPr>
            </w:pPr>
            <w:r w:rsidRPr="006D548E">
              <w:rPr>
                <w:color w:val="000000"/>
                <w:sz w:val="22"/>
                <w:szCs w:val="22"/>
              </w:rPr>
              <w:t>Totaal</w:t>
            </w:r>
          </w:p>
        </w:tc>
        <w:tc>
          <w:tcPr>
            <w:tcW w:w="2201" w:type="dxa"/>
            <w:noWrap/>
            <w:vAlign w:val="bottom"/>
          </w:tcPr>
          <w:p w:rsidR="00BB78C6" w:rsidRPr="006D548E" w:rsidRDefault="00BB78C6" w:rsidP="006D548E">
            <w:pPr>
              <w:jc w:val="both"/>
              <w:rPr>
                <w:color w:val="000000"/>
                <w:sz w:val="22"/>
                <w:szCs w:val="22"/>
              </w:rPr>
            </w:pPr>
            <w:r w:rsidRPr="006D548E">
              <w:rPr>
                <w:color w:val="000000"/>
                <w:sz w:val="22"/>
                <w:szCs w:val="22"/>
              </w:rPr>
              <w:t>988</w:t>
            </w:r>
          </w:p>
        </w:tc>
        <w:tc>
          <w:tcPr>
            <w:tcW w:w="1701" w:type="dxa"/>
            <w:noWrap/>
            <w:vAlign w:val="bottom"/>
          </w:tcPr>
          <w:p w:rsidR="00BB78C6" w:rsidRPr="006D548E" w:rsidRDefault="00BB78C6" w:rsidP="006D548E">
            <w:pPr>
              <w:jc w:val="both"/>
              <w:rPr>
                <w:color w:val="000000"/>
                <w:sz w:val="22"/>
                <w:szCs w:val="22"/>
              </w:rPr>
            </w:pPr>
            <w:r w:rsidRPr="006D548E">
              <w:rPr>
                <w:color w:val="000000"/>
                <w:sz w:val="22"/>
                <w:szCs w:val="22"/>
              </w:rPr>
              <w:t>529</w:t>
            </w:r>
          </w:p>
        </w:tc>
        <w:tc>
          <w:tcPr>
            <w:tcW w:w="1186" w:type="dxa"/>
            <w:noWrap/>
            <w:vAlign w:val="bottom"/>
          </w:tcPr>
          <w:p w:rsidR="00BB78C6" w:rsidRPr="006D548E" w:rsidRDefault="00BB78C6" w:rsidP="006D548E">
            <w:pPr>
              <w:jc w:val="both"/>
              <w:rPr>
                <w:color w:val="000000"/>
                <w:sz w:val="22"/>
                <w:szCs w:val="22"/>
              </w:rPr>
            </w:pPr>
            <w:r w:rsidRPr="006D548E">
              <w:rPr>
                <w:color w:val="000000"/>
                <w:sz w:val="22"/>
                <w:szCs w:val="22"/>
              </w:rPr>
              <w:t>459</w:t>
            </w:r>
          </w:p>
        </w:tc>
      </w:tr>
    </w:tbl>
    <w:p w:rsidR="00BB78C6" w:rsidRPr="006D548E" w:rsidRDefault="00BB78C6" w:rsidP="006D548E">
      <w:pPr>
        <w:ind w:left="431"/>
        <w:jc w:val="both"/>
        <w:rPr>
          <w:sz w:val="22"/>
          <w:szCs w:val="22"/>
          <w:lang w:val="nl-BE"/>
        </w:rPr>
      </w:pPr>
      <w:r w:rsidRPr="006D548E">
        <w:rPr>
          <w:sz w:val="22"/>
          <w:szCs w:val="22"/>
          <w:lang w:val="nl-BE"/>
        </w:rPr>
        <w:t>Tabel 3</w:t>
      </w:r>
    </w:p>
    <w:p w:rsidR="00BB78C6" w:rsidRPr="006D548E" w:rsidRDefault="00BB78C6" w:rsidP="006D548E">
      <w:pPr>
        <w:ind w:left="431"/>
        <w:jc w:val="both"/>
        <w:rPr>
          <w:sz w:val="22"/>
          <w:szCs w:val="22"/>
          <w:lang w:val="nl-BE"/>
        </w:rPr>
      </w:pPr>
    </w:p>
    <w:p w:rsidR="00BB78C6" w:rsidRPr="006D548E" w:rsidRDefault="00BB78C6" w:rsidP="006D548E">
      <w:pPr>
        <w:ind w:left="431"/>
        <w:jc w:val="both"/>
        <w:rPr>
          <w:sz w:val="22"/>
          <w:szCs w:val="22"/>
          <w:lang w:val="nl-BE"/>
        </w:rPr>
      </w:pPr>
      <w:r w:rsidRPr="006D548E">
        <w:rPr>
          <w:sz w:val="22"/>
          <w:szCs w:val="22"/>
          <w:lang w:val="nl-BE"/>
        </w:rPr>
        <w:t xml:space="preserve">Over de periode 2006 – 2010 werden 322 nieuwe overeenkomsten afgesloten. 220 van deze overeenkomsten hadden betrekking op schapen of geiten, 102 op runderen. </w:t>
      </w:r>
    </w:p>
    <w:p w:rsidR="00BB78C6" w:rsidRPr="006D548E" w:rsidRDefault="00BB78C6" w:rsidP="006D548E">
      <w:pPr>
        <w:ind w:left="638"/>
        <w:jc w:val="both"/>
        <w:rPr>
          <w:sz w:val="22"/>
          <w:szCs w:val="22"/>
          <w:lang w:val="nl-BE"/>
        </w:rPr>
      </w:pPr>
    </w:p>
    <w:tbl>
      <w:tblPr>
        <w:tblW w:w="715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317"/>
        <w:gridCol w:w="1701"/>
        <w:gridCol w:w="1134"/>
      </w:tblGrid>
      <w:tr w:rsidR="00BB78C6" w:rsidRPr="006D548E" w:rsidTr="007F7EEE">
        <w:trPr>
          <w:trHeight w:val="255"/>
        </w:trPr>
        <w:tc>
          <w:tcPr>
            <w:tcW w:w="4317" w:type="dxa"/>
            <w:noWrap/>
            <w:vAlign w:val="bottom"/>
          </w:tcPr>
          <w:p w:rsidR="00BB78C6" w:rsidRPr="006D548E" w:rsidRDefault="00BB78C6" w:rsidP="006D548E">
            <w:pPr>
              <w:jc w:val="both"/>
              <w:rPr>
                <w:color w:val="000000"/>
                <w:sz w:val="22"/>
                <w:szCs w:val="22"/>
              </w:rPr>
            </w:pPr>
            <w:r w:rsidRPr="006D548E">
              <w:rPr>
                <w:color w:val="000000"/>
                <w:sz w:val="22"/>
                <w:szCs w:val="22"/>
              </w:rPr>
              <w:t>Aantal nieuwe overeenkomsten  afgesloten in</w:t>
            </w:r>
          </w:p>
        </w:tc>
        <w:tc>
          <w:tcPr>
            <w:tcW w:w="1701" w:type="dxa"/>
            <w:noWrap/>
            <w:vAlign w:val="bottom"/>
          </w:tcPr>
          <w:p w:rsidR="00BB78C6" w:rsidRPr="006D548E" w:rsidRDefault="00BB78C6" w:rsidP="006D548E">
            <w:pPr>
              <w:jc w:val="both"/>
              <w:rPr>
                <w:color w:val="000000"/>
                <w:sz w:val="22"/>
                <w:szCs w:val="22"/>
              </w:rPr>
            </w:pPr>
            <w:r>
              <w:rPr>
                <w:color w:val="000000"/>
                <w:sz w:val="22"/>
                <w:szCs w:val="22"/>
              </w:rPr>
              <w:t>S</w:t>
            </w:r>
            <w:r w:rsidRPr="006D548E">
              <w:rPr>
                <w:color w:val="000000"/>
                <w:sz w:val="22"/>
                <w:szCs w:val="22"/>
              </w:rPr>
              <w:t>chapen</w:t>
            </w:r>
            <w:r>
              <w:rPr>
                <w:color w:val="000000"/>
                <w:sz w:val="22"/>
                <w:szCs w:val="22"/>
              </w:rPr>
              <w:t xml:space="preserve"> </w:t>
            </w:r>
            <w:r w:rsidRPr="006D548E">
              <w:rPr>
                <w:color w:val="000000"/>
                <w:sz w:val="22"/>
                <w:szCs w:val="22"/>
              </w:rPr>
              <w:t>+</w:t>
            </w:r>
            <w:r>
              <w:rPr>
                <w:color w:val="000000"/>
                <w:sz w:val="22"/>
                <w:szCs w:val="22"/>
              </w:rPr>
              <w:t xml:space="preserve"> </w:t>
            </w:r>
            <w:r w:rsidRPr="006D548E">
              <w:rPr>
                <w:color w:val="000000"/>
                <w:sz w:val="22"/>
                <w:szCs w:val="22"/>
              </w:rPr>
              <w:t>geiten</w:t>
            </w:r>
          </w:p>
        </w:tc>
        <w:tc>
          <w:tcPr>
            <w:tcW w:w="1134" w:type="dxa"/>
            <w:noWrap/>
            <w:vAlign w:val="bottom"/>
          </w:tcPr>
          <w:p w:rsidR="00BB78C6" w:rsidRPr="006D548E" w:rsidRDefault="00BB78C6" w:rsidP="006D548E">
            <w:pPr>
              <w:jc w:val="both"/>
              <w:rPr>
                <w:color w:val="000000"/>
                <w:sz w:val="22"/>
                <w:szCs w:val="22"/>
              </w:rPr>
            </w:pPr>
            <w:r w:rsidRPr="006D548E">
              <w:rPr>
                <w:color w:val="000000"/>
                <w:sz w:val="22"/>
                <w:szCs w:val="22"/>
              </w:rPr>
              <w:t>runderen</w:t>
            </w:r>
          </w:p>
        </w:tc>
      </w:tr>
      <w:tr w:rsidR="00BB78C6" w:rsidRPr="006D548E" w:rsidTr="007F7EEE">
        <w:trPr>
          <w:trHeight w:val="255"/>
        </w:trPr>
        <w:tc>
          <w:tcPr>
            <w:tcW w:w="4317" w:type="dxa"/>
            <w:noWrap/>
            <w:vAlign w:val="bottom"/>
          </w:tcPr>
          <w:p w:rsidR="00BB78C6" w:rsidRPr="006D548E" w:rsidRDefault="00BB78C6" w:rsidP="006D548E">
            <w:pPr>
              <w:jc w:val="both"/>
              <w:rPr>
                <w:color w:val="000000"/>
                <w:sz w:val="22"/>
                <w:szCs w:val="22"/>
              </w:rPr>
            </w:pPr>
            <w:r w:rsidRPr="006D548E">
              <w:rPr>
                <w:color w:val="000000"/>
                <w:sz w:val="22"/>
                <w:szCs w:val="22"/>
              </w:rPr>
              <w:t>2006</w:t>
            </w:r>
          </w:p>
        </w:tc>
        <w:tc>
          <w:tcPr>
            <w:tcW w:w="1701" w:type="dxa"/>
            <w:noWrap/>
            <w:vAlign w:val="bottom"/>
          </w:tcPr>
          <w:p w:rsidR="00BB78C6" w:rsidRPr="006D548E" w:rsidRDefault="00BB78C6" w:rsidP="006D548E">
            <w:pPr>
              <w:jc w:val="both"/>
              <w:rPr>
                <w:color w:val="000000"/>
                <w:sz w:val="22"/>
                <w:szCs w:val="22"/>
              </w:rPr>
            </w:pPr>
            <w:r w:rsidRPr="006D548E">
              <w:rPr>
                <w:color w:val="000000"/>
                <w:sz w:val="22"/>
                <w:szCs w:val="22"/>
              </w:rPr>
              <w:t>28</w:t>
            </w:r>
          </w:p>
        </w:tc>
        <w:tc>
          <w:tcPr>
            <w:tcW w:w="1134" w:type="dxa"/>
            <w:noWrap/>
            <w:vAlign w:val="bottom"/>
          </w:tcPr>
          <w:p w:rsidR="00BB78C6" w:rsidRPr="006D548E" w:rsidRDefault="00BB78C6" w:rsidP="006D548E">
            <w:pPr>
              <w:jc w:val="both"/>
              <w:rPr>
                <w:color w:val="000000"/>
                <w:sz w:val="22"/>
                <w:szCs w:val="22"/>
              </w:rPr>
            </w:pPr>
            <w:r w:rsidRPr="006D548E">
              <w:rPr>
                <w:color w:val="000000"/>
                <w:sz w:val="22"/>
                <w:szCs w:val="22"/>
              </w:rPr>
              <w:t>15</w:t>
            </w:r>
          </w:p>
        </w:tc>
      </w:tr>
      <w:tr w:rsidR="00BB78C6" w:rsidRPr="006D548E" w:rsidTr="007F7EEE">
        <w:trPr>
          <w:trHeight w:val="255"/>
        </w:trPr>
        <w:tc>
          <w:tcPr>
            <w:tcW w:w="4317" w:type="dxa"/>
            <w:noWrap/>
            <w:vAlign w:val="bottom"/>
          </w:tcPr>
          <w:p w:rsidR="00BB78C6" w:rsidRPr="006D548E" w:rsidRDefault="00BB78C6" w:rsidP="006D548E">
            <w:pPr>
              <w:jc w:val="both"/>
              <w:rPr>
                <w:color w:val="000000"/>
                <w:sz w:val="22"/>
                <w:szCs w:val="22"/>
              </w:rPr>
            </w:pPr>
            <w:r w:rsidRPr="006D548E">
              <w:rPr>
                <w:color w:val="000000"/>
                <w:sz w:val="22"/>
                <w:szCs w:val="22"/>
              </w:rPr>
              <w:t>2007</w:t>
            </w:r>
          </w:p>
        </w:tc>
        <w:tc>
          <w:tcPr>
            <w:tcW w:w="1701" w:type="dxa"/>
            <w:noWrap/>
            <w:vAlign w:val="bottom"/>
          </w:tcPr>
          <w:p w:rsidR="00BB78C6" w:rsidRPr="006D548E" w:rsidRDefault="00BB78C6" w:rsidP="006D548E">
            <w:pPr>
              <w:jc w:val="both"/>
              <w:rPr>
                <w:color w:val="000000"/>
                <w:sz w:val="22"/>
                <w:szCs w:val="22"/>
              </w:rPr>
            </w:pPr>
            <w:r w:rsidRPr="006D548E">
              <w:rPr>
                <w:color w:val="000000"/>
                <w:sz w:val="22"/>
                <w:szCs w:val="22"/>
              </w:rPr>
              <w:t>60</w:t>
            </w:r>
          </w:p>
        </w:tc>
        <w:tc>
          <w:tcPr>
            <w:tcW w:w="1134" w:type="dxa"/>
            <w:noWrap/>
            <w:vAlign w:val="bottom"/>
          </w:tcPr>
          <w:p w:rsidR="00BB78C6" w:rsidRPr="006D548E" w:rsidRDefault="00BB78C6" w:rsidP="006D548E">
            <w:pPr>
              <w:jc w:val="both"/>
              <w:rPr>
                <w:color w:val="000000"/>
                <w:sz w:val="22"/>
                <w:szCs w:val="22"/>
              </w:rPr>
            </w:pPr>
            <w:r w:rsidRPr="006D548E">
              <w:rPr>
                <w:color w:val="000000"/>
                <w:sz w:val="22"/>
                <w:szCs w:val="22"/>
              </w:rPr>
              <w:t>8</w:t>
            </w:r>
          </w:p>
        </w:tc>
      </w:tr>
      <w:tr w:rsidR="00BB78C6" w:rsidRPr="006D548E" w:rsidTr="007F7EEE">
        <w:trPr>
          <w:trHeight w:val="255"/>
        </w:trPr>
        <w:tc>
          <w:tcPr>
            <w:tcW w:w="4317" w:type="dxa"/>
            <w:noWrap/>
            <w:vAlign w:val="bottom"/>
          </w:tcPr>
          <w:p w:rsidR="00BB78C6" w:rsidRPr="006D548E" w:rsidRDefault="00BB78C6" w:rsidP="006D548E">
            <w:pPr>
              <w:jc w:val="both"/>
              <w:rPr>
                <w:color w:val="000000"/>
                <w:sz w:val="22"/>
                <w:szCs w:val="22"/>
              </w:rPr>
            </w:pPr>
            <w:r w:rsidRPr="006D548E">
              <w:rPr>
                <w:color w:val="000000"/>
                <w:sz w:val="22"/>
                <w:szCs w:val="22"/>
              </w:rPr>
              <w:t>2008</w:t>
            </w:r>
          </w:p>
        </w:tc>
        <w:tc>
          <w:tcPr>
            <w:tcW w:w="1701" w:type="dxa"/>
            <w:noWrap/>
            <w:vAlign w:val="bottom"/>
          </w:tcPr>
          <w:p w:rsidR="00BB78C6" w:rsidRPr="006D548E" w:rsidRDefault="00BB78C6" w:rsidP="006D548E">
            <w:pPr>
              <w:jc w:val="both"/>
              <w:rPr>
                <w:color w:val="000000"/>
                <w:sz w:val="22"/>
                <w:szCs w:val="22"/>
              </w:rPr>
            </w:pPr>
            <w:r w:rsidRPr="006D548E">
              <w:rPr>
                <w:color w:val="000000"/>
                <w:sz w:val="22"/>
                <w:szCs w:val="22"/>
              </w:rPr>
              <w:t>33</w:t>
            </w:r>
          </w:p>
        </w:tc>
        <w:tc>
          <w:tcPr>
            <w:tcW w:w="1134" w:type="dxa"/>
            <w:noWrap/>
            <w:vAlign w:val="bottom"/>
          </w:tcPr>
          <w:p w:rsidR="00BB78C6" w:rsidRPr="006D548E" w:rsidRDefault="00BB78C6" w:rsidP="006D548E">
            <w:pPr>
              <w:jc w:val="both"/>
              <w:rPr>
                <w:color w:val="000000"/>
                <w:sz w:val="22"/>
                <w:szCs w:val="22"/>
              </w:rPr>
            </w:pPr>
            <w:r w:rsidRPr="006D548E">
              <w:rPr>
                <w:color w:val="000000"/>
                <w:sz w:val="22"/>
                <w:szCs w:val="22"/>
              </w:rPr>
              <w:t>11</w:t>
            </w:r>
          </w:p>
        </w:tc>
      </w:tr>
      <w:tr w:rsidR="00BB78C6" w:rsidRPr="006D548E" w:rsidTr="007F7EEE">
        <w:trPr>
          <w:trHeight w:val="255"/>
        </w:trPr>
        <w:tc>
          <w:tcPr>
            <w:tcW w:w="4317" w:type="dxa"/>
            <w:noWrap/>
            <w:vAlign w:val="bottom"/>
          </w:tcPr>
          <w:p w:rsidR="00BB78C6" w:rsidRPr="006D548E" w:rsidRDefault="00BB78C6" w:rsidP="006D548E">
            <w:pPr>
              <w:jc w:val="both"/>
              <w:rPr>
                <w:color w:val="000000"/>
                <w:sz w:val="22"/>
                <w:szCs w:val="22"/>
              </w:rPr>
            </w:pPr>
            <w:r w:rsidRPr="006D548E">
              <w:rPr>
                <w:color w:val="000000"/>
                <w:sz w:val="22"/>
                <w:szCs w:val="22"/>
              </w:rPr>
              <w:t>2009</w:t>
            </w:r>
          </w:p>
        </w:tc>
        <w:tc>
          <w:tcPr>
            <w:tcW w:w="1701" w:type="dxa"/>
            <w:noWrap/>
            <w:vAlign w:val="bottom"/>
          </w:tcPr>
          <w:p w:rsidR="00BB78C6" w:rsidRPr="006D548E" w:rsidRDefault="00BB78C6" w:rsidP="006D548E">
            <w:pPr>
              <w:jc w:val="both"/>
              <w:rPr>
                <w:color w:val="000000"/>
                <w:sz w:val="22"/>
                <w:szCs w:val="22"/>
              </w:rPr>
            </w:pPr>
            <w:r w:rsidRPr="006D548E">
              <w:rPr>
                <w:color w:val="000000"/>
                <w:sz w:val="22"/>
                <w:szCs w:val="22"/>
              </w:rPr>
              <w:t>47</w:t>
            </w:r>
          </w:p>
        </w:tc>
        <w:tc>
          <w:tcPr>
            <w:tcW w:w="1134" w:type="dxa"/>
            <w:noWrap/>
            <w:vAlign w:val="bottom"/>
          </w:tcPr>
          <w:p w:rsidR="00BB78C6" w:rsidRPr="006D548E" w:rsidRDefault="00BB78C6" w:rsidP="006D548E">
            <w:pPr>
              <w:jc w:val="both"/>
              <w:rPr>
                <w:color w:val="000000"/>
                <w:sz w:val="22"/>
                <w:szCs w:val="22"/>
              </w:rPr>
            </w:pPr>
            <w:r w:rsidRPr="006D548E">
              <w:rPr>
                <w:color w:val="000000"/>
                <w:sz w:val="22"/>
                <w:szCs w:val="22"/>
              </w:rPr>
              <w:t>32</w:t>
            </w:r>
          </w:p>
        </w:tc>
      </w:tr>
      <w:tr w:rsidR="00BB78C6" w:rsidRPr="006D548E" w:rsidTr="007F7EEE">
        <w:trPr>
          <w:trHeight w:val="255"/>
        </w:trPr>
        <w:tc>
          <w:tcPr>
            <w:tcW w:w="4317" w:type="dxa"/>
            <w:noWrap/>
            <w:vAlign w:val="bottom"/>
          </w:tcPr>
          <w:p w:rsidR="00BB78C6" w:rsidRPr="006D548E" w:rsidRDefault="00BB78C6" w:rsidP="006D548E">
            <w:pPr>
              <w:jc w:val="both"/>
              <w:rPr>
                <w:color w:val="000000"/>
                <w:sz w:val="22"/>
                <w:szCs w:val="22"/>
              </w:rPr>
            </w:pPr>
            <w:r w:rsidRPr="006D548E">
              <w:rPr>
                <w:color w:val="000000"/>
                <w:sz w:val="22"/>
                <w:szCs w:val="22"/>
              </w:rPr>
              <w:t>2010</w:t>
            </w:r>
          </w:p>
        </w:tc>
        <w:tc>
          <w:tcPr>
            <w:tcW w:w="1701" w:type="dxa"/>
            <w:noWrap/>
            <w:vAlign w:val="bottom"/>
          </w:tcPr>
          <w:p w:rsidR="00BB78C6" w:rsidRPr="006D548E" w:rsidRDefault="00BB78C6" w:rsidP="006D548E">
            <w:pPr>
              <w:jc w:val="both"/>
              <w:rPr>
                <w:color w:val="000000"/>
                <w:sz w:val="22"/>
                <w:szCs w:val="22"/>
              </w:rPr>
            </w:pPr>
            <w:r w:rsidRPr="006D548E">
              <w:rPr>
                <w:color w:val="000000"/>
                <w:sz w:val="22"/>
                <w:szCs w:val="22"/>
              </w:rPr>
              <w:t>52</w:t>
            </w:r>
          </w:p>
        </w:tc>
        <w:tc>
          <w:tcPr>
            <w:tcW w:w="1134" w:type="dxa"/>
            <w:noWrap/>
            <w:vAlign w:val="bottom"/>
          </w:tcPr>
          <w:p w:rsidR="00BB78C6" w:rsidRPr="006D548E" w:rsidRDefault="00BB78C6" w:rsidP="006D548E">
            <w:pPr>
              <w:jc w:val="both"/>
              <w:rPr>
                <w:color w:val="000000"/>
                <w:sz w:val="22"/>
                <w:szCs w:val="22"/>
              </w:rPr>
            </w:pPr>
            <w:r w:rsidRPr="006D548E">
              <w:rPr>
                <w:color w:val="000000"/>
                <w:sz w:val="22"/>
                <w:szCs w:val="22"/>
              </w:rPr>
              <w:t>36</w:t>
            </w:r>
          </w:p>
        </w:tc>
      </w:tr>
      <w:tr w:rsidR="00BB78C6" w:rsidRPr="006D548E" w:rsidTr="007F7EEE">
        <w:trPr>
          <w:trHeight w:val="255"/>
        </w:trPr>
        <w:tc>
          <w:tcPr>
            <w:tcW w:w="4317" w:type="dxa"/>
            <w:noWrap/>
            <w:vAlign w:val="bottom"/>
          </w:tcPr>
          <w:p w:rsidR="00BB78C6" w:rsidRPr="006D548E" w:rsidRDefault="00BB78C6" w:rsidP="006D548E">
            <w:pPr>
              <w:jc w:val="both"/>
              <w:rPr>
                <w:color w:val="000000"/>
                <w:sz w:val="22"/>
                <w:szCs w:val="22"/>
              </w:rPr>
            </w:pPr>
            <w:r w:rsidRPr="006D548E">
              <w:rPr>
                <w:color w:val="000000"/>
                <w:sz w:val="22"/>
                <w:szCs w:val="22"/>
              </w:rPr>
              <w:t>Totaal</w:t>
            </w:r>
          </w:p>
        </w:tc>
        <w:tc>
          <w:tcPr>
            <w:tcW w:w="1701" w:type="dxa"/>
            <w:noWrap/>
            <w:vAlign w:val="bottom"/>
          </w:tcPr>
          <w:p w:rsidR="00BB78C6" w:rsidRPr="006D548E" w:rsidRDefault="00BB78C6" w:rsidP="006D548E">
            <w:pPr>
              <w:jc w:val="both"/>
              <w:rPr>
                <w:color w:val="000000"/>
                <w:sz w:val="22"/>
                <w:szCs w:val="22"/>
              </w:rPr>
            </w:pPr>
            <w:r w:rsidRPr="006D548E">
              <w:rPr>
                <w:color w:val="000000"/>
                <w:sz w:val="22"/>
                <w:szCs w:val="22"/>
              </w:rPr>
              <w:t>220</w:t>
            </w:r>
          </w:p>
        </w:tc>
        <w:tc>
          <w:tcPr>
            <w:tcW w:w="1134" w:type="dxa"/>
            <w:noWrap/>
            <w:vAlign w:val="bottom"/>
          </w:tcPr>
          <w:p w:rsidR="00BB78C6" w:rsidRPr="006D548E" w:rsidRDefault="00BB78C6" w:rsidP="006D548E">
            <w:pPr>
              <w:jc w:val="both"/>
              <w:rPr>
                <w:color w:val="000000"/>
                <w:sz w:val="22"/>
                <w:szCs w:val="22"/>
              </w:rPr>
            </w:pPr>
            <w:r w:rsidRPr="006D548E">
              <w:rPr>
                <w:color w:val="000000"/>
                <w:sz w:val="22"/>
                <w:szCs w:val="22"/>
              </w:rPr>
              <w:t>102</w:t>
            </w:r>
          </w:p>
        </w:tc>
      </w:tr>
    </w:tbl>
    <w:p w:rsidR="00BB78C6" w:rsidRPr="006D548E" w:rsidRDefault="00BB78C6" w:rsidP="006D548E">
      <w:pPr>
        <w:ind w:left="426"/>
        <w:jc w:val="both"/>
        <w:rPr>
          <w:sz w:val="22"/>
          <w:szCs w:val="22"/>
          <w:lang w:val="nl-BE"/>
        </w:rPr>
      </w:pPr>
      <w:r w:rsidRPr="006D548E">
        <w:rPr>
          <w:sz w:val="22"/>
          <w:szCs w:val="22"/>
          <w:lang w:val="nl-BE"/>
        </w:rPr>
        <w:t>Tabel 4</w:t>
      </w:r>
    </w:p>
    <w:p w:rsidR="00BB78C6" w:rsidRPr="006D548E" w:rsidRDefault="00BB78C6" w:rsidP="006D548E">
      <w:pPr>
        <w:ind w:left="638"/>
        <w:jc w:val="both"/>
        <w:rPr>
          <w:sz w:val="22"/>
          <w:szCs w:val="22"/>
          <w:lang w:val="nl-BE"/>
        </w:rPr>
      </w:pPr>
    </w:p>
    <w:p w:rsidR="00BB78C6" w:rsidRPr="006D548E" w:rsidRDefault="00BB78C6" w:rsidP="006D548E">
      <w:pPr>
        <w:ind w:left="426"/>
        <w:jc w:val="both"/>
        <w:rPr>
          <w:sz w:val="22"/>
          <w:szCs w:val="22"/>
          <w:lang w:val="nl-BE"/>
        </w:rPr>
      </w:pPr>
      <w:r w:rsidRPr="006D548E">
        <w:rPr>
          <w:sz w:val="22"/>
          <w:szCs w:val="22"/>
          <w:lang w:val="nl-BE"/>
        </w:rPr>
        <w:t>De opdeling van de overeenkomsten per provincie is weergegeven in tabel 5.</w:t>
      </w:r>
    </w:p>
    <w:tbl>
      <w:tblPr>
        <w:tblW w:w="72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94"/>
        <w:gridCol w:w="1623"/>
        <w:gridCol w:w="1701"/>
        <w:gridCol w:w="1186"/>
      </w:tblGrid>
      <w:tr w:rsidR="00BB78C6" w:rsidRPr="006D548E" w:rsidTr="007F7EEE">
        <w:trPr>
          <w:trHeight w:val="255"/>
        </w:trPr>
        <w:tc>
          <w:tcPr>
            <w:tcW w:w="4317" w:type="dxa"/>
            <w:gridSpan w:val="2"/>
            <w:noWrap/>
            <w:vAlign w:val="bottom"/>
          </w:tcPr>
          <w:p w:rsidR="00BB78C6" w:rsidRPr="006D548E" w:rsidRDefault="00BB78C6" w:rsidP="006D548E">
            <w:pPr>
              <w:jc w:val="both"/>
              <w:rPr>
                <w:color w:val="000000"/>
                <w:sz w:val="22"/>
                <w:szCs w:val="22"/>
              </w:rPr>
            </w:pPr>
            <w:r w:rsidRPr="006D548E">
              <w:rPr>
                <w:color w:val="000000"/>
                <w:sz w:val="22"/>
                <w:szCs w:val="22"/>
              </w:rPr>
              <w:t>Overeenkomsten per provincie</w:t>
            </w:r>
          </w:p>
        </w:tc>
        <w:tc>
          <w:tcPr>
            <w:tcW w:w="1701" w:type="dxa"/>
            <w:noWrap/>
            <w:vAlign w:val="bottom"/>
          </w:tcPr>
          <w:p w:rsidR="00BB78C6" w:rsidRPr="006D548E" w:rsidRDefault="00BB78C6" w:rsidP="006D548E">
            <w:pPr>
              <w:jc w:val="both"/>
              <w:rPr>
                <w:color w:val="000000"/>
                <w:sz w:val="22"/>
                <w:szCs w:val="22"/>
              </w:rPr>
            </w:pPr>
            <w:r>
              <w:rPr>
                <w:color w:val="000000"/>
                <w:sz w:val="22"/>
                <w:szCs w:val="22"/>
              </w:rPr>
              <w:t>S</w:t>
            </w:r>
            <w:r w:rsidRPr="006D548E">
              <w:rPr>
                <w:color w:val="000000"/>
                <w:sz w:val="22"/>
                <w:szCs w:val="22"/>
              </w:rPr>
              <w:t>chapen</w:t>
            </w:r>
            <w:r>
              <w:rPr>
                <w:color w:val="000000"/>
                <w:sz w:val="22"/>
                <w:szCs w:val="22"/>
              </w:rPr>
              <w:t xml:space="preserve"> </w:t>
            </w:r>
            <w:r w:rsidRPr="006D548E">
              <w:rPr>
                <w:color w:val="000000"/>
                <w:sz w:val="22"/>
                <w:szCs w:val="22"/>
              </w:rPr>
              <w:t>+</w:t>
            </w:r>
            <w:r>
              <w:rPr>
                <w:color w:val="000000"/>
                <w:sz w:val="22"/>
                <w:szCs w:val="22"/>
              </w:rPr>
              <w:t xml:space="preserve"> </w:t>
            </w:r>
            <w:r w:rsidRPr="006D548E">
              <w:rPr>
                <w:color w:val="000000"/>
                <w:sz w:val="22"/>
                <w:szCs w:val="22"/>
              </w:rPr>
              <w:t>geiten</w:t>
            </w:r>
          </w:p>
        </w:tc>
        <w:tc>
          <w:tcPr>
            <w:tcW w:w="1186" w:type="dxa"/>
            <w:noWrap/>
            <w:vAlign w:val="bottom"/>
          </w:tcPr>
          <w:p w:rsidR="00BB78C6" w:rsidRPr="006D548E" w:rsidRDefault="00BB78C6" w:rsidP="006D548E">
            <w:pPr>
              <w:jc w:val="both"/>
              <w:rPr>
                <w:color w:val="000000"/>
                <w:sz w:val="22"/>
                <w:szCs w:val="22"/>
              </w:rPr>
            </w:pPr>
            <w:r w:rsidRPr="006D548E">
              <w:rPr>
                <w:color w:val="000000"/>
                <w:sz w:val="22"/>
                <w:szCs w:val="22"/>
              </w:rPr>
              <w:t>runderen</w:t>
            </w:r>
          </w:p>
        </w:tc>
      </w:tr>
      <w:tr w:rsidR="00BB78C6" w:rsidRPr="006D548E" w:rsidTr="007F7EEE">
        <w:trPr>
          <w:trHeight w:val="255"/>
        </w:trPr>
        <w:tc>
          <w:tcPr>
            <w:tcW w:w="2694" w:type="dxa"/>
            <w:noWrap/>
            <w:vAlign w:val="bottom"/>
          </w:tcPr>
          <w:p w:rsidR="00BB78C6" w:rsidRPr="006D548E" w:rsidRDefault="00BB78C6" w:rsidP="006D548E">
            <w:pPr>
              <w:jc w:val="both"/>
              <w:rPr>
                <w:color w:val="000000"/>
                <w:sz w:val="22"/>
                <w:szCs w:val="22"/>
              </w:rPr>
            </w:pPr>
            <w:r w:rsidRPr="006D548E">
              <w:rPr>
                <w:color w:val="000000"/>
                <w:sz w:val="22"/>
                <w:szCs w:val="22"/>
              </w:rPr>
              <w:t>Vlaams-Brabant</w:t>
            </w:r>
          </w:p>
        </w:tc>
        <w:tc>
          <w:tcPr>
            <w:tcW w:w="1623" w:type="dxa"/>
            <w:noWrap/>
            <w:vAlign w:val="bottom"/>
          </w:tcPr>
          <w:p w:rsidR="00BB78C6" w:rsidRPr="006D548E" w:rsidRDefault="00BB78C6" w:rsidP="006D548E">
            <w:pPr>
              <w:jc w:val="both"/>
              <w:rPr>
                <w:color w:val="000000"/>
                <w:sz w:val="22"/>
                <w:szCs w:val="22"/>
              </w:rPr>
            </w:pPr>
            <w:r w:rsidRPr="006D548E">
              <w:rPr>
                <w:color w:val="000000"/>
                <w:sz w:val="22"/>
                <w:szCs w:val="22"/>
              </w:rPr>
              <w:t>68</w:t>
            </w:r>
          </w:p>
        </w:tc>
        <w:tc>
          <w:tcPr>
            <w:tcW w:w="1701" w:type="dxa"/>
            <w:noWrap/>
            <w:vAlign w:val="bottom"/>
          </w:tcPr>
          <w:p w:rsidR="00BB78C6" w:rsidRPr="006D548E" w:rsidRDefault="00BB78C6" w:rsidP="006D548E">
            <w:pPr>
              <w:jc w:val="both"/>
              <w:rPr>
                <w:color w:val="000000"/>
                <w:sz w:val="22"/>
                <w:szCs w:val="22"/>
              </w:rPr>
            </w:pPr>
            <w:r w:rsidRPr="006D548E">
              <w:rPr>
                <w:color w:val="000000"/>
                <w:sz w:val="22"/>
                <w:szCs w:val="22"/>
              </w:rPr>
              <w:t>38</w:t>
            </w:r>
          </w:p>
        </w:tc>
        <w:tc>
          <w:tcPr>
            <w:tcW w:w="1186" w:type="dxa"/>
            <w:noWrap/>
            <w:vAlign w:val="bottom"/>
          </w:tcPr>
          <w:p w:rsidR="00BB78C6" w:rsidRPr="006D548E" w:rsidRDefault="00BB78C6" w:rsidP="006D548E">
            <w:pPr>
              <w:jc w:val="both"/>
              <w:rPr>
                <w:color w:val="000000"/>
                <w:sz w:val="22"/>
                <w:szCs w:val="22"/>
              </w:rPr>
            </w:pPr>
            <w:r w:rsidRPr="006D548E">
              <w:rPr>
                <w:color w:val="000000"/>
                <w:sz w:val="22"/>
                <w:szCs w:val="22"/>
              </w:rPr>
              <w:t>30</w:t>
            </w:r>
          </w:p>
        </w:tc>
      </w:tr>
      <w:tr w:rsidR="00BB78C6" w:rsidRPr="006D548E" w:rsidTr="007F7EEE">
        <w:trPr>
          <w:trHeight w:val="255"/>
        </w:trPr>
        <w:tc>
          <w:tcPr>
            <w:tcW w:w="2694" w:type="dxa"/>
            <w:noWrap/>
            <w:vAlign w:val="bottom"/>
          </w:tcPr>
          <w:p w:rsidR="00BB78C6" w:rsidRPr="006D548E" w:rsidRDefault="00BB78C6" w:rsidP="006D548E">
            <w:pPr>
              <w:jc w:val="both"/>
              <w:rPr>
                <w:color w:val="000000"/>
                <w:sz w:val="22"/>
                <w:szCs w:val="22"/>
              </w:rPr>
            </w:pPr>
            <w:r w:rsidRPr="006D548E">
              <w:rPr>
                <w:color w:val="000000"/>
                <w:sz w:val="22"/>
                <w:szCs w:val="22"/>
              </w:rPr>
              <w:t>Antwerpen</w:t>
            </w:r>
          </w:p>
        </w:tc>
        <w:tc>
          <w:tcPr>
            <w:tcW w:w="1623" w:type="dxa"/>
            <w:noWrap/>
            <w:vAlign w:val="bottom"/>
          </w:tcPr>
          <w:p w:rsidR="00BB78C6" w:rsidRPr="006D548E" w:rsidRDefault="00BB78C6" w:rsidP="006D548E">
            <w:pPr>
              <w:jc w:val="both"/>
              <w:rPr>
                <w:color w:val="000000"/>
                <w:sz w:val="22"/>
                <w:szCs w:val="22"/>
              </w:rPr>
            </w:pPr>
            <w:r w:rsidRPr="006D548E">
              <w:rPr>
                <w:color w:val="000000"/>
                <w:sz w:val="22"/>
                <w:szCs w:val="22"/>
              </w:rPr>
              <w:t>46</w:t>
            </w:r>
          </w:p>
        </w:tc>
        <w:tc>
          <w:tcPr>
            <w:tcW w:w="1701" w:type="dxa"/>
            <w:noWrap/>
            <w:vAlign w:val="bottom"/>
          </w:tcPr>
          <w:p w:rsidR="00BB78C6" w:rsidRPr="006D548E" w:rsidRDefault="00BB78C6" w:rsidP="006D548E">
            <w:pPr>
              <w:jc w:val="both"/>
              <w:rPr>
                <w:color w:val="000000"/>
                <w:sz w:val="22"/>
                <w:szCs w:val="22"/>
              </w:rPr>
            </w:pPr>
            <w:r w:rsidRPr="006D548E">
              <w:rPr>
                <w:color w:val="000000"/>
                <w:sz w:val="22"/>
                <w:szCs w:val="22"/>
              </w:rPr>
              <w:t>43</w:t>
            </w:r>
          </w:p>
        </w:tc>
        <w:tc>
          <w:tcPr>
            <w:tcW w:w="1186" w:type="dxa"/>
            <w:noWrap/>
            <w:vAlign w:val="bottom"/>
          </w:tcPr>
          <w:p w:rsidR="00BB78C6" w:rsidRPr="006D548E" w:rsidRDefault="00BB78C6" w:rsidP="006D548E">
            <w:pPr>
              <w:jc w:val="both"/>
              <w:rPr>
                <w:color w:val="000000"/>
                <w:sz w:val="22"/>
                <w:szCs w:val="22"/>
              </w:rPr>
            </w:pPr>
            <w:r w:rsidRPr="006D548E">
              <w:rPr>
                <w:color w:val="000000"/>
                <w:sz w:val="22"/>
                <w:szCs w:val="22"/>
              </w:rPr>
              <w:t>3</w:t>
            </w:r>
          </w:p>
        </w:tc>
      </w:tr>
      <w:tr w:rsidR="00BB78C6" w:rsidRPr="006D548E" w:rsidTr="007F7EEE">
        <w:trPr>
          <w:trHeight w:val="255"/>
        </w:trPr>
        <w:tc>
          <w:tcPr>
            <w:tcW w:w="2694" w:type="dxa"/>
            <w:noWrap/>
            <w:vAlign w:val="bottom"/>
          </w:tcPr>
          <w:p w:rsidR="00BB78C6" w:rsidRPr="006D548E" w:rsidRDefault="00BB78C6" w:rsidP="006D548E">
            <w:pPr>
              <w:jc w:val="both"/>
              <w:rPr>
                <w:color w:val="000000"/>
                <w:sz w:val="22"/>
                <w:szCs w:val="22"/>
              </w:rPr>
            </w:pPr>
            <w:r w:rsidRPr="006D548E">
              <w:rPr>
                <w:color w:val="000000"/>
                <w:sz w:val="22"/>
                <w:szCs w:val="22"/>
              </w:rPr>
              <w:t>Limburg</w:t>
            </w:r>
          </w:p>
        </w:tc>
        <w:tc>
          <w:tcPr>
            <w:tcW w:w="1623" w:type="dxa"/>
            <w:noWrap/>
            <w:vAlign w:val="bottom"/>
          </w:tcPr>
          <w:p w:rsidR="00BB78C6" w:rsidRPr="006D548E" w:rsidRDefault="00BB78C6" w:rsidP="006D548E">
            <w:pPr>
              <w:jc w:val="both"/>
              <w:rPr>
                <w:color w:val="000000"/>
                <w:sz w:val="22"/>
                <w:szCs w:val="22"/>
              </w:rPr>
            </w:pPr>
            <w:r w:rsidRPr="006D548E">
              <w:rPr>
                <w:color w:val="000000"/>
                <w:sz w:val="22"/>
                <w:szCs w:val="22"/>
              </w:rPr>
              <w:t>24</w:t>
            </w:r>
          </w:p>
        </w:tc>
        <w:tc>
          <w:tcPr>
            <w:tcW w:w="1701" w:type="dxa"/>
            <w:noWrap/>
            <w:vAlign w:val="bottom"/>
          </w:tcPr>
          <w:p w:rsidR="00BB78C6" w:rsidRPr="006D548E" w:rsidRDefault="00BB78C6" w:rsidP="006D548E">
            <w:pPr>
              <w:jc w:val="both"/>
              <w:rPr>
                <w:color w:val="000000"/>
                <w:sz w:val="22"/>
                <w:szCs w:val="22"/>
              </w:rPr>
            </w:pPr>
            <w:r w:rsidRPr="006D548E">
              <w:rPr>
                <w:color w:val="000000"/>
                <w:sz w:val="22"/>
                <w:szCs w:val="22"/>
              </w:rPr>
              <w:t>24</w:t>
            </w:r>
          </w:p>
        </w:tc>
        <w:tc>
          <w:tcPr>
            <w:tcW w:w="1186" w:type="dxa"/>
            <w:noWrap/>
            <w:vAlign w:val="bottom"/>
          </w:tcPr>
          <w:p w:rsidR="00BB78C6" w:rsidRPr="006D548E" w:rsidRDefault="00BB78C6" w:rsidP="006D548E">
            <w:pPr>
              <w:jc w:val="both"/>
              <w:rPr>
                <w:color w:val="000000"/>
                <w:sz w:val="22"/>
                <w:szCs w:val="22"/>
              </w:rPr>
            </w:pPr>
            <w:r w:rsidRPr="006D548E">
              <w:rPr>
                <w:color w:val="000000"/>
                <w:sz w:val="22"/>
                <w:szCs w:val="22"/>
              </w:rPr>
              <w:t>0</w:t>
            </w:r>
          </w:p>
        </w:tc>
      </w:tr>
      <w:tr w:rsidR="00BB78C6" w:rsidRPr="006D548E" w:rsidTr="007F7EEE">
        <w:trPr>
          <w:trHeight w:val="255"/>
        </w:trPr>
        <w:tc>
          <w:tcPr>
            <w:tcW w:w="2694" w:type="dxa"/>
            <w:noWrap/>
            <w:vAlign w:val="bottom"/>
          </w:tcPr>
          <w:p w:rsidR="00BB78C6" w:rsidRPr="006D548E" w:rsidRDefault="00BB78C6" w:rsidP="006D548E">
            <w:pPr>
              <w:jc w:val="both"/>
              <w:rPr>
                <w:color w:val="000000"/>
                <w:sz w:val="22"/>
                <w:szCs w:val="22"/>
              </w:rPr>
            </w:pPr>
            <w:r w:rsidRPr="006D548E">
              <w:rPr>
                <w:color w:val="000000"/>
                <w:sz w:val="22"/>
                <w:szCs w:val="22"/>
              </w:rPr>
              <w:t>Oost-Vlaanderen</w:t>
            </w:r>
          </w:p>
        </w:tc>
        <w:tc>
          <w:tcPr>
            <w:tcW w:w="1623" w:type="dxa"/>
            <w:noWrap/>
            <w:vAlign w:val="bottom"/>
          </w:tcPr>
          <w:p w:rsidR="00BB78C6" w:rsidRPr="006D548E" w:rsidRDefault="00BB78C6" w:rsidP="006D548E">
            <w:pPr>
              <w:jc w:val="both"/>
              <w:rPr>
                <w:color w:val="000000"/>
                <w:sz w:val="22"/>
                <w:szCs w:val="22"/>
              </w:rPr>
            </w:pPr>
            <w:r w:rsidRPr="006D548E">
              <w:rPr>
                <w:color w:val="000000"/>
                <w:sz w:val="22"/>
                <w:szCs w:val="22"/>
              </w:rPr>
              <w:t>106</w:t>
            </w:r>
          </w:p>
        </w:tc>
        <w:tc>
          <w:tcPr>
            <w:tcW w:w="1701" w:type="dxa"/>
            <w:noWrap/>
            <w:vAlign w:val="bottom"/>
          </w:tcPr>
          <w:p w:rsidR="00BB78C6" w:rsidRPr="006D548E" w:rsidRDefault="00BB78C6" w:rsidP="006D548E">
            <w:pPr>
              <w:jc w:val="both"/>
              <w:rPr>
                <w:color w:val="000000"/>
                <w:sz w:val="22"/>
                <w:szCs w:val="22"/>
              </w:rPr>
            </w:pPr>
            <w:r w:rsidRPr="006D548E">
              <w:rPr>
                <w:color w:val="000000"/>
                <w:sz w:val="22"/>
                <w:szCs w:val="22"/>
              </w:rPr>
              <w:t>46</w:t>
            </w:r>
          </w:p>
        </w:tc>
        <w:tc>
          <w:tcPr>
            <w:tcW w:w="1186" w:type="dxa"/>
            <w:noWrap/>
            <w:vAlign w:val="bottom"/>
          </w:tcPr>
          <w:p w:rsidR="00BB78C6" w:rsidRPr="006D548E" w:rsidRDefault="00BB78C6" w:rsidP="006D548E">
            <w:pPr>
              <w:jc w:val="both"/>
              <w:rPr>
                <w:color w:val="000000"/>
                <w:sz w:val="22"/>
                <w:szCs w:val="22"/>
              </w:rPr>
            </w:pPr>
            <w:r w:rsidRPr="006D548E">
              <w:rPr>
                <w:color w:val="000000"/>
                <w:sz w:val="22"/>
                <w:szCs w:val="22"/>
              </w:rPr>
              <w:t>32</w:t>
            </w:r>
          </w:p>
        </w:tc>
      </w:tr>
      <w:tr w:rsidR="00BB78C6" w:rsidRPr="006D548E" w:rsidTr="007F7EEE">
        <w:trPr>
          <w:trHeight w:val="255"/>
        </w:trPr>
        <w:tc>
          <w:tcPr>
            <w:tcW w:w="2694" w:type="dxa"/>
            <w:noWrap/>
            <w:vAlign w:val="bottom"/>
          </w:tcPr>
          <w:p w:rsidR="00BB78C6" w:rsidRPr="006D548E" w:rsidRDefault="00BB78C6" w:rsidP="006D548E">
            <w:pPr>
              <w:jc w:val="both"/>
              <w:rPr>
                <w:color w:val="000000"/>
                <w:sz w:val="22"/>
                <w:szCs w:val="22"/>
              </w:rPr>
            </w:pPr>
            <w:r w:rsidRPr="006D548E">
              <w:rPr>
                <w:color w:val="000000"/>
                <w:sz w:val="22"/>
                <w:szCs w:val="22"/>
              </w:rPr>
              <w:t>West-Vlaanderen</w:t>
            </w:r>
          </w:p>
        </w:tc>
        <w:tc>
          <w:tcPr>
            <w:tcW w:w="1623" w:type="dxa"/>
            <w:noWrap/>
            <w:vAlign w:val="bottom"/>
          </w:tcPr>
          <w:p w:rsidR="00BB78C6" w:rsidRPr="006D548E" w:rsidRDefault="00BB78C6" w:rsidP="006D548E">
            <w:pPr>
              <w:jc w:val="both"/>
              <w:rPr>
                <w:color w:val="000000"/>
                <w:sz w:val="22"/>
                <w:szCs w:val="22"/>
              </w:rPr>
            </w:pPr>
            <w:r w:rsidRPr="006D548E">
              <w:rPr>
                <w:color w:val="000000"/>
                <w:sz w:val="22"/>
                <w:szCs w:val="22"/>
              </w:rPr>
              <w:t>78</w:t>
            </w:r>
          </w:p>
        </w:tc>
        <w:tc>
          <w:tcPr>
            <w:tcW w:w="1701" w:type="dxa"/>
            <w:noWrap/>
            <w:vAlign w:val="bottom"/>
          </w:tcPr>
          <w:p w:rsidR="00BB78C6" w:rsidRPr="006D548E" w:rsidRDefault="00BB78C6" w:rsidP="006D548E">
            <w:pPr>
              <w:jc w:val="both"/>
              <w:rPr>
                <w:color w:val="000000"/>
                <w:sz w:val="22"/>
                <w:szCs w:val="22"/>
              </w:rPr>
            </w:pPr>
            <w:r w:rsidRPr="006D548E">
              <w:rPr>
                <w:color w:val="000000"/>
                <w:sz w:val="22"/>
                <w:szCs w:val="22"/>
              </w:rPr>
              <w:t>69</w:t>
            </w:r>
          </w:p>
        </w:tc>
        <w:tc>
          <w:tcPr>
            <w:tcW w:w="1186" w:type="dxa"/>
            <w:noWrap/>
            <w:vAlign w:val="bottom"/>
          </w:tcPr>
          <w:p w:rsidR="00BB78C6" w:rsidRPr="006D548E" w:rsidRDefault="00BB78C6" w:rsidP="006D548E">
            <w:pPr>
              <w:jc w:val="both"/>
              <w:rPr>
                <w:color w:val="000000"/>
                <w:sz w:val="22"/>
                <w:szCs w:val="22"/>
              </w:rPr>
            </w:pPr>
            <w:r w:rsidRPr="006D548E">
              <w:rPr>
                <w:color w:val="000000"/>
                <w:sz w:val="22"/>
                <w:szCs w:val="22"/>
              </w:rPr>
              <w:t>37</w:t>
            </w:r>
          </w:p>
        </w:tc>
      </w:tr>
      <w:tr w:rsidR="00BB78C6" w:rsidRPr="006D548E" w:rsidTr="007F7EEE">
        <w:trPr>
          <w:trHeight w:val="255"/>
        </w:trPr>
        <w:tc>
          <w:tcPr>
            <w:tcW w:w="2694" w:type="dxa"/>
            <w:noWrap/>
            <w:vAlign w:val="bottom"/>
          </w:tcPr>
          <w:p w:rsidR="00BB78C6" w:rsidRPr="006D548E" w:rsidRDefault="00BB78C6" w:rsidP="006D548E">
            <w:pPr>
              <w:jc w:val="both"/>
              <w:rPr>
                <w:color w:val="000000"/>
                <w:sz w:val="22"/>
                <w:szCs w:val="22"/>
              </w:rPr>
            </w:pPr>
            <w:r w:rsidRPr="006D548E">
              <w:rPr>
                <w:color w:val="000000"/>
                <w:sz w:val="22"/>
                <w:szCs w:val="22"/>
              </w:rPr>
              <w:t>Totaal</w:t>
            </w:r>
          </w:p>
        </w:tc>
        <w:tc>
          <w:tcPr>
            <w:tcW w:w="1623" w:type="dxa"/>
            <w:noWrap/>
            <w:vAlign w:val="bottom"/>
          </w:tcPr>
          <w:p w:rsidR="00BB78C6" w:rsidRPr="006D548E" w:rsidRDefault="00BB78C6" w:rsidP="006D548E">
            <w:pPr>
              <w:jc w:val="both"/>
              <w:rPr>
                <w:color w:val="000000"/>
                <w:sz w:val="22"/>
                <w:szCs w:val="22"/>
              </w:rPr>
            </w:pPr>
            <w:r w:rsidRPr="006D548E">
              <w:rPr>
                <w:color w:val="000000"/>
                <w:sz w:val="22"/>
                <w:szCs w:val="22"/>
              </w:rPr>
              <w:t>322</w:t>
            </w:r>
          </w:p>
        </w:tc>
        <w:tc>
          <w:tcPr>
            <w:tcW w:w="1701" w:type="dxa"/>
            <w:noWrap/>
            <w:vAlign w:val="bottom"/>
          </w:tcPr>
          <w:p w:rsidR="00BB78C6" w:rsidRPr="006D548E" w:rsidRDefault="00BB78C6" w:rsidP="006D548E">
            <w:pPr>
              <w:jc w:val="both"/>
              <w:rPr>
                <w:color w:val="000000"/>
                <w:sz w:val="22"/>
                <w:szCs w:val="22"/>
              </w:rPr>
            </w:pPr>
            <w:r w:rsidRPr="006D548E">
              <w:rPr>
                <w:color w:val="000000"/>
                <w:sz w:val="22"/>
                <w:szCs w:val="22"/>
              </w:rPr>
              <w:t>220</w:t>
            </w:r>
          </w:p>
        </w:tc>
        <w:tc>
          <w:tcPr>
            <w:tcW w:w="1186" w:type="dxa"/>
            <w:noWrap/>
            <w:vAlign w:val="bottom"/>
          </w:tcPr>
          <w:p w:rsidR="00BB78C6" w:rsidRPr="006D548E" w:rsidRDefault="00BB78C6" w:rsidP="006D548E">
            <w:pPr>
              <w:jc w:val="both"/>
              <w:rPr>
                <w:color w:val="000000"/>
                <w:sz w:val="22"/>
                <w:szCs w:val="22"/>
              </w:rPr>
            </w:pPr>
            <w:r w:rsidRPr="006D548E">
              <w:rPr>
                <w:color w:val="000000"/>
                <w:sz w:val="22"/>
                <w:szCs w:val="22"/>
              </w:rPr>
              <w:t>102</w:t>
            </w:r>
          </w:p>
        </w:tc>
      </w:tr>
    </w:tbl>
    <w:p w:rsidR="00BB78C6" w:rsidRPr="006D548E" w:rsidRDefault="00BB78C6" w:rsidP="006D548E">
      <w:pPr>
        <w:ind w:left="431"/>
        <w:jc w:val="both"/>
        <w:rPr>
          <w:sz w:val="22"/>
          <w:szCs w:val="22"/>
          <w:lang w:val="nl-BE"/>
        </w:rPr>
      </w:pPr>
      <w:r w:rsidRPr="006D548E">
        <w:rPr>
          <w:sz w:val="22"/>
          <w:szCs w:val="22"/>
          <w:lang w:val="nl-BE"/>
        </w:rPr>
        <w:t>Tabel 5</w:t>
      </w:r>
    </w:p>
    <w:p w:rsidR="00BB78C6" w:rsidRPr="006D548E" w:rsidRDefault="00BB78C6" w:rsidP="006D548E">
      <w:pPr>
        <w:jc w:val="both"/>
        <w:rPr>
          <w:sz w:val="22"/>
          <w:szCs w:val="22"/>
          <w:lang w:val="nl-BE"/>
        </w:rPr>
      </w:pPr>
    </w:p>
    <w:p w:rsidR="00BB78C6" w:rsidRPr="006D548E" w:rsidRDefault="00BB78C6" w:rsidP="006D548E">
      <w:pPr>
        <w:pStyle w:val="StandaardSV"/>
        <w:numPr>
          <w:ilvl w:val="0"/>
          <w:numId w:val="8"/>
        </w:numPr>
        <w:rPr>
          <w:szCs w:val="22"/>
          <w:lang w:val="nl-BE"/>
        </w:rPr>
      </w:pPr>
      <w:r w:rsidRPr="006D548E">
        <w:rPr>
          <w:szCs w:val="22"/>
          <w:lang w:val="nl-BE"/>
        </w:rPr>
        <w:t>De opdeling runderen/schapen is mee opgenomen in de antwoorden bij vragen 1 en 2.</w:t>
      </w:r>
    </w:p>
    <w:p w:rsidR="00BB78C6" w:rsidRPr="006D548E" w:rsidRDefault="00BB78C6" w:rsidP="006D548E">
      <w:pPr>
        <w:ind w:left="360"/>
        <w:jc w:val="both"/>
        <w:rPr>
          <w:sz w:val="22"/>
          <w:szCs w:val="22"/>
          <w:lang w:val="nl-BE"/>
        </w:rPr>
      </w:pPr>
      <w:r w:rsidRPr="006D548E">
        <w:rPr>
          <w:sz w:val="22"/>
          <w:szCs w:val="22"/>
          <w:lang w:val="nl-BE"/>
        </w:rPr>
        <w:t>Een indeling tussen professionele en niet-professionele bedrijven kan niet exact gemaakt worden: elke begunstigde die een overeenkomst wil afsluiten, wordt geregistreerd bij het Agentschap voor Landbouw en Visserij. Zodra aan een begunstigde een veebeslag gekoppeld is, krijgt hij een producentennummer toegekend. Hierin wordt geen onderscheid gemaakt tussen professionele en niet-professionele bedrijven.</w:t>
      </w:r>
    </w:p>
    <w:p w:rsidR="00BB78C6" w:rsidRPr="006D548E" w:rsidRDefault="00BB78C6" w:rsidP="006D548E">
      <w:pPr>
        <w:ind w:left="360"/>
        <w:jc w:val="both"/>
        <w:rPr>
          <w:sz w:val="22"/>
          <w:szCs w:val="22"/>
          <w:lang w:val="nl-BE"/>
        </w:rPr>
      </w:pPr>
      <w:r w:rsidRPr="006D548E">
        <w:rPr>
          <w:sz w:val="22"/>
          <w:szCs w:val="22"/>
          <w:lang w:val="nl-BE"/>
        </w:rPr>
        <w:t>Als op basis van de uitbetaalde bedragen een selectie wordt gemaakt, waarbij aangenomen wordt dat de begunstigden met overeenkomsten voor minder dan 200 euro (2 runderen of 8 schapen of geiten) geen professionele landbouwers zijn, werd ongeveer 1/3</w:t>
      </w:r>
      <w:r w:rsidRPr="006D548E">
        <w:rPr>
          <w:sz w:val="22"/>
          <w:szCs w:val="22"/>
          <w:vertAlign w:val="superscript"/>
          <w:lang w:val="nl-BE"/>
        </w:rPr>
        <w:t>de</w:t>
      </w:r>
      <w:r w:rsidRPr="006D548E">
        <w:rPr>
          <w:sz w:val="22"/>
          <w:szCs w:val="22"/>
          <w:lang w:val="nl-BE"/>
        </w:rPr>
        <w:t xml:space="preserve"> van de uitbetalingen gedaan aan niet-professionele landbouwers. Dit vertegenwoordigt een bedrag van ongeveer 45.000 euro.</w:t>
      </w:r>
    </w:p>
    <w:p w:rsidR="00BB78C6" w:rsidRPr="006D548E" w:rsidRDefault="00BB78C6" w:rsidP="006D548E">
      <w:pPr>
        <w:jc w:val="both"/>
        <w:rPr>
          <w:sz w:val="22"/>
          <w:szCs w:val="22"/>
          <w:lang w:val="nl-BE"/>
        </w:rPr>
      </w:pPr>
    </w:p>
    <w:p w:rsidR="00BB78C6" w:rsidRPr="006D548E" w:rsidRDefault="00BB78C6" w:rsidP="006D548E">
      <w:pPr>
        <w:pStyle w:val="StandaardSV"/>
        <w:numPr>
          <w:ilvl w:val="0"/>
          <w:numId w:val="8"/>
        </w:numPr>
        <w:rPr>
          <w:szCs w:val="22"/>
          <w:lang w:val="nl-BE"/>
        </w:rPr>
      </w:pPr>
      <w:r w:rsidRPr="006D548E">
        <w:rPr>
          <w:szCs w:val="22"/>
          <w:lang w:val="nl-BE"/>
        </w:rPr>
        <w:t>Zie antwoorden op vragen 1 en 2</w:t>
      </w:r>
    </w:p>
    <w:p w:rsidR="00BB78C6" w:rsidRPr="006D548E" w:rsidRDefault="00BB78C6" w:rsidP="006D548E">
      <w:pPr>
        <w:jc w:val="both"/>
        <w:rPr>
          <w:sz w:val="22"/>
          <w:szCs w:val="22"/>
          <w:lang w:val="nl-BE"/>
        </w:rPr>
      </w:pPr>
    </w:p>
    <w:p w:rsidR="00BB78C6" w:rsidRPr="006D548E" w:rsidRDefault="00BB78C6" w:rsidP="006D548E">
      <w:pPr>
        <w:pStyle w:val="StandaardSV"/>
        <w:numPr>
          <w:ilvl w:val="0"/>
          <w:numId w:val="8"/>
        </w:numPr>
        <w:rPr>
          <w:szCs w:val="22"/>
          <w:lang w:val="nl-BE"/>
        </w:rPr>
      </w:pPr>
      <w:r w:rsidRPr="006D548E">
        <w:rPr>
          <w:szCs w:val="22"/>
          <w:lang w:val="nl-BE"/>
        </w:rPr>
        <w:t>Dat de maatregel succesvol is kan gestaafd worden aan de hand van volgende cijfers:</w:t>
      </w:r>
    </w:p>
    <w:p w:rsidR="00BB78C6" w:rsidRPr="006D548E" w:rsidRDefault="00BB78C6" w:rsidP="006D548E">
      <w:pPr>
        <w:ind w:left="360"/>
        <w:jc w:val="both"/>
        <w:rPr>
          <w:sz w:val="22"/>
          <w:szCs w:val="22"/>
          <w:lang w:val="nl-BE"/>
        </w:rPr>
      </w:pPr>
      <w:r w:rsidRPr="006D548E">
        <w:rPr>
          <w:sz w:val="22"/>
          <w:szCs w:val="22"/>
          <w:lang w:val="nl-BE"/>
        </w:rPr>
        <w:t>Het aantal geregistreerde dieren van de zeldzame schapenrassen bedroeg in 2006 ongeveer 6.500 dieren. Eind 2009 waren meer dan 7.555 dieren geregistreerd. Exacte cijfers zijn moeilijk te geven, omdat fokkers hun stamboekadministratie niet altijd even nauwkeurig blijken bij te houden.</w:t>
      </w:r>
    </w:p>
    <w:p w:rsidR="00BB78C6" w:rsidRPr="006D548E" w:rsidRDefault="00BB78C6" w:rsidP="006D548E">
      <w:pPr>
        <w:ind w:left="360"/>
        <w:jc w:val="both"/>
        <w:rPr>
          <w:sz w:val="22"/>
          <w:szCs w:val="22"/>
          <w:lang w:val="nl-BE"/>
        </w:rPr>
      </w:pPr>
      <w:r w:rsidRPr="006D548E">
        <w:rPr>
          <w:sz w:val="22"/>
          <w:szCs w:val="22"/>
          <w:lang w:val="nl-BE"/>
        </w:rPr>
        <w:t>Het aantal geregistreerde kalveren ging van 371 (witblauw dubbeldoel), 99 (rood ras) en 380 (witrood ras) in 2005 naar 943 (witblauw dubbeldoel), 209(rood ras) en 991 (witrood ras) in 2009.</w:t>
      </w:r>
    </w:p>
    <w:p w:rsidR="00BB78C6" w:rsidRPr="006D548E" w:rsidRDefault="00BB78C6" w:rsidP="006D548E">
      <w:pPr>
        <w:jc w:val="both"/>
        <w:rPr>
          <w:sz w:val="22"/>
          <w:szCs w:val="22"/>
          <w:lang w:val="nl-BE"/>
        </w:rPr>
      </w:pPr>
    </w:p>
    <w:p w:rsidR="00BB78C6" w:rsidRPr="006D548E" w:rsidRDefault="00BB78C6" w:rsidP="006D548E">
      <w:pPr>
        <w:pStyle w:val="StandaardSV"/>
        <w:numPr>
          <w:ilvl w:val="0"/>
          <w:numId w:val="8"/>
        </w:numPr>
        <w:rPr>
          <w:szCs w:val="22"/>
          <w:lang w:val="nl-BE"/>
        </w:rPr>
      </w:pPr>
      <w:r w:rsidRPr="006D548E">
        <w:rPr>
          <w:szCs w:val="22"/>
          <w:lang w:val="nl-BE"/>
        </w:rPr>
        <w:t>De administratieve lasten die gepaard gaan met de maatregel genetische diversiteit zijn beperkt: zodra de begunstigde een overeenkomst heeft afgesloten, moet hij alleen nog jaarlijks een aanvraag tot uitbetaling indienen. Deze aanvragen worden door de erkende verenigingen (Steunpunt Levend Erfgoed voor de overeenkomsten schapen, Vlaamse Rundveeteelt Vereniging voor de overeenkomsten runderen) al vooraf ingevuld met alle gekende gegevens. De begunstigden moeten deze aanvraag tot uitbetaling alleen nog nakijken, eventuele gewijzigde gegevens aanpassen, handtekenen en terugsturen.</w:t>
      </w:r>
    </w:p>
    <w:p w:rsidR="00BB78C6" w:rsidRPr="006D548E" w:rsidRDefault="00BB78C6" w:rsidP="006D548E">
      <w:pPr>
        <w:jc w:val="both"/>
        <w:rPr>
          <w:sz w:val="22"/>
          <w:szCs w:val="22"/>
          <w:lang w:val="nl-BE"/>
        </w:rPr>
      </w:pPr>
    </w:p>
    <w:p w:rsidR="00BB78C6" w:rsidRPr="006D548E" w:rsidRDefault="00BB78C6" w:rsidP="006D548E">
      <w:pPr>
        <w:pStyle w:val="StandaardSV"/>
        <w:numPr>
          <w:ilvl w:val="0"/>
          <w:numId w:val="8"/>
        </w:numPr>
        <w:rPr>
          <w:szCs w:val="22"/>
          <w:lang w:val="nl-BE"/>
        </w:rPr>
      </w:pPr>
      <w:r w:rsidRPr="006D548E">
        <w:rPr>
          <w:szCs w:val="22"/>
          <w:lang w:val="nl-BE"/>
        </w:rPr>
        <w:t>Steunpunt Levend Erfgoed is door de minister erkend als centrum ter bevordering van meer duurzame landbouwproductiemethoden. In deze hoedanigheid ontvangt het een subsidie voor het beheer van, de controle op en de promotie voor de maatregel genetische diversiteit. Daarnaast is SLE erkend voor het bijhouden van de stamboeken van de zeldzame schapenrassen, en krijgt het een subsidie voor haar stamboekwerking.</w:t>
      </w:r>
    </w:p>
    <w:p w:rsidR="00BB78C6" w:rsidRPr="006D548E" w:rsidRDefault="00BB78C6" w:rsidP="006D548E">
      <w:pPr>
        <w:jc w:val="both"/>
        <w:rPr>
          <w:sz w:val="22"/>
          <w:szCs w:val="22"/>
          <w:lang w:val="nl-BE"/>
        </w:rPr>
      </w:pPr>
    </w:p>
    <w:p w:rsidR="00BB78C6" w:rsidRPr="006D548E" w:rsidRDefault="00BB78C6" w:rsidP="006D548E">
      <w:pPr>
        <w:tabs>
          <w:tab w:val="left" w:pos="360"/>
        </w:tabs>
        <w:jc w:val="both"/>
        <w:rPr>
          <w:sz w:val="22"/>
          <w:szCs w:val="22"/>
        </w:rPr>
      </w:pPr>
    </w:p>
    <w:sectPr w:rsidR="00BB78C6" w:rsidRPr="006D548E" w:rsidSect="00F84AED">
      <w:type w:val="continuous"/>
      <w:pgSz w:w="11906" w:h="16838"/>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E487F"/>
    <w:multiLevelType w:val="hybridMultilevel"/>
    <w:tmpl w:val="3FD8D0DC"/>
    <w:lvl w:ilvl="0" w:tplc="097C1AE0">
      <w:start w:val="1"/>
      <w:numFmt w:val="decimal"/>
      <w:lvlText w:val="%1."/>
      <w:lvlJc w:val="left"/>
      <w:pPr>
        <w:tabs>
          <w:tab w:val="num" w:pos="360"/>
        </w:tabs>
        <w:ind w:left="360" w:hanging="360"/>
      </w:pPr>
      <w:rPr>
        <w:rFonts w:ascii="Times New Roman" w:hAnsi="Times New Roman"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
    <w:nsid w:val="24A512C1"/>
    <w:multiLevelType w:val="hybridMultilevel"/>
    <w:tmpl w:val="6BDC3120"/>
    <w:lvl w:ilvl="0" w:tplc="49B05DEA">
      <w:start w:val="2"/>
      <w:numFmt w:val="decimal"/>
      <w:lvlText w:val="%1."/>
      <w:lvlJc w:val="left"/>
      <w:pPr>
        <w:tabs>
          <w:tab w:val="num" w:pos="720"/>
        </w:tabs>
        <w:ind w:left="720" w:hanging="360"/>
      </w:pPr>
      <w:rPr>
        <w:rFonts w:cs="Times New Roman" w:hint="default"/>
      </w:rPr>
    </w:lvl>
    <w:lvl w:ilvl="1" w:tplc="434C38EE" w:tentative="1">
      <w:start w:val="1"/>
      <w:numFmt w:val="lowerLetter"/>
      <w:lvlText w:val="%2."/>
      <w:lvlJc w:val="left"/>
      <w:pPr>
        <w:tabs>
          <w:tab w:val="num" w:pos="1440"/>
        </w:tabs>
        <w:ind w:left="1440" w:hanging="360"/>
      </w:pPr>
      <w:rPr>
        <w:rFonts w:cs="Times New Roman"/>
      </w:rPr>
    </w:lvl>
    <w:lvl w:ilvl="2" w:tplc="7CFC3D1C" w:tentative="1">
      <w:start w:val="1"/>
      <w:numFmt w:val="lowerRoman"/>
      <w:lvlText w:val="%3."/>
      <w:lvlJc w:val="right"/>
      <w:pPr>
        <w:tabs>
          <w:tab w:val="num" w:pos="2160"/>
        </w:tabs>
        <w:ind w:left="2160" w:hanging="180"/>
      </w:pPr>
      <w:rPr>
        <w:rFonts w:cs="Times New Roman"/>
      </w:rPr>
    </w:lvl>
    <w:lvl w:ilvl="3" w:tplc="B59247CC" w:tentative="1">
      <w:start w:val="1"/>
      <w:numFmt w:val="decimal"/>
      <w:lvlText w:val="%4."/>
      <w:lvlJc w:val="left"/>
      <w:pPr>
        <w:tabs>
          <w:tab w:val="num" w:pos="2880"/>
        </w:tabs>
        <w:ind w:left="2880" w:hanging="360"/>
      </w:pPr>
      <w:rPr>
        <w:rFonts w:cs="Times New Roman"/>
      </w:rPr>
    </w:lvl>
    <w:lvl w:ilvl="4" w:tplc="F33C0346" w:tentative="1">
      <w:start w:val="1"/>
      <w:numFmt w:val="lowerLetter"/>
      <w:lvlText w:val="%5."/>
      <w:lvlJc w:val="left"/>
      <w:pPr>
        <w:tabs>
          <w:tab w:val="num" w:pos="3600"/>
        </w:tabs>
        <w:ind w:left="3600" w:hanging="360"/>
      </w:pPr>
      <w:rPr>
        <w:rFonts w:cs="Times New Roman"/>
      </w:rPr>
    </w:lvl>
    <w:lvl w:ilvl="5" w:tplc="DAC2DC4C" w:tentative="1">
      <w:start w:val="1"/>
      <w:numFmt w:val="lowerRoman"/>
      <w:lvlText w:val="%6."/>
      <w:lvlJc w:val="right"/>
      <w:pPr>
        <w:tabs>
          <w:tab w:val="num" w:pos="4320"/>
        </w:tabs>
        <w:ind w:left="4320" w:hanging="180"/>
      </w:pPr>
      <w:rPr>
        <w:rFonts w:cs="Times New Roman"/>
      </w:rPr>
    </w:lvl>
    <w:lvl w:ilvl="6" w:tplc="D422B3D4" w:tentative="1">
      <w:start w:val="1"/>
      <w:numFmt w:val="decimal"/>
      <w:lvlText w:val="%7."/>
      <w:lvlJc w:val="left"/>
      <w:pPr>
        <w:tabs>
          <w:tab w:val="num" w:pos="5040"/>
        </w:tabs>
        <w:ind w:left="5040" w:hanging="360"/>
      </w:pPr>
      <w:rPr>
        <w:rFonts w:cs="Times New Roman"/>
      </w:rPr>
    </w:lvl>
    <w:lvl w:ilvl="7" w:tplc="45C04922" w:tentative="1">
      <w:start w:val="1"/>
      <w:numFmt w:val="lowerLetter"/>
      <w:lvlText w:val="%8."/>
      <w:lvlJc w:val="left"/>
      <w:pPr>
        <w:tabs>
          <w:tab w:val="num" w:pos="5760"/>
        </w:tabs>
        <w:ind w:left="5760" w:hanging="360"/>
      </w:pPr>
      <w:rPr>
        <w:rFonts w:cs="Times New Roman"/>
      </w:rPr>
    </w:lvl>
    <w:lvl w:ilvl="8" w:tplc="F53A4DAE" w:tentative="1">
      <w:start w:val="1"/>
      <w:numFmt w:val="lowerRoman"/>
      <w:lvlText w:val="%9."/>
      <w:lvlJc w:val="right"/>
      <w:pPr>
        <w:tabs>
          <w:tab w:val="num" w:pos="6480"/>
        </w:tabs>
        <w:ind w:left="6480" w:hanging="180"/>
      </w:pPr>
      <w:rPr>
        <w:rFonts w:cs="Times New Roman"/>
      </w:rPr>
    </w:lvl>
  </w:abstractNum>
  <w:abstractNum w:abstractNumId="2">
    <w:nsid w:val="2F272A63"/>
    <w:multiLevelType w:val="hybridMultilevel"/>
    <w:tmpl w:val="73027922"/>
    <w:lvl w:ilvl="0" w:tplc="AA481974">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nsid w:val="303E6B08"/>
    <w:multiLevelType w:val="multilevel"/>
    <w:tmpl w:val="B1C8B4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39D14F3E"/>
    <w:multiLevelType w:val="hybridMultilevel"/>
    <w:tmpl w:val="25BE6A4C"/>
    <w:lvl w:ilvl="0" w:tplc="AA481974">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nsid w:val="4EAB3F09"/>
    <w:multiLevelType w:val="hybridMultilevel"/>
    <w:tmpl w:val="A93E40C4"/>
    <w:lvl w:ilvl="0" w:tplc="516646B2">
      <w:numFmt w:val="bullet"/>
      <w:lvlText w:val="-"/>
      <w:lvlJc w:val="left"/>
      <w:pPr>
        <w:tabs>
          <w:tab w:val="num" w:pos="1080"/>
        </w:tabs>
        <w:ind w:left="1080" w:hanging="360"/>
      </w:pPr>
      <w:rPr>
        <w:rFonts w:ascii="Arial" w:eastAsia="Times New Roman" w:hAnsi="Arial" w:hint="default"/>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6">
    <w:nsid w:val="5B7F677B"/>
    <w:multiLevelType w:val="hybridMultilevel"/>
    <w:tmpl w:val="2F727458"/>
    <w:lvl w:ilvl="0" w:tplc="0813000F">
      <w:start w:val="1"/>
      <w:numFmt w:val="decimal"/>
      <w:lvlText w:val="%1."/>
      <w:lvlJc w:val="left"/>
      <w:pPr>
        <w:ind w:left="1428" w:hanging="360"/>
      </w:pPr>
      <w:rPr>
        <w:rFonts w:cs="Times New Roman"/>
      </w:rPr>
    </w:lvl>
    <w:lvl w:ilvl="1" w:tplc="08130019" w:tentative="1">
      <w:start w:val="1"/>
      <w:numFmt w:val="lowerLetter"/>
      <w:lvlText w:val="%2."/>
      <w:lvlJc w:val="left"/>
      <w:pPr>
        <w:ind w:left="2148" w:hanging="360"/>
      </w:pPr>
      <w:rPr>
        <w:rFonts w:cs="Times New Roman"/>
      </w:rPr>
    </w:lvl>
    <w:lvl w:ilvl="2" w:tplc="0813001B" w:tentative="1">
      <w:start w:val="1"/>
      <w:numFmt w:val="lowerRoman"/>
      <w:lvlText w:val="%3."/>
      <w:lvlJc w:val="right"/>
      <w:pPr>
        <w:ind w:left="2868" w:hanging="180"/>
      </w:pPr>
      <w:rPr>
        <w:rFonts w:cs="Times New Roman"/>
      </w:rPr>
    </w:lvl>
    <w:lvl w:ilvl="3" w:tplc="0813000F" w:tentative="1">
      <w:start w:val="1"/>
      <w:numFmt w:val="decimal"/>
      <w:lvlText w:val="%4."/>
      <w:lvlJc w:val="left"/>
      <w:pPr>
        <w:ind w:left="3588" w:hanging="360"/>
      </w:pPr>
      <w:rPr>
        <w:rFonts w:cs="Times New Roman"/>
      </w:rPr>
    </w:lvl>
    <w:lvl w:ilvl="4" w:tplc="08130019" w:tentative="1">
      <w:start w:val="1"/>
      <w:numFmt w:val="lowerLetter"/>
      <w:lvlText w:val="%5."/>
      <w:lvlJc w:val="left"/>
      <w:pPr>
        <w:ind w:left="4308" w:hanging="360"/>
      </w:pPr>
      <w:rPr>
        <w:rFonts w:cs="Times New Roman"/>
      </w:rPr>
    </w:lvl>
    <w:lvl w:ilvl="5" w:tplc="0813001B" w:tentative="1">
      <w:start w:val="1"/>
      <w:numFmt w:val="lowerRoman"/>
      <w:lvlText w:val="%6."/>
      <w:lvlJc w:val="right"/>
      <w:pPr>
        <w:ind w:left="5028" w:hanging="180"/>
      </w:pPr>
      <w:rPr>
        <w:rFonts w:cs="Times New Roman"/>
      </w:rPr>
    </w:lvl>
    <w:lvl w:ilvl="6" w:tplc="0813000F" w:tentative="1">
      <w:start w:val="1"/>
      <w:numFmt w:val="decimal"/>
      <w:lvlText w:val="%7."/>
      <w:lvlJc w:val="left"/>
      <w:pPr>
        <w:ind w:left="5748" w:hanging="360"/>
      </w:pPr>
      <w:rPr>
        <w:rFonts w:cs="Times New Roman"/>
      </w:rPr>
    </w:lvl>
    <w:lvl w:ilvl="7" w:tplc="08130019" w:tentative="1">
      <w:start w:val="1"/>
      <w:numFmt w:val="lowerLetter"/>
      <w:lvlText w:val="%8."/>
      <w:lvlJc w:val="left"/>
      <w:pPr>
        <w:ind w:left="6468" w:hanging="360"/>
      </w:pPr>
      <w:rPr>
        <w:rFonts w:cs="Times New Roman"/>
      </w:rPr>
    </w:lvl>
    <w:lvl w:ilvl="8" w:tplc="0813001B" w:tentative="1">
      <w:start w:val="1"/>
      <w:numFmt w:val="lowerRoman"/>
      <w:lvlText w:val="%9."/>
      <w:lvlJc w:val="right"/>
      <w:pPr>
        <w:ind w:left="7188" w:hanging="180"/>
      </w:pPr>
      <w:rPr>
        <w:rFonts w:cs="Times New Roman"/>
      </w:rPr>
    </w:lvl>
  </w:abstractNum>
  <w:abstractNum w:abstractNumId="7">
    <w:nsid w:val="6BA6082E"/>
    <w:multiLevelType w:val="hybridMultilevel"/>
    <w:tmpl w:val="29BC9CAC"/>
    <w:lvl w:ilvl="0" w:tplc="DD220ABC">
      <w:start w:val="1"/>
      <w:numFmt w:val="decimal"/>
      <w:lvlText w:val="%1."/>
      <w:lvlJc w:val="left"/>
      <w:pPr>
        <w:ind w:left="360" w:hanging="360"/>
      </w:pPr>
      <w:rPr>
        <w:rFonts w:cs="Times New Roman" w:hint="default"/>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8">
    <w:nsid w:val="701951F0"/>
    <w:multiLevelType w:val="hybridMultilevel"/>
    <w:tmpl w:val="5A909F74"/>
    <w:lvl w:ilvl="0" w:tplc="0413000F">
      <w:start w:val="2"/>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9">
    <w:nsid w:val="738F0847"/>
    <w:multiLevelType w:val="hybridMultilevel"/>
    <w:tmpl w:val="6EFAFDFE"/>
    <w:lvl w:ilvl="0" w:tplc="A984DAF0">
      <w:start w:val="1"/>
      <w:numFmt w:val="decimal"/>
      <w:lvlText w:val="%1."/>
      <w:lvlJc w:val="left"/>
      <w:pPr>
        <w:tabs>
          <w:tab w:val="num" w:pos="720"/>
        </w:tabs>
        <w:ind w:left="720" w:hanging="360"/>
      </w:pPr>
      <w:rPr>
        <w:rFonts w:ascii="Times New Roman" w:hAnsi="Times New Roman" w:cs="Times New Roman" w:hint="default"/>
        <w:sz w:val="22"/>
        <w:szCs w:val="22"/>
      </w:rPr>
    </w:lvl>
    <w:lvl w:ilvl="1" w:tplc="1ADA9F64">
      <w:start w:val="1"/>
      <w:numFmt w:val="bullet"/>
      <w:lvlText w:val=""/>
      <w:lvlJc w:val="left"/>
      <w:pPr>
        <w:tabs>
          <w:tab w:val="num" w:pos="1420"/>
        </w:tabs>
        <w:ind w:left="1420" w:hanging="340"/>
      </w:pPr>
      <w:rPr>
        <w:rFonts w:ascii="Symbol" w:eastAsia="Times New Roman" w:hAnsi="Symbol"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2"/>
  </w:num>
  <w:num w:numId="6">
    <w:abstractNumId w:val="9"/>
  </w:num>
  <w:num w:numId="7">
    <w:abstractNumId w:val="5"/>
  </w:num>
  <w:num w:numId="8">
    <w:abstractNumId w:val="8"/>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08"/>
  <w:hyphenationZone w:val="425"/>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2C40"/>
    <w:rsid w:val="001747B4"/>
    <w:rsid w:val="001F0937"/>
    <w:rsid w:val="002730B7"/>
    <w:rsid w:val="002B5C56"/>
    <w:rsid w:val="002C4C53"/>
    <w:rsid w:val="002E63C1"/>
    <w:rsid w:val="004D13E3"/>
    <w:rsid w:val="005431C7"/>
    <w:rsid w:val="00593557"/>
    <w:rsid w:val="00647751"/>
    <w:rsid w:val="006A324D"/>
    <w:rsid w:val="006B4189"/>
    <w:rsid w:val="006D548E"/>
    <w:rsid w:val="006F7264"/>
    <w:rsid w:val="007A666B"/>
    <w:rsid w:val="007B527F"/>
    <w:rsid w:val="007F7EEE"/>
    <w:rsid w:val="009976C1"/>
    <w:rsid w:val="009E2C40"/>
    <w:rsid w:val="00A8473D"/>
    <w:rsid w:val="00AB0AA4"/>
    <w:rsid w:val="00B201B4"/>
    <w:rsid w:val="00BB78C6"/>
    <w:rsid w:val="00D17C2D"/>
    <w:rsid w:val="00D522C8"/>
    <w:rsid w:val="00D77EE5"/>
    <w:rsid w:val="00DA6701"/>
    <w:rsid w:val="00F03C9D"/>
    <w:rsid w:val="00F24982"/>
    <w:rsid w:val="00F84AED"/>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C56"/>
    <w:rPr>
      <w:sz w:val="24"/>
      <w:szCs w:val="24"/>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ardSV">
    <w:name w:val="Standaard SV"/>
    <w:basedOn w:val="Normal"/>
    <w:uiPriority w:val="99"/>
    <w:rsid w:val="002B5C56"/>
    <w:pPr>
      <w:jc w:val="both"/>
    </w:pPr>
    <w:rPr>
      <w:sz w:val="22"/>
      <w:szCs w:val="20"/>
    </w:rPr>
  </w:style>
  <w:style w:type="paragraph" w:styleId="BalloonText">
    <w:name w:val="Balloon Text"/>
    <w:basedOn w:val="Normal"/>
    <w:link w:val="BalloonTextChar"/>
    <w:uiPriority w:val="99"/>
    <w:semiHidden/>
    <w:rsid w:val="002B5C56"/>
    <w:rPr>
      <w:rFonts w:ascii="Tahoma" w:hAnsi="Tahoma" w:cs="Tahoma"/>
      <w:sz w:val="16"/>
      <w:szCs w:val="16"/>
    </w:rPr>
  </w:style>
  <w:style w:type="character" w:customStyle="1" w:styleId="BalloonTextChar">
    <w:name w:val="Balloon Text Char"/>
    <w:basedOn w:val="DefaultParagraphFont"/>
    <w:link w:val="BalloonText"/>
    <w:uiPriority w:val="99"/>
    <w:semiHidden/>
    <w:rsid w:val="001B5338"/>
    <w:rPr>
      <w:sz w:val="0"/>
      <w:szCs w:val="0"/>
      <w:lang w:val="nl-NL" w:eastAsia="nl-NL"/>
    </w:rPr>
  </w:style>
  <w:style w:type="paragraph" w:styleId="EnvelopeAddress">
    <w:name w:val="envelope address"/>
    <w:basedOn w:val="Normal"/>
    <w:uiPriority w:val="99"/>
    <w:rsid w:val="002730B7"/>
    <w:pPr>
      <w:framePr w:w="7920" w:h="1980" w:hRule="exact" w:hSpace="141" w:wrap="auto" w:hAnchor="page" w:xAlign="center" w:yAlign="bottom"/>
      <w:ind w:left="2880"/>
    </w:pPr>
    <w:rPr>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Werkbestanden%20Erwin%20Dewallef\Parlementaire%20vragen\Procesbeschrijving%20en%20sjablonen\sjablonen%20parlementaire%20vragen\Schriftelijke%20vraag%20-%20antwoord%20-%20bijlage%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Schriftelijke vraag - antwoord - bijlage 3</Template>
  <TotalTime>10</TotalTime>
  <Pages>3</Pages>
  <Words>766</Words>
  <Characters>4218</Characters>
  <Application>Microsoft Office Outlook</Application>
  <DocSecurity>0</DocSecurity>
  <Lines>0</Lines>
  <Paragraphs>0</Paragraphs>
  <ScaleCrop>false</ScaleCrop>
  <Company>MVG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 VANDENBROUCKE</dc:title>
  <dc:subject/>
  <dc:creator>dewaller</dc:creator>
  <cp:keywords/>
  <dc:description/>
  <cp:lastModifiedBy>Nathalie De Keyzer</cp:lastModifiedBy>
  <cp:revision>5</cp:revision>
  <cp:lastPrinted>2010-10-07T12:32:00Z</cp:lastPrinted>
  <dcterms:created xsi:type="dcterms:W3CDTF">2010-10-19T14:10:00Z</dcterms:created>
  <dcterms:modified xsi:type="dcterms:W3CDTF">2010-10-21T09:18:00Z</dcterms:modified>
</cp:coreProperties>
</file>