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A04C6" w:rsidRPr="00DD4121" w:rsidRDefault="000A04C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0A04C6" w:rsidRPr="00015BF7" w:rsidRDefault="000A04C6"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0A04C6" w:rsidRPr="00015BF7" w:rsidRDefault="000A04C6" w:rsidP="000976E9">
      <w:pPr>
        <w:rPr>
          <w:szCs w:val="22"/>
        </w:rPr>
      </w:pPr>
    </w:p>
    <w:p w:rsidR="000A04C6" w:rsidRPr="00DB41C0" w:rsidRDefault="000A04C6" w:rsidP="000976E9">
      <w:pPr>
        <w:pStyle w:val="A-Lijn"/>
      </w:pPr>
    </w:p>
    <w:p w:rsidR="000A04C6" w:rsidRPr="00326A58" w:rsidRDefault="000A04C6" w:rsidP="000976E9">
      <w:pPr>
        <w:pStyle w:val="A-Type"/>
        <w:rPr>
          <w:b w:val="0"/>
        </w:rPr>
      </w:pPr>
      <w:r>
        <w:t>a</w:t>
      </w:r>
      <w:r w:rsidRPr="00E31F4D">
        <w:t>ntwoord</w:t>
      </w:r>
      <w:r>
        <w:t xml:space="preserve"> </w:t>
      </w: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355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15</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A04C6" w:rsidRDefault="000A04C6"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wilfried vandaele</w:t>
      </w:r>
      <w:r w:rsidRPr="009D7043">
        <w:rPr>
          <w:rStyle w:val="AntwoordNaamMinisterChar"/>
          <w:sz w:val="22"/>
        </w:rPr>
        <w:fldChar w:fldCharType="end"/>
      </w:r>
    </w:p>
    <w:p w:rsidR="000A04C6" w:rsidRPr="00015BF7" w:rsidRDefault="000A04C6" w:rsidP="000976E9">
      <w:pPr>
        <w:rPr>
          <w:szCs w:val="22"/>
        </w:rPr>
      </w:pPr>
    </w:p>
    <w:p w:rsidR="000A04C6" w:rsidRPr="00DB41C0" w:rsidRDefault="000A04C6" w:rsidP="000976E9">
      <w:pPr>
        <w:pStyle w:val="A-Lijn"/>
      </w:pPr>
    </w:p>
    <w:p w:rsidR="000A04C6" w:rsidRPr="00DB41C0" w:rsidRDefault="000A04C6" w:rsidP="000976E9">
      <w:pPr>
        <w:pStyle w:val="A-Lijn"/>
      </w:pPr>
    </w:p>
    <w:p w:rsidR="000A04C6" w:rsidRPr="00281F23" w:rsidRDefault="000A04C6" w:rsidP="00203CE3">
      <w:pPr>
        <w:widowControl w:val="0"/>
        <w:tabs>
          <w:tab w:val="left" w:pos="540"/>
        </w:tabs>
        <w:suppressAutoHyphens/>
        <w:jc w:val="both"/>
        <w:rPr>
          <w:szCs w:val="22"/>
        </w:rPr>
      </w:pPr>
      <w:r>
        <w:rPr>
          <w:szCs w:val="22"/>
        </w:rPr>
        <w:t>1-2.</w:t>
      </w:r>
      <w:r>
        <w:rPr>
          <w:szCs w:val="22"/>
        </w:rPr>
        <w:tab/>
      </w:r>
      <w:r w:rsidRPr="00281F23">
        <w:rPr>
          <w:szCs w:val="22"/>
        </w:rPr>
        <w:t>Voor alle duidelijkheid is het belangrijk dat structuur van het EVF aan te geven:</w:t>
      </w:r>
    </w:p>
    <w:p w:rsidR="000A04C6" w:rsidRPr="00281F23" w:rsidRDefault="000A04C6" w:rsidP="00203CE3">
      <w:pPr>
        <w:widowControl w:val="0"/>
        <w:suppressAutoHyphens/>
        <w:ind w:left="540"/>
        <w:jc w:val="both"/>
        <w:rPr>
          <w:szCs w:val="22"/>
        </w:rPr>
      </w:pPr>
      <w:r w:rsidRPr="00281F23">
        <w:rPr>
          <w:szCs w:val="22"/>
        </w:rPr>
        <w:t>Zwaartepunt 1 bevat maatregelen voor de aanpassing van de communautaire vloot</w:t>
      </w:r>
    </w:p>
    <w:p w:rsidR="000A04C6" w:rsidRPr="00281F23" w:rsidRDefault="000A04C6" w:rsidP="00203CE3">
      <w:pPr>
        <w:widowControl w:val="0"/>
        <w:suppressAutoHyphens/>
        <w:ind w:left="540"/>
        <w:jc w:val="both"/>
        <w:rPr>
          <w:szCs w:val="22"/>
        </w:rPr>
      </w:pPr>
      <w:r w:rsidRPr="00281F23">
        <w:rPr>
          <w:szCs w:val="22"/>
        </w:rPr>
        <w:t>Zwa</w:t>
      </w:r>
      <w:r>
        <w:rPr>
          <w:szCs w:val="22"/>
        </w:rPr>
        <w:t>a</w:t>
      </w:r>
      <w:r w:rsidRPr="00281F23">
        <w:rPr>
          <w:szCs w:val="22"/>
        </w:rPr>
        <w:t>rtepunt 2 gaat over investeringen in aquacultuur, binnenvisserij, verwerking en afzet van visserij- en aquacultuurprodcuten</w:t>
      </w:r>
    </w:p>
    <w:p w:rsidR="000A04C6" w:rsidRPr="00281F23" w:rsidRDefault="000A04C6" w:rsidP="00203CE3">
      <w:pPr>
        <w:widowControl w:val="0"/>
        <w:suppressAutoHyphens/>
        <w:ind w:left="540"/>
        <w:jc w:val="both"/>
        <w:rPr>
          <w:szCs w:val="22"/>
        </w:rPr>
      </w:pPr>
      <w:r w:rsidRPr="00281F23">
        <w:rPr>
          <w:szCs w:val="22"/>
        </w:rPr>
        <w:t>Zwaartepunt 3: proefprojecten en maatregelen van algemeen belang</w:t>
      </w:r>
    </w:p>
    <w:p w:rsidR="000A04C6" w:rsidRPr="00281F23" w:rsidRDefault="000A04C6" w:rsidP="00203CE3">
      <w:pPr>
        <w:widowControl w:val="0"/>
        <w:suppressAutoHyphens/>
        <w:ind w:left="540"/>
        <w:jc w:val="both"/>
        <w:rPr>
          <w:szCs w:val="22"/>
        </w:rPr>
      </w:pPr>
      <w:r w:rsidRPr="00281F23">
        <w:rPr>
          <w:szCs w:val="22"/>
        </w:rPr>
        <w:t>Zwaartepunt 4: de duurzame ontwikkeling van visserijgebieden</w:t>
      </w:r>
    </w:p>
    <w:p w:rsidR="000A04C6" w:rsidRPr="00281F23" w:rsidRDefault="000A04C6" w:rsidP="00203CE3">
      <w:pPr>
        <w:widowControl w:val="0"/>
        <w:suppressAutoHyphens/>
        <w:ind w:left="540"/>
        <w:jc w:val="both"/>
        <w:rPr>
          <w:szCs w:val="22"/>
        </w:rPr>
      </w:pPr>
      <w:r w:rsidRPr="00281F23">
        <w:rPr>
          <w:szCs w:val="22"/>
        </w:rPr>
        <w:t>Zwaartepunt 5: technische bijstand.</w:t>
      </w:r>
    </w:p>
    <w:p w:rsidR="000A04C6" w:rsidRPr="00281F23" w:rsidRDefault="000A04C6" w:rsidP="00203CE3">
      <w:pPr>
        <w:widowControl w:val="0"/>
        <w:suppressAutoHyphens/>
        <w:ind w:left="540"/>
        <w:jc w:val="both"/>
        <w:rPr>
          <w:szCs w:val="22"/>
        </w:rPr>
      </w:pPr>
    </w:p>
    <w:p w:rsidR="000A04C6" w:rsidRPr="00281F23" w:rsidRDefault="000A04C6" w:rsidP="00203CE3">
      <w:pPr>
        <w:widowControl w:val="0"/>
        <w:suppressAutoHyphens/>
        <w:ind w:left="540"/>
        <w:jc w:val="both"/>
        <w:rPr>
          <w:szCs w:val="22"/>
        </w:rPr>
      </w:pPr>
      <w:r w:rsidRPr="00281F23">
        <w:rPr>
          <w:szCs w:val="22"/>
        </w:rPr>
        <w:t xml:space="preserve">N.a.v. de opmaak het Operationeel Programma is in samenspraak met de Europese Commissie over de gehele uitvoeringsperiode bekeken, een evenwicht nagestreefd tussen de 4 voornaamste zwaartepunten. </w:t>
      </w:r>
    </w:p>
    <w:p w:rsidR="000A04C6" w:rsidRPr="00281F23" w:rsidRDefault="000A04C6" w:rsidP="00281F23">
      <w:pPr>
        <w:widowControl w:val="0"/>
        <w:suppressAutoHyphens/>
        <w:jc w:val="both"/>
        <w:rPr>
          <w:szCs w:val="22"/>
        </w:rPr>
      </w:pPr>
    </w:p>
    <w:p w:rsidR="000A04C6" w:rsidRPr="00281F23" w:rsidRDefault="000A04C6" w:rsidP="00203CE3">
      <w:pPr>
        <w:widowControl w:val="0"/>
        <w:suppressAutoHyphens/>
        <w:ind w:left="540"/>
        <w:jc w:val="both"/>
        <w:rPr>
          <w:szCs w:val="22"/>
        </w:rPr>
      </w:pPr>
      <w:r w:rsidRPr="00281F23">
        <w:rPr>
          <w:szCs w:val="22"/>
        </w:rPr>
        <w:t>Daarbij is geopteerd om effectief een reconversie van de vloot te stimuleren. Er is in het verleden heel wat onderzoek uitgevoerd, en beleidsmatig is geopteerd om de resultaten daarvan nu effectief te implementeren. De investeringen in de Sumwing, de bordenvisserij, de staande wantvisserij, de flyshooting, de T-90 netten, rolsloffen en alle andere aanpassingen van de klassieke boomkor zijn daar concrete voorbeelden van mindere milieubelastende vistechnieken die inmiddels ingang gevonden hebben.</w:t>
      </w:r>
    </w:p>
    <w:p w:rsidR="000A04C6" w:rsidRPr="00281F23" w:rsidRDefault="000A04C6" w:rsidP="00281F23">
      <w:pPr>
        <w:widowControl w:val="0"/>
        <w:suppressAutoHyphens/>
        <w:jc w:val="both"/>
        <w:rPr>
          <w:szCs w:val="22"/>
        </w:rPr>
      </w:pPr>
    </w:p>
    <w:p w:rsidR="000A04C6" w:rsidRPr="00281F23" w:rsidRDefault="000A04C6" w:rsidP="00203CE3">
      <w:pPr>
        <w:widowControl w:val="0"/>
        <w:suppressAutoHyphens/>
        <w:ind w:left="540"/>
        <w:jc w:val="both"/>
        <w:rPr>
          <w:szCs w:val="22"/>
        </w:rPr>
      </w:pPr>
      <w:r w:rsidRPr="00281F23">
        <w:rPr>
          <w:szCs w:val="22"/>
        </w:rPr>
        <w:t>De Commissie heeft met de VO 744/2008 in volle energiecrisis, uitdrukkelijk nadruk gelegd op energiebesparende maatregelen en heeft daartoe onder bepaalde voorwaarden het subsidieper</w:t>
      </w:r>
      <w:r>
        <w:rPr>
          <w:szCs w:val="22"/>
        </w:rPr>
        <w:softHyphen/>
      </w:r>
      <w:r w:rsidRPr="00281F23">
        <w:rPr>
          <w:szCs w:val="22"/>
        </w:rPr>
        <w:t>centage verhoogd tot 60%. Vlaanderen heeft evenwel een subsidieplafond per investerings</w:t>
      </w:r>
      <w:r>
        <w:rPr>
          <w:szCs w:val="22"/>
        </w:rPr>
        <w:softHyphen/>
      </w:r>
      <w:r w:rsidRPr="00281F23">
        <w:rPr>
          <w:szCs w:val="22"/>
        </w:rPr>
        <w:t xml:space="preserve">dossier opgelegd zodat bv. voor vervanging van motoren het uiteindelijke subsidiepercentage lager is dan het toegestane maximum. </w:t>
      </w:r>
    </w:p>
    <w:p w:rsidR="000A04C6" w:rsidRPr="00281F23" w:rsidRDefault="000A04C6" w:rsidP="00203CE3">
      <w:pPr>
        <w:widowControl w:val="0"/>
        <w:suppressAutoHyphens/>
        <w:ind w:left="540"/>
        <w:jc w:val="both"/>
        <w:rPr>
          <w:szCs w:val="22"/>
        </w:rPr>
      </w:pPr>
      <w:r w:rsidRPr="00281F23">
        <w:rPr>
          <w:szCs w:val="22"/>
        </w:rPr>
        <w:t>Uitgangspunt van Europa was dat het besparen van fossiele brandstof zowel ecologisch (minder uitstoot) en als economisch (verhogen van de rentabiliteit) als erg positief bestempeld werd. Bovendien wordt telkens ook de totale visserij-inspanning gekort!</w:t>
      </w:r>
      <w:r>
        <w:rPr>
          <w:szCs w:val="22"/>
        </w:rPr>
        <w:tab/>
      </w:r>
      <w:r w:rsidRPr="00281F23">
        <w:rPr>
          <w:szCs w:val="22"/>
        </w:rPr>
        <w:t xml:space="preserve"> </w:t>
      </w:r>
      <w:r w:rsidRPr="00281F23">
        <w:rPr>
          <w:szCs w:val="22"/>
        </w:rPr>
        <w:br/>
        <w:t>Een van de essentiële voorwaarden betrof het verminderen van de totale vangstcapaciteit met 20%. Vlaanderen heeft er voor gekozen om enkel boomkorvaartuigen uit het Groot Vloot</w:t>
      </w:r>
      <w:r>
        <w:rPr>
          <w:szCs w:val="22"/>
        </w:rPr>
        <w:softHyphen/>
      </w:r>
      <w:r w:rsidRPr="00281F23">
        <w:rPr>
          <w:szCs w:val="22"/>
        </w:rPr>
        <w:t>segment toe te laten tot de sloop wat een extra element is in</w:t>
      </w:r>
      <w:r>
        <w:rPr>
          <w:szCs w:val="22"/>
        </w:rPr>
        <w:t xml:space="preserve"> het verduurzamen van de vloot.</w:t>
      </w:r>
    </w:p>
    <w:p w:rsidR="000A04C6" w:rsidRPr="00281F23" w:rsidRDefault="000A04C6" w:rsidP="00203CE3">
      <w:pPr>
        <w:widowControl w:val="0"/>
        <w:suppressAutoHyphens/>
        <w:ind w:left="540"/>
        <w:jc w:val="both"/>
        <w:rPr>
          <w:szCs w:val="22"/>
        </w:rPr>
      </w:pPr>
      <w:r w:rsidRPr="00281F23">
        <w:rPr>
          <w:szCs w:val="22"/>
        </w:rPr>
        <w:t>De beleidskeuze om effectief de reconversie te stimuleren en de stimulans vanuit de Commissie m.b.t. energiebesparing heeft er toe geleid dat de voorbije jaren een belangrijk aandeel van de beschikbare Europese en Vlaamse middelen aan zw</w:t>
      </w:r>
      <w:r>
        <w:rPr>
          <w:szCs w:val="22"/>
        </w:rPr>
        <w:t>aartepunt</w:t>
      </w:r>
      <w:r w:rsidRPr="00281F23">
        <w:rPr>
          <w:szCs w:val="22"/>
        </w:rPr>
        <w:t xml:space="preserve"> 1 besteed werden. De sector heeft immers in belangrijke mate ingespeeld heeft op de geboden mogelijkheden, </w:t>
      </w:r>
    </w:p>
    <w:p w:rsidR="000A04C6" w:rsidRPr="00281F23" w:rsidRDefault="000A04C6" w:rsidP="00281F23">
      <w:pPr>
        <w:widowControl w:val="0"/>
        <w:suppressAutoHyphens/>
        <w:jc w:val="both"/>
        <w:rPr>
          <w:szCs w:val="22"/>
        </w:rPr>
      </w:pPr>
    </w:p>
    <w:p w:rsidR="000A04C6" w:rsidRPr="00281F23" w:rsidRDefault="000A04C6" w:rsidP="00203CE3">
      <w:pPr>
        <w:widowControl w:val="0"/>
        <w:suppressAutoHyphens/>
        <w:ind w:left="540"/>
        <w:jc w:val="both"/>
        <w:rPr>
          <w:szCs w:val="22"/>
        </w:rPr>
      </w:pPr>
      <w:r w:rsidRPr="00281F23">
        <w:rPr>
          <w:szCs w:val="22"/>
        </w:rPr>
        <w:t>Overigens zijn er in de voorbije 2 jaar geen aanvragen ontvangen voor acties uit zwaartepunt 2, is in zwaartepunt 3 het aantal proefprojecten en maatregelen van collectief belang beperkt en is pas in 2010 de uitwerking van zwaartepunt 4 opgestart.</w:t>
      </w:r>
    </w:p>
    <w:p w:rsidR="000A04C6" w:rsidRPr="00281F23" w:rsidRDefault="000A04C6" w:rsidP="00281F23">
      <w:pPr>
        <w:widowControl w:val="0"/>
        <w:suppressAutoHyphens/>
        <w:jc w:val="both"/>
        <w:rPr>
          <w:szCs w:val="22"/>
        </w:rPr>
      </w:pPr>
    </w:p>
    <w:p w:rsidR="000A04C6" w:rsidRPr="00281F23" w:rsidRDefault="000A04C6" w:rsidP="00203CE3">
      <w:pPr>
        <w:widowControl w:val="0"/>
        <w:suppressAutoHyphens/>
        <w:ind w:left="540"/>
        <w:jc w:val="both"/>
        <w:rPr>
          <w:szCs w:val="22"/>
        </w:rPr>
      </w:pPr>
      <w:r w:rsidRPr="00281F23">
        <w:rPr>
          <w:szCs w:val="22"/>
        </w:rPr>
        <w:t>VO 744/2008 loopt af eind 2010. En de uitvoeringsperiode van het OP-EVF loopt, rekening houdende met de n+2 regel tot eind 2015, zodat er ruimte is om het beoogde evenwicht tussen de zwaartepunten de komende jaren te bereiken.</w:t>
      </w:r>
    </w:p>
    <w:p w:rsidR="000A04C6" w:rsidRDefault="000A04C6" w:rsidP="00281F23">
      <w:pPr>
        <w:widowControl w:val="0"/>
        <w:suppressAutoHyphens/>
        <w:jc w:val="both"/>
        <w:rPr>
          <w:szCs w:val="22"/>
        </w:rPr>
      </w:pPr>
    </w:p>
    <w:p w:rsidR="000A04C6" w:rsidRPr="00281F23" w:rsidRDefault="000A04C6" w:rsidP="00203CE3">
      <w:pPr>
        <w:widowControl w:val="0"/>
        <w:suppressAutoHyphens/>
        <w:ind w:left="540"/>
        <w:jc w:val="both"/>
        <w:rPr>
          <w:szCs w:val="22"/>
        </w:rPr>
      </w:pPr>
      <w:r w:rsidRPr="00281F23">
        <w:rPr>
          <w:szCs w:val="22"/>
        </w:rPr>
        <w:t>Zwaartepunt 4 slaat niet op ‘duurzaam vissen’, maar op “de duurzame ontwikkeling van visserijgebieden.” De aanpak is analoog aan de manier waarop Leader uitgewerkt is: een lokale groep schrijft een ontwikkelingsstrategie uit, daarna wordt een oproep gedaan naar concrete projecten om de uitgestippelde visie voor het visserijgebied te realiseren. De financieringstabel van EVF geeft hoeveel Europese middelen voor dit zwaartepunt voorzien zijn, en wat het cofinancieringpercentage is.</w:t>
      </w:r>
      <w:r>
        <w:rPr>
          <w:szCs w:val="22"/>
        </w:rPr>
        <w:tab/>
      </w:r>
      <w:r w:rsidRPr="00281F23">
        <w:rPr>
          <w:szCs w:val="22"/>
        </w:rPr>
        <w:t xml:space="preserve"> </w:t>
      </w:r>
      <w:r w:rsidRPr="00281F23">
        <w:rPr>
          <w:szCs w:val="22"/>
        </w:rPr>
        <w:br/>
        <w:t>De ontwikkelingsstrategie moet ingediend zijn tegen 15 oktober, en het is dus helemaal voorbarig om nu al negatieve uitspraken te doen over deze ontwikkelingsstrategie!</w:t>
      </w:r>
    </w:p>
    <w:p w:rsidR="000A04C6" w:rsidRPr="00281F23" w:rsidRDefault="000A04C6" w:rsidP="00281F23">
      <w:pPr>
        <w:widowControl w:val="0"/>
        <w:suppressAutoHyphens/>
        <w:jc w:val="both"/>
        <w:rPr>
          <w:szCs w:val="22"/>
        </w:rPr>
      </w:pPr>
    </w:p>
    <w:p w:rsidR="000A04C6" w:rsidRPr="00281F23" w:rsidRDefault="000A04C6" w:rsidP="00203CE3">
      <w:pPr>
        <w:widowControl w:val="0"/>
        <w:suppressAutoHyphens/>
        <w:ind w:left="540"/>
        <w:jc w:val="both"/>
        <w:rPr>
          <w:szCs w:val="22"/>
        </w:rPr>
      </w:pPr>
      <w:r w:rsidRPr="00281F23">
        <w:rPr>
          <w:szCs w:val="22"/>
        </w:rPr>
        <w:t>Elk jaar geeft de Vlaamse overheid een publicatie uit (Activiteitenverslag van het FIVA (Financieringsinstrument voor de Vlaamse Visserij- en Aquacultuursector) waarin niet enkel een gedetailleerd overzicht wordt weergegeven van de toegekende Vlaamse subsidies aan de visserijsector in het voorgaande jaar, maar ook van de Europese subsidies. Deze publicatie kan gedownload worden op de website van het beleidsdomein LV (</w:t>
      </w:r>
      <w:hyperlink r:id="rId7" w:history="1">
        <w:r w:rsidRPr="00281F23">
          <w:rPr>
            <w:rStyle w:val="Hyperlink"/>
            <w:szCs w:val="22"/>
          </w:rPr>
          <w:t>www.vlaanderen.be/zeevisserij</w:t>
        </w:r>
      </w:hyperlink>
      <w:r w:rsidRPr="00281F23">
        <w:rPr>
          <w:szCs w:val="22"/>
        </w:rPr>
        <w:t xml:space="preserve">), of kan gratis opgevraagd worden via volgende website </w:t>
      </w:r>
      <w:hyperlink r:id="rId8" w:history="1">
        <w:r w:rsidRPr="00281F23">
          <w:rPr>
            <w:rStyle w:val="Hyperlink"/>
            <w:szCs w:val="22"/>
          </w:rPr>
          <w:t>www.vlaanderen.be/publicaties</w:t>
        </w:r>
      </w:hyperlink>
      <w:r w:rsidRPr="00281F23">
        <w:rPr>
          <w:szCs w:val="22"/>
        </w:rPr>
        <w:t xml:space="preserve">. </w:t>
      </w:r>
    </w:p>
    <w:p w:rsidR="000A04C6" w:rsidRPr="00281F23" w:rsidRDefault="000A04C6" w:rsidP="00203CE3">
      <w:pPr>
        <w:widowControl w:val="0"/>
        <w:suppressAutoHyphens/>
        <w:ind w:left="540"/>
        <w:jc w:val="both"/>
        <w:rPr>
          <w:szCs w:val="22"/>
        </w:rPr>
      </w:pPr>
      <w:r w:rsidRPr="00281F23">
        <w:rPr>
          <w:szCs w:val="22"/>
        </w:rPr>
        <w:t>In onderstaande tabel zijn de cijfers weergegeven van de Vlaamse en Europese steun toegekend de voorbije jaren. Er dient echter op gewezen dat een beoordeling dient te gebeuren over het geheel van de periode van het betrokken programma en niet op enkele jaren!</w:t>
      </w:r>
    </w:p>
    <w:p w:rsidR="000A04C6" w:rsidRPr="00281F23" w:rsidRDefault="000A04C6" w:rsidP="00203CE3">
      <w:pPr>
        <w:widowControl w:val="0"/>
        <w:suppressAutoHyphens/>
        <w:ind w:left="540"/>
        <w:jc w:val="both"/>
        <w:rPr>
          <w:szCs w:val="22"/>
        </w:rPr>
      </w:pPr>
      <w:r w:rsidRPr="00281F23">
        <w:rPr>
          <w:szCs w:val="22"/>
        </w:rPr>
        <w:t>Voor 2007 en 2008 hebben de cijfers betrekking op de laatste jaren van de uitvoering van het FIOV-programma.</w:t>
      </w:r>
    </w:p>
    <w:p w:rsidR="000A04C6" w:rsidRPr="00281F23" w:rsidRDefault="000A04C6" w:rsidP="00203CE3">
      <w:pPr>
        <w:widowControl w:val="0"/>
        <w:suppressAutoHyphens/>
        <w:ind w:left="540"/>
        <w:jc w:val="both"/>
        <w:rPr>
          <w:szCs w:val="22"/>
        </w:rPr>
      </w:pPr>
      <w:r w:rsidRPr="00281F23">
        <w:rPr>
          <w:szCs w:val="22"/>
        </w:rPr>
        <w:t>Voor 2009 en 2010 slaan de cijfers op de eerste jaren van de uitvoering van het EVF-programma. Het Toezichtscomité dat de uitvoering van dit programma opvolgt bestaat uit vertegenwoordigers van de Europese Commissie, de Vlaamse en Waalse administratie, de rederscentrale, de vakbonden en Natuurpunt als vertegenwoordiger van de NGO’s.</w:t>
      </w:r>
    </w:p>
    <w:p w:rsidR="000A04C6" w:rsidRPr="00281F23" w:rsidRDefault="000A04C6" w:rsidP="00281F23">
      <w:pPr>
        <w:widowControl w:val="0"/>
        <w:suppressAutoHyphens/>
        <w:jc w:val="both"/>
        <w:rPr>
          <w:szCs w:val="22"/>
        </w:rPr>
      </w:pPr>
    </w:p>
    <w:p w:rsidR="000A04C6" w:rsidRPr="00281F23" w:rsidRDefault="000A04C6" w:rsidP="00203CE3">
      <w:pPr>
        <w:widowControl w:val="0"/>
        <w:suppressAutoHyphens/>
        <w:ind w:left="540"/>
        <w:jc w:val="both"/>
        <w:rPr>
          <w:szCs w:val="22"/>
          <w:u w:val="single"/>
        </w:rPr>
      </w:pPr>
      <w:r w:rsidRPr="00281F23">
        <w:rPr>
          <w:szCs w:val="22"/>
          <w:u w:val="single"/>
        </w:rPr>
        <w:t>FIOV-programma</w:t>
      </w:r>
    </w:p>
    <w:p w:rsidR="000A04C6" w:rsidRPr="00281F23" w:rsidRDefault="000A04C6" w:rsidP="00203CE3">
      <w:pPr>
        <w:widowControl w:val="0"/>
        <w:suppressAutoHyphens/>
        <w:ind w:left="540"/>
        <w:jc w:val="both"/>
        <w:rPr>
          <w:szCs w:val="22"/>
        </w:rPr>
      </w:pPr>
    </w:p>
    <w:p w:rsidR="000A04C6" w:rsidRPr="00281F23" w:rsidRDefault="000A04C6" w:rsidP="00203CE3">
      <w:pPr>
        <w:widowControl w:val="0"/>
        <w:suppressAutoHyphens/>
        <w:ind w:left="540"/>
        <w:jc w:val="both"/>
        <w:rPr>
          <w:szCs w:val="22"/>
        </w:rPr>
      </w:pPr>
      <w:r w:rsidRPr="00281F23">
        <w:rPr>
          <w:szCs w:val="22"/>
        </w:rPr>
        <w:t>Tabel 1. Vlaamse en Europese steun toegekend van 2007 tot 2010 aan modernisering van vissersvaartuigen (bedragen x 1.000 euro).</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151"/>
        <w:gridCol w:w="1151"/>
        <w:gridCol w:w="1151"/>
      </w:tblGrid>
      <w:tr w:rsidR="000A04C6" w:rsidRPr="00281F23" w:rsidTr="00203CE3">
        <w:tc>
          <w:tcPr>
            <w:tcW w:w="2302" w:type="dxa"/>
            <w:gridSpan w:val="2"/>
          </w:tcPr>
          <w:p w:rsidR="000A04C6" w:rsidRPr="008E783F" w:rsidRDefault="000A04C6" w:rsidP="008E783F">
            <w:pPr>
              <w:widowControl w:val="0"/>
              <w:suppressAutoHyphens/>
              <w:jc w:val="both"/>
              <w:rPr>
                <w:b/>
              </w:rPr>
            </w:pPr>
            <w:r w:rsidRPr="008E783F">
              <w:rPr>
                <w:b/>
                <w:szCs w:val="22"/>
              </w:rPr>
              <w:t>2007</w:t>
            </w:r>
          </w:p>
        </w:tc>
        <w:tc>
          <w:tcPr>
            <w:tcW w:w="2302" w:type="dxa"/>
            <w:gridSpan w:val="2"/>
          </w:tcPr>
          <w:p w:rsidR="000A04C6" w:rsidRPr="008E783F" w:rsidRDefault="000A04C6" w:rsidP="008E783F">
            <w:pPr>
              <w:widowControl w:val="0"/>
              <w:suppressAutoHyphens/>
              <w:jc w:val="both"/>
              <w:rPr>
                <w:b/>
              </w:rPr>
            </w:pPr>
            <w:r w:rsidRPr="008E783F">
              <w:rPr>
                <w:b/>
                <w:szCs w:val="22"/>
              </w:rPr>
              <w:t>2008</w:t>
            </w:r>
          </w:p>
        </w:tc>
      </w:tr>
      <w:tr w:rsidR="000A04C6" w:rsidRPr="00281F23" w:rsidTr="00203CE3">
        <w:tc>
          <w:tcPr>
            <w:tcW w:w="1151" w:type="dxa"/>
          </w:tcPr>
          <w:p w:rsidR="000A04C6" w:rsidRPr="008E783F" w:rsidRDefault="000A04C6" w:rsidP="008E783F">
            <w:pPr>
              <w:widowControl w:val="0"/>
              <w:suppressAutoHyphens/>
              <w:jc w:val="both"/>
              <w:rPr>
                <w:b/>
              </w:rPr>
            </w:pPr>
            <w:r w:rsidRPr="008E783F">
              <w:rPr>
                <w:b/>
                <w:szCs w:val="22"/>
              </w:rPr>
              <w:t>Vl.</w:t>
            </w:r>
          </w:p>
        </w:tc>
        <w:tc>
          <w:tcPr>
            <w:tcW w:w="1151" w:type="dxa"/>
          </w:tcPr>
          <w:p w:rsidR="000A04C6" w:rsidRPr="008E783F" w:rsidRDefault="000A04C6" w:rsidP="008E783F">
            <w:pPr>
              <w:widowControl w:val="0"/>
              <w:suppressAutoHyphens/>
              <w:jc w:val="both"/>
              <w:rPr>
                <w:b/>
              </w:rPr>
            </w:pPr>
            <w:r w:rsidRPr="008E783F">
              <w:rPr>
                <w:b/>
                <w:szCs w:val="22"/>
              </w:rPr>
              <w:t>Eur.</w:t>
            </w:r>
          </w:p>
        </w:tc>
        <w:tc>
          <w:tcPr>
            <w:tcW w:w="1151" w:type="dxa"/>
          </w:tcPr>
          <w:p w:rsidR="000A04C6" w:rsidRPr="008E783F" w:rsidRDefault="000A04C6" w:rsidP="008E783F">
            <w:pPr>
              <w:widowControl w:val="0"/>
              <w:suppressAutoHyphens/>
              <w:jc w:val="both"/>
              <w:rPr>
                <w:b/>
              </w:rPr>
            </w:pPr>
            <w:r w:rsidRPr="008E783F">
              <w:rPr>
                <w:b/>
                <w:szCs w:val="22"/>
              </w:rPr>
              <w:t>Vl.</w:t>
            </w:r>
          </w:p>
        </w:tc>
        <w:tc>
          <w:tcPr>
            <w:tcW w:w="1151" w:type="dxa"/>
          </w:tcPr>
          <w:p w:rsidR="000A04C6" w:rsidRPr="008E783F" w:rsidRDefault="000A04C6" w:rsidP="008E783F">
            <w:pPr>
              <w:widowControl w:val="0"/>
              <w:suppressAutoHyphens/>
              <w:jc w:val="both"/>
              <w:rPr>
                <w:b/>
              </w:rPr>
            </w:pPr>
            <w:r w:rsidRPr="008E783F">
              <w:rPr>
                <w:b/>
                <w:szCs w:val="22"/>
              </w:rPr>
              <w:t>Eur.</w:t>
            </w:r>
          </w:p>
        </w:tc>
      </w:tr>
      <w:tr w:rsidR="000A04C6" w:rsidRPr="00281F23" w:rsidTr="00203CE3">
        <w:tc>
          <w:tcPr>
            <w:tcW w:w="1151" w:type="dxa"/>
          </w:tcPr>
          <w:p w:rsidR="000A04C6" w:rsidRPr="008E783F" w:rsidRDefault="000A04C6" w:rsidP="008E783F">
            <w:pPr>
              <w:widowControl w:val="0"/>
              <w:suppressAutoHyphens/>
              <w:jc w:val="both"/>
            </w:pPr>
            <w:r w:rsidRPr="008E783F">
              <w:rPr>
                <w:szCs w:val="22"/>
              </w:rPr>
              <w:t>146</w:t>
            </w:r>
          </w:p>
        </w:tc>
        <w:tc>
          <w:tcPr>
            <w:tcW w:w="1151" w:type="dxa"/>
          </w:tcPr>
          <w:p w:rsidR="000A04C6" w:rsidRPr="008E783F" w:rsidRDefault="000A04C6" w:rsidP="008E783F">
            <w:pPr>
              <w:widowControl w:val="0"/>
              <w:suppressAutoHyphens/>
              <w:jc w:val="both"/>
            </w:pPr>
            <w:r w:rsidRPr="008E783F">
              <w:rPr>
                <w:szCs w:val="22"/>
              </w:rPr>
              <w:t>145</w:t>
            </w:r>
          </w:p>
        </w:tc>
        <w:tc>
          <w:tcPr>
            <w:tcW w:w="1151" w:type="dxa"/>
          </w:tcPr>
          <w:p w:rsidR="000A04C6" w:rsidRPr="008E783F" w:rsidRDefault="000A04C6" w:rsidP="008E783F">
            <w:pPr>
              <w:widowControl w:val="0"/>
              <w:suppressAutoHyphens/>
              <w:jc w:val="both"/>
            </w:pPr>
            <w:r w:rsidRPr="008E783F">
              <w:rPr>
                <w:szCs w:val="22"/>
              </w:rPr>
              <w:t>144</w:t>
            </w:r>
          </w:p>
        </w:tc>
        <w:tc>
          <w:tcPr>
            <w:tcW w:w="1151" w:type="dxa"/>
          </w:tcPr>
          <w:p w:rsidR="000A04C6" w:rsidRPr="008E783F" w:rsidRDefault="000A04C6" w:rsidP="008E783F">
            <w:pPr>
              <w:widowControl w:val="0"/>
              <w:suppressAutoHyphens/>
              <w:jc w:val="both"/>
            </w:pPr>
            <w:r w:rsidRPr="008E783F">
              <w:rPr>
                <w:szCs w:val="22"/>
              </w:rPr>
              <w:t>134</w:t>
            </w:r>
          </w:p>
        </w:tc>
      </w:tr>
    </w:tbl>
    <w:p w:rsidR="000A04C6" w:rsidRPr="00281F23" w:rsidRDefault="000A04C6" w:rsidP="00281F23">
      <w:pPr>
        <w:widowControl w:val="0"/>
        <w:suppressAutoHyphens/>
        <w:ind w:left="360"/>
        <w:jc w:val="both"/>
        <w:rPr>
          <w:szCs w:val="22"/>
        </w:rPr>
      </w:pPr>
    </w:p>
    <w:p w:rsidR="000A04C6" w:rsidRPr="00281F23" w:rsidRDefault="000A04C6" w:rsidP="00203CE3">
      <w:pPr>
        <w:widowControl w:val="0"/>
        <w:suppressAutoHyphens/>
        <w:ind w:left="540"/>
        <w:jc w:val="both"/>
        <w:rPr>
          <w:szCs w:val="22"/>
        </w:rPr>
      </w:pPr>
      <w:r w:rsidRPr="00281F23">
        <w:rPr>
          <w:szCs w:val="22"/>
        </w:rPr>
        <w:t xml:space="preserve">Tabel 2. Totaal toegekende Vlaamse en Europese steun toegekend van 2007 tot 2010 aan visserijdossiers (bedragen x 1.000 euro).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1151"/>
        <w:gridCol w:w="1151"/>
        <w:gridCol w:w="1151"/>
      </w:tblGrid>
      <w:tr w:rsidR="000A04C6" w:rsidRPr="00281F23" w:rsidTr="00203CE3">
        <w:tc>
          <w:tcPr>
            <w:tcW w:w="2302" w:type="dxa"/>
            <w:gridSpan w:val="2"/>
          </w:tcPr>
          <w:p w:rsidR="000A04C6" w:rsidRPr="008E783F" w:rsidRDefault="000A04C6" w:rsidP="008E783F">
            <w:pPr>
              <w:widowControl w:val="0"/>
              <w:suppressAutoHyphens/>
              <w:jc w:val="both"/>
              <w:rPr>
                <w:b/>
              </w:rPr>
            </w:pPr>
            <w:r w:rsidRPr="008E783F">
              <w:rPr>
                <w:b/>
                <w:szCs w:val="22"/>
              </w:rPr>
              <w:t>2007</w:t>
            </w:r>
          </w:p>
        </w:tc>
        <w:tc>
          <w:tcPr>
            <w:tcW w:w="2302" w:type="dxa"/>
            <w:gridSpan w:val="2"/>
          </w:tcPr>
          <w:p w:rsidR="000A04C6" w:rsidRPr="008E783F" w:rsidRDefault="000A04C6" w:rsidP="008E783F">
            <w:pPr>
              <w:widowControl w:val="0"/>
              <w:suppressAutoHyphens/>
              <w:jc w:val="both"/>
              <w:rPr>
                <w:b/>
              </w:rPr>
            </w:pPr>
            <w:r w:rsidRPr="008E783F">
              <w:rPr>
                <w:b/>
                <w:szCs w:val="22"/>
              </w:rPr>
              <w:t>2008</w:t>
            </w:r>
          </w:p>
        </w:tc>
      </w:tr>
      <w:tr w:rsidR="000A04C6" w:rsidRPr="00281F23" w:rsidTr="00203CE3">
        <w:tc>
          <w:tcPr>
            <w:tcW w:w="1151" w:type="dxa"/>
          </w:tcPr>
          <w:p w:rsidR="000A04C6" w:rsidRPr="008E783F" w:rsidRDefault="000A04C6" w:rsidP="008E783F">
            <w:pPr>
              <w:widowControl w:val="0"/>
              <w:suppressAutoHyphens/>
              <w:jc w:val="both"/>
              <w:rPr>
                <w:b/>
              </w:rPr>
            </w:pPr>
            <w:r w:rsidRPr="008E783F">
              <w:rPr>
                <w:b/>
                <w:szCs w:val="22"/>
              </w:rPr>
              <w:t>Vl.</w:t>
            </w:r>
          </w:p>
        </w:tc>
        <w:tc>
          <w:tcPr>
            <w:tcW w:w="1151" w:type="dxa"/>
          </w:tcPr>
          <w:p w:rsidR="000A04C6" w:rsidRPr="008E783F" w:rsidRDefault="000A04C6" w:rsidP="008E783F">
            <w:pPr>
              <w:widowControl w:val="0"/>
              <w:suppressAutoHyphens/>
              <w:jc w:val="both"/>
              <w:rPr>
                <w:b/>
              </w:rPr>
            </w:pPr>
            <w:r w:rsidRPr="008E783F">
              <w:rPr>
                <w:b/>
                <w:szCs w:val="22"/>
              </w:rPr>
              <w:t>Eur.</w:t>
            </w:r>
          </w:p>
        </w:tc>
        <w:tc>
          <w:tcPr>
            <w:tcW w:w="1151" w:type="dxa"/>
          </w:tcPr>
          <w:p w:rsidR="000A04C6" w:rsidRPr="008E783F" w:rsidRDefault="000A04C6" w:rsidP="008E783F">
            <w:pPr>
              <w:widowControl w:val="0"/>
              <w:suppressAutoHyphens/>
              <w:jc w:val="both"/>
              <w:rPr>
                <w:b/>
              </w:rPr>
            </w:pPr>
            <w:r w:rsidRPr="008E783F">
              <w:rPr>
                <w:b/>
                <w:szCs w:val="22"/>
              </w:rPr>
              <w:t>Vl.</w:t>
            </w:r>
          </w:p>
        </w:tc>
        <w:tc>
          <w:tcPr>
            <w:tcW w:w="1151" w:type="dxa"/>
          </w:tcPr>
          <w:p w:rsidR="000A04C6" w:rsidRPr="008E783F" w:rsidRDefault="000A04C6" w:rsidP="008E783F">
            <w:pPr>
              <w:widowControl w:val="0"/>
              <w:suppressAutoHyphens/>
              <w:jc w:val="both"/>
              <w:rPr>
                <w:b/>
              </w:rPr>
            </w:pPr>
            <w:r w:rsidRPr="008E783F">
              <w:rPr>
                <w:b/>
                <w:szCs w:val="22"/>
              </w:rPr>
              <w:t>Eur.</w:t>
            </w:r>
          </w:p>
        </w:tc>
      </w:tr>
      <w:tr w:rsidR="000A04C6" w:rsidRPr="00281F23" w:rsidTr="00203CE3">
        <w:tc>
          <w:tcPr>
            <w:tcW w:w="1151" w:type="dxa"/>
          </w:tcPr>
          <w:p w:rsidR="000A04C6" w:rsidRPr="008E783F" w:rsidRDefault="000A04C6" w:rsidP="008E783F">
            <w:pPr>
              <w:widowControl w:val="0"/>
              <w:suppressAutoHyphens/>
              <w:jc w:val="both"/>
            </w:pPr>
            <w:r w:rsidRPr="008E783F">
              <w:rPr>
                <w:szCs w:val="22"/>
              </w:rPr>
              <w:t>2.581</w:t>
            </w:r>
          </w:p>
        </w:tc>
        <w:tc>
          <w:tcPr>
            <w:tcW w:w="1151" w:type="dxa"/>
          </w:tcPr>
          <w:p w:rsidR="000A04C6" w:rsidRPr="008E783F" w:rsidRDefault="000A04C6" w:rsidP="008E783F">
            <w:pPr>
              <w:widowControl w:val="0"/>
              <w:suppressAutoHyphens/>
              <w:jc w:val="both"/>
            </w:pPr>
            <w:r w:rsidRPr="008E783F">
              <w:rPr>
                <w:szCs w:val="22"/>
              </w:rPr>
              <w:t>3.680</w:t>
            </w:r>
          </w:p>
        </w:tc>
        <w:tc>
          <w:tcPr>
            <w:tcW w:w="1151" w:type="dxa"/>
          </w:tcPr>
          <w:p w:rsidR="000A04C6" w:rsidRPr="008E783F" w:rsidRDefault="000A04C6" w:rsidP="008E783F">
            <w:pPr>
              <w:widowControl w:val="0"/>
              <w:suppressAutoHyphens/>
              <w:jc w:val="both"/>
            </w:pPr>
            <w:r w:rsidRPr="008E783F">
              <w:rPr>
                <w:szCs w:val="22"/>
              </w:rPr>
              <w:t>514</w:t>
            </w:r>
          </w:p>
        </w:tc>
        <w:tc>
          <w:tcPr>
            <w:tcW w:w="1151" w:type="dxa"/>
          </w:tcPr>
          <w:p w:rsidR="000A04C6" w:rsidRPr="008E783F" w:rsidRDefault="000A04C6" w:rsidP="008E783F">
            <w:pPr>
              <w:widowControl w:val="0"/>
              <w:suppressAutoHyphens/>
              <w:jc w:val="both"/>
            </w:pPr>
            <w:r w:rsidRPr="008E783F">
              <w:rPr>
                <w:szCs w:val="22"/>
              </w:rPr>
              <w:t>628</w:t>
            </w:r>
          </w:p>
        </w:tc>
      </w:tr>
    </w:tbl>
    <w:p w:rsidR="000A04C6" w:rsidRPr="00281F23" w:rsidRDefault="000A04C6" w:rsidP="00281F23">
      <w:pPr>
        <w:pStyle w:val="StandaardSV"/>
        <w:rPr>
          <w:szCs w:val="22"/>
        </w:rPr>
      </w:pPr>
    </w:p>
    <w:p w:rsidR="000A04C6" w:rsidRPr="00281F23" w:rsidRDefault="000A04C6" w:rsidP="00203CE3">
      <w:pPr>
        <w:widowControl w:val="0"/>
        <w:suppressAutoHyphens/>
        <w:ind w:left="540"/>
        <w:jc w:val="both"/>
        <w:rPr>
          <w:szCs w:val="22"/>
          <w:u w:val="single"/>
        </w:rPr>
      </w:pPr>
      <w:r w:rsidRPr="00281F23">
        <w:rPr>
          <w:szCs w:val="22"/>
          <w:u w:val="single"/>
        </w:rPr>
        <w:t>EVF-programma</w:t>
      </w:r>
    </w:p>
    <w:p w:rsidR="000A04C6" w:rsidRPr="00281F23" w:rsidRDefault="000A04C6" w:rsidP="00281F23">
      <w:pPr>
        <w:widowControl w:val="0"/>
        <w:suppressAutoHyphens/>
        <w:jc w:val="both"/>
        <w:rPr>
          <w:szCs w:val="22"/>
        </w:rPr>
      </w:pPr>
    </w:p>
    <w:p w:rsidR="000A04C6" w:rsidRPr="00281F23" w:rsidRDefault="000A04C6" w:rsidP="00203CE3">
      <w:pPr>
        <w:widowControl w:val="0"/>
        <w:suppressAutoHyphens/>
        <w:ind w:left="540"/>
        <w:jc w:val="both"/>
        <w:rPr>
          <w:szCs w:val="22"/>
        </w:rPr>
      </w:pPr>
      <w:r w:rsidRPr="00281F23">
        <w:rPr>
          <w:szCs w:val="22"/>
        </w:rPr>
        <w:t>Tabel 3. Vlaamse en Europese steun toegekend van 2009 en 2010 aan modernisering van vissersvaartuigen (bedragen x 1.000 euro).</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tblGrid>
      <w:tr w:rsidR="000A04C6" w:rsidRPr="00281F23" w:rsidTr="00203CE3">
        <w:tc>
          <w:tcPr>
            <w:tcW w:w="2304" w:type="dxa"/>
            <w:gridSpan w:val="2"/>
          </w:tcPr>
          <w:p w:rsidR="000A04C6" w:rsidRPr="008E783F" w:rsidRDefault="000A04C6" w:rsidP="008E783F">
            <w:pPr>
              <w:widowControl w:val="0"/>
              <w:suppressAutoHyphens/>
              <w:jc w:val="both"/>
              <w:rPr>
                <w:b/>
              </w:rPr>
            </w:pPr>
            <w:r w:rsidRPr="008E783F">
              <w:rPr>
                <w:b/>
                <w:szCs w:val="22"/>
              </w:rPr>
              <w:t>2009</w:t>
            </w:r>
          </w:p>
        </w:tc>
        <w:tc>
          <w:tcPr>
            <w:tcW w:w="2304" w:type="dxa"/>
            <w:gridSpan w:val="2"/>
          </w:tcPr>
          <w:p w:rsidR="000A04C6" w:rsidRPr="008E783F" w:rsidRDefault="000A04C6" w:rsidP="008E783F">
            <w:pPr>
              <w:widowControl w:val="0"/>
              <w:suppressAutoHyphens/>
              <w:jc w:val="both"/>
              <w:rPr>
                <w:b/>
              </w:rPr>
            </w:pPr>
            <w:r w:rsidRPr="008E783F">
              <w:rPr>
                <w:b/>
                <w:szCs w:val="22"/>
              </w:rPr>
              <w:t>2010</w:t>
            </w:r>
          </w:p>
        </w:tc>
      </w:tr>
      <w:tr w:rsidR="000A04C6" w:rsidRPr="00281F23" w:rsidTr="00203CE3">
        <w:tc>
          <w:tcPr>
            <w:tcW w:w="1152" w:type="dxa"/>
          </w:tcPr>
          <w:p w:rsidR="000A04C6" w:rsidRPr="008E783F" w:rsidRDefault="000A04C6" w:rsidP="008E783F">
            <w:pPr>
              <w:widowControl w:val="0"/>
              <w:suppressAutoHyphens/>
              <w:jc w:val="both"/>
              <w:rPr>
                <w:b/>
              </w:rPr>
            </w:pPr>
            <w:r w:rsidRPr="008E783F">
              <w:rPr>
                <w:b/>
                <w:szCs w:val="22"/>
              </w:rPr>
              <w:t>Vl.</w:t>
            </w:r>
          </w:p>
        </w:tc>
        <w:tc>
          <w:tcPr>
            <w:tcW w:w="1152" w:type="dxa"/>
          </w:tcPr>
          <w:p w:rsidR="000A04C6" w:rsidRPr="008E783F" w:rsidRDefault="000A04C6" w:rsidP="008E783F">
            <w:pPr>
              <w:widowControl w:val="0"/>
              <w:suppressAutoHyphens/>
              <w:jc w:val="both"/>
              <w:rPr>
                <w:b/>
              </w:rPr>
            </w:pPr>
            <w:r w:rsidRPr="008E783F">
              <w:rPr>
                <w:b/>
                <w:szCs w:val="22"/>
              </w:rPr>
              <w:t>Eur.</w:t>
            </w:r>
          </w:p>
        </w:tc>
        <w:tc>
          <w:tcPr>
            <w:tcW w:w="1152" w:type="dxa"/>
          </w:tcPr>
          <w:p w:rsidR="000A04C6" w:rsidRPr="008E783F" w:rsidRDefault="000A04C6" w:rsidP="008E783F">
            <w:pPr>
              <w:widowControl w:val="0"/>
              <w:suppressAutoHyphens/>
              <w:jc w:val="both"/>
              <w:rPr>
                <w:b/>
              </w:rPr>
            </w:pPr>
            <w:r w:rsidRPr="008E783F">
              <w:rPr>
                <w:b/>
                <w:szCs w:val="22"/>
              </w:rPr>
              <w:t>Vl.</w:t>
            </w:r>
          </w:p>
        </w:tc>
        <w:tc>
          <w:tcPr>
            <w:tcW w:w="1152" w:type="dxa"/>
          </w:tcPr>
          <w:p w:rsidR="000A04C6" w:rsidRPr="008E783F" w:rsidRDefault="000A04C6" w:rsidP="008E783F">
            <w:pPr>
              <w:widowControl w:val="0"/>
              <w:suppressAutoHyphens/>
              <w:jc w:val="both"/>
              <w:rPr>
                <w:b/>
              </w:rPr>
            </w:pPr>
            <w:r w:rsidRPr="008E783F">
              <w:rPr>
                <w:b/>
                <w:szCs w:val="22"/>
              </w:rPr>
              <w:t>Eur.</w:t>
            </w:r>
          </w:p>
        </w:tc>
      </w:tr>
      <w:tr w:rsidR="000A04C6" w:rsidRPr="00281F23" w:rsidTr="00203CE3">
        <w:tc>
          <w:tcPr>
            <w:tcW w:w="1152" w:type="dxa"/>
          </w:tcPr>
          <w:p w:rsidR="000A04C6" w:rsidRPr="008E783F" w:rsidRDefault="000A04C6" w:rsidP="008E783F">
            <w:pPr>
              <w:widowControl w:val="0"/>
              <w:suppressAutoHyphens/>
              <w:jc w:val="both"/>
            </w:pPr>
            <w:r w:rsidRPr="008E783F">
              <w:rPr>
                <w:szCs w:val="22"/>
              </w:rPr>
              <w:t>903</w:t>
            </w:r>
          </w:p>
        </w:tc>
        <w:tc>
          <w:tcPr>
            <w:tcW w:w="1152" w:type="dxa"/>
          </w:tcPr>
          <w:p w:rsidR="000A04C6" w:rsidRPr="008E783F" w:rsidRDefault="000A04C6" w:rsidP="008E783F">
            <w:pPr>
              <w:widowControl w:val="0"/>
              <w:suppressAutoHyphens/>
              <w:jc w:val="both"/>
            </w:pPr>
            <w:r w:rsidRPr="008E783F">
              <w:rPr>
                <w:szCs w:val="22"/>
              </w:rPr>
              <w:t>1.256</w:t>
            </w:r>
          </w:p>
        </w:tc>
        <w:tc>
          <w:tcPr>
            <w:tcW w:w="1152" w:type="dxa"/>
          </w:tcPr>
          <w:p w:rsidR="000A04C6" w:rsidRPr="008E783F" w:rsidRDefault="000A04C6" w:rsidP="008E783F">
            <w:pPr>
              <w:widowControl w:val="0"/>
              <w:suppressAutoHyphens/>
              <w:jc w:val="both"/>
            </w:pPr>
            <w:r w:rsidRPr="008E783F">
              <w:rPr>
                <w:szCs w:val="22"/>
              </w:rPr>
              <w:t>1.480</w:t>
            </w:r>
          </w:p>
        </w:tc>
        <w:tc>
          <w:tcPr>
            <w:tcW w:w="1152" w:type="dxa"/>
          </w:tcPr>
          <w:p w:rsidR="000A04C6" w:rsidRPr="008E783F" w:rsidRDefault="000A04C6" w:rsidP="008E783F">
            <w:pPr>
              <w:widowControl w:val="0"/>
              <w:suppressAutoHyphens/>
              <w:jc w:val="both"/>
            </w:pPr>
            <w:r w:rsidRPr="008E783F">
              <w:rPr>
                <w:szCs w:val="22"/>
              </w:rPr>
              <w:t>2.032</w:t>
            </w:r>
          </w:p>
        </w:tc>
      </w:tr>
    </w:tbl>
    <w:p w:rsidR="000A04C6" w:rsidRPr="00281F23" w:rsidRDefault="000A04C6" w:rsidP="00281F23">
      <w:pPr>
        <w:widowControl w:val="0"/>
        <w:suppressAutoHyphens/>
        <w:ind w:left="360"/>
        <w:jc w:val="both"/>
        <w:rPr>
          <w:szCs w:val="22"/>
        </w:rPr>
      </w:pPr>
    </w:p>
    <w:p w:rsidR="000A04C6" w:rsidRPr="00281F23" w:rsidRDefault="000A04C6" w:rsidP="00203CE3">
      <w:pPr>
        <w:widowControl w:val="0"/>
        <w:suppressAutoHyphens/>
        <w:ind w:left="540"/>
        <w:jc w:val="both"/>
        <w:rPr>
          <w:szCs w:val="22"/>
        </w:rPr>
      </w:pPr>
      <w:r w:rsidRPr="00281F23">
        <w:rPr>
          <w:szCs w:val="22"/>
        </w:rPr>
        <w:t xml:space="preserve">Tabel 4. Totaal toegekende Vlaamse en Europese steun toegekend van 2009 en 2010 aan visserijdossiers (bedragen x 1.000 euro).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1152"/>
        <w:gridCol w:w="1152"/>
        <w:gridCol w:w="1152"/>
      </w:tblGrid>
      <w:tr w:rsidR="000A04C6" w:rsidRPr="00281F23" w:rsidTr="00203CE3">
        <w:tc>
          <w:tcPr>
            <w:tcW w:w="2304" w:type="dxa"/>
            <w:gridSpan w:val="2"/>
          </w:tcPr>
          <w:p w:rsidR="000A04C6" w:rsidRPr="008E783F" w:rsidRDefault="000A04C6" w:rsidP="008E783F">
            <w:pPr>
              <w:widowControl w:val="0"/>
              <w:suppressAutoHyphens/>
              <w:jc w:val="both"/>
              <w:rPr>
                <w:b/>
              </w:rPr>
            </w:pPr>
            <w:r w:rsidRPr="008E783F">
              <w:rPr>
                <w:b/>
                <w:szCs w:val="22"/>
              </w:rPr>
              <w:t>2009</w:t>
            </w:r>
          </w:p>
        </w:tc>
        <w:tc>
          <w:tcPr>
            <w:tcW w:w="2304" w:type="dxa"/>
            <w:gridSpan w:val="2"/>
          </w:tcPr>
          <w:p w:rsidR="000A04C6" w:rsidRPr="008E783F" w:rsidRDefault="000A04C6" w:rsidP="008E783F">
            <w:pPr>
              <w:widowControl w:val="0"/>
              <w:suppressAutoHyphens/>
              <w:jc w:val="both"/>
              <w:rPr>
                <w:b/>
              </w:rPr>
            </w:pPr>
            <w:r w:rsidRPr="008E783F">
              <w:rPr>
                <w:b/>
                <w:szCs w:val="22"/>
              </w:rPr>
              <w:t>2010</w:t>
            </w:r>
          </w:p>
        </w:tc>
      </w:tr>
      <w:tr w:rsidR="000A04C6" w:rsidRPr="00281F23" w:rsidTr="00203CE3">
        <w:tc>
          <w:tcPr>
            <w:tcW w:w="1152" w:type="dxa"/>
          </w:tcPr>
          <w:p w:rsidR="000A04C6" w:rsidRPr="008E783F" w:rsidRDefault="000A04C6" w:rsidP="008E783F">
            <w:pPr>
              <w:widowControl w:val="0"/>
              <w:suppressAutoHyphens/>
              <w:jc w:val="both"/>
              <w:rPr>
                <w:b/>
              </w:rPr>
            </w:pPr>
            <w:r w:rsidRPr="008E783F">
              <w:rPr>
                <w:b/>
                <w:szCs w:val="22"/>
              </w:rPr>
              <w:t>Vl.</w:t>
            </w:r>
          </w:p>
        </w:tc>
        <w:tc>
          <w:tcPr>
            <w:tcW w:w="1152" w:type="dxa"/>
          </w:tcPr>
          <w:p w:rsidR="000A04C6" w:rsidRPr="008E783F" w:rsidRDefault="000A04C6" w:rsidP="008E783F">
            <w:pPr>
              <w:widowControl w:val="0"/>
              <w:suppressAutoHyphens/>
              <w:jc w:val="both"/>
              <w:rPr>
                <w:b/>
              </w:rPr>
            </w:pPr>
            <w:r w:rsidRPr="008E783F">
              <w:rPr>
                <w:b/>
                <w:szCs w:val="22"/>
              </w:rPr>
              <w:t>Eur.</w:t>
            </w:r>
          </w:p>
        </w:tc>
        <w:tc>
          <w:tcPr>
            <w:tcW w:w="1152" w:type="dxa"/>
          </w:tcPr>
          <w:p w:rsidR="000A04C6" w:rsidRPr="008E783F" w:rsidRDefault="000A04C6" w:rsidP="008E783F">
            <w:pPr>
              <w:widowControl w:val="0"/>
              <w:suppressAutoHyphens/>
              <w:jc w:val="both"/>
              <w:rPr>
                <w:b/>
              </w:rPr>
            </w:pPr>
            <w:r w:rsidRPr="008E783F">
              <w:rPr>
                <w:b/>
                <w:szCs w:val="22"/>
              </w:rPr>
              <w:t>Vl.</w:t>
            </w:r>
          </w:p>
        </w:tc>
        <w:tc>
          <w:tcPr>
            <w:tcW w:w="1152" w:type="dxa"/>
          </w:tcPr>
          <w:p w:rsidR="000A04C6" w:rsidRPr="008E783F" w:rsidRDefault="000A04C6" w:rsidP="008E783F">
            <w:pPr>
              <w:widowControl w:val="0"/>
              <w:suppressAutoHyphens/>
              <w:jc w:val="both"/>
              <w:rPr>
                <w:b/>
              </w:rPr>
            </w:pPr>
            <w:r w:rsidRPr="008E783F">
              <w:rPr>
                <w:b/>
                <w:szCs w:val="22"/>
              </w:rPr>
              <w:t>Eur.</w:t>
            </w:r>
          </w:p>
        </w:tc>
      </w:tr>
      <w:tr w:rsidR="000A04C6" w:rsidRPr="00281F23" w:rsidTr="00203CE3">
        <w:tc>
          <w:tcPr>
            <w:tcW w:w="1152" w:type="dxa"/>
          </w:tcPr>
          <w:p w:rsidR="000A04C6" w:rsidRPr="008E783F" w:rsidRDefault="000A04C6" w:rsidP="008E783F">
            <w:pPr>
              <w:widowControl w:val="0"/>
              <w:suppressAutoHyphens/>
              <w:jc w:val="both"/>
            </w:pPr>
            <w:r w:rsidRPr="008E783F">
              <w:rPr>
                <w:szCs w:val="22"/>
              </w:rPr>
              <w:t>3.114</w:t>
            </w:r>
          </w:p>
        </w:tc>
        <w:tc>
          <w:tcPr>
            <w:tcW w:w="1152" w:type="dxa"/>
          </w:tcPr>
          <w:p w:rsidR="000A04C6" w:rsidRPr="008E783F" w:rsidRDefault="000A04C6" w:rsidP="008E783F">
            <w:pPr>
              <w:widowControl w:val="0"/>
              <w:suppressAutoHyphens/>
              <w:jc w:val="both"/>
            </w:pPr>
            <w:r w:rsidRPr="008E783F">
              <w:rPr>
                <w:szCs w:val="22"/>
              </w:rPr>
              <w:t>7.925</w:t>
            </w:r>
          </w:p>
        </w:tc>
        <w:tc>
          <w:tcPr>
            <w:tcW w:w="1152" w:type="dxa"/>
          </w:tcPr>
          <w:p w:rsidR="000A04C6" w:rsidRPr="008E783F" w:rsidRDefault="000A04C6" w:rsidP="008E783F">
            <w:pPr>
              <w:widowControl w:val="0"/>
              <w:suppressAutoHyphens/>
              <w:jc w:val="both"/>
            </w:pPr>
            <w:r w:rsidRPr="008E783F">
              <w:rPr>
                <w:szCs w:val="22"/>
              </w:rPr>
              <w:t>2.076</w:t>
            </w:r>
          </w:p>
        </w:tc>
        <w:tc>
          <w:tcPr>
            <w:tcW w:w="1152" w:type="dxa"/>
          </w:tcPr>
          <w:p w:rsidR="000A04C6" w:rsidRPr="008E783F" w:rsidRDefault="000A04C6" w:rsidP="008E783F">
            <w:pPr>
              <w:widowControl w:val="0"/>
              <w:suppressAutoHyphens/>
              <w:jc w:val="both"/>
            </w:pPr>
            <w:r w:rsidRPr="008E783F">
              <w:rPr>
                <w:szCs w:val="22"/>
              </w:rPr>
              <w:t>2.368</w:t>
            </w:r>
          </w:p>
        </w:tc>
      </w:tr>
    </w:tbl>
    <w:p w:rsidR="000A04C6" w:rsidRPr="00281F23" w:rsidRDefault="000A04C6" w:rsidP="00281F23">
      <w:pPr>
        <w:pStyle w:val="StandaardSV"/>
        <w:rPr>
          <w:szCs w:val="22"/>
        </w:rPr>
      </w:pPr>
    </w:p>
    <w:p w:rsidR="000A04C6" w:rsidRPr="00281F23" w:rsidRDefault="000A04C6" w:rsidP="00203CE3">
      <w:pPr>
        <w:pStyle w:val="StandaardSV"/>
        <w:ind w:left="540"/>
        <w:rPr>
          <w:szCs w:val="22"/>
        </w:rPr>
      </w:pPr>
      <w:r w:rsidRPr="00281F23">
        <w:rPr>
          <w:szCs w:val="22"/>
        </w:rPr>
        <w:t>Uiteraard is er een aanzienlijk verschil tussen de subsidies toegekend voor de modernisering van vissersvaartuigen en de totaal toegekende steun aan visserij. Onder de totaal toegekende steun moet immers ook de steun gerekend worden die toegekend wordt aan beëindigingspremies, investeringen in de aquacultuur, havenuitrusting, visverwerking- en afzet, promotie, collectieve acties, proefprojecten en innovatieve acties.</w:t>
      </w:r>
    </w:p>
    <w:p w:rsidR="000A04C6" w:rsidRPr="00281F23" w:rsidRDefault="000A04C6" w:rsidP="00281F23">
      <w:pPr>
        <w:pStyle w:val="StandaardSV"/>
        <w:rPr>
          <w:szCs w:val="22"/>
        </w:rPr>
      </w:pPr>
    </w:p>
    <w:p w:rsidR="000A04C6" w:rsidRPr="00281F23" w:rsidRDefault="000A04C6" w:rsidP="00203CE3">
      <w:pPr>
        <w:pStyle w:val="StandaardSV"/>
        <w:ind w:left="540"/>
        <w:rPr>
          <w:szCs w:val="22"/>
        </w:rPr>
      </w:pPr>
      <w:r w:rsidRPr="00281F23">
        <w:rPr>
          <w:szCs w:val="22"/>
        </w:rPr>
        <w:t>In 2007 is het collectief project ‘Alternatieve boomkor’ uitgevoerd waaraan in totaal 24 vaartuigen deelnamen. Het doel van dit project was het aanpassen van de bestaande boomkor</w:t>
      </w:r>
      <w:r>
        <w:rPr>
          <w:szCs w:val="22"/>
        </w:rPr>
        <w:softHyphen/>
      </w:r>
      <w:r w:rsidRPr="00281F23">
        <w:rPr>
          <w:szCs w:val="22"/>
        </w:rPr>
        <w:t xml:space="preserve">vaartuigen om te komen tot een verminderde milieu-impact en verminderd brandstofverbruik. In 2008 werden door de rederijen geen dossiers ingediend. Dit had te maken met de afloop van het Europese FIOV-programma (Financieringsinstrument voor de Oriëntatie van de Visserij) eind 2008. Het FIOV-programma werd opgevolgd door het nieuwe EVF-programma (Europees Visserijfonds), nadat het Operationeel Programma in uitvoering van het Nationaal Strategisch Plan voor de Belgische Visserijsector op 11/11/2008 werd goedgekeurd door de Europese Commissie. </w:t>
      </w:r>
    </w:p>
    <w:p w:rsidR="000A04C6" w:rsidRPr="00281F23" w:rsidRDefault="000A04C6" w:rsidP="00203CE3">
      <w:pPr>
        <w:pStyle w:val="StandaardSV"/>
        <w:ind w:left="540"/>
        <w:rPr>
          <w:szCs w:val="22"/>
        </w:rPr>
      </w:pPr>
      <w:r w:rsidRPr="00281F23">
        <w:rPr>
          <w:szCs w:val="22"/>
        </w:rPr>
        <w:t>In de cijfers 2009 is de sloop van 9 grote boomkorvaartuigen opgenomen.</w:t>
      </w:r>
    </w:p>
    <w:p w:rsidR="000A04C6" w:rsidRPr="00281F23" w:rsidRDefault="000A04C6" w:rsidP="00203CE3">
      <w:pPr>
        <w:pStyle w:val="StandaardSV"/>
        <w:ind w:left="540"/>
        <w:rPr>
          <w:szCs w:val="22"/>
        </w:rPr>
      </w:pPr>
      <w:r w:rsidRPr="00281F23">
        <w:rPr>
          <w:szCs w:val="22"/>
        </w:rPr>
        <w:t>In 2010 is dan volop geïnvesteerd op het verduurzamen (minder energieverbruik en milieuvriendelijke vistechniek). Aan 16 rederijen is 60% overheidssteun toegekend voor omschakeling naar de Sumwing ter vervanging van de traditionele boomkor, voor 9 dossier voor motorvervanging is de steun vastgelegd, één rederij investeert in de plankenvisserij, twee rederijen doen een omschakeling naar flyshooting, 2 vaartuigen die gebruik gemaakt hebben van de gedeeltelijke sloop zijn overgeschakeld naar het vissen met passief vistuig. In het totaal zijn er nu reeds 8 reders die met staande want vissen.</w:t>
      </w:r>
    </w:p>
    <w:p w:rsidR="000A04C6" w:rsidRPr="00281F23" w:rsidRDefault="000A04C6" w:rsidP="00281F23">
      <w:pPr>
        <w:pStyle w:val="StandaardSV"/>
        <w:rPr>
          <w:szCs w:val="22"/>
        </w:rPr>
      </w:pPr>
    </w:p>
    <w:p w:rsidR="000A04C6" w:rsidRPr="00281F23" w:rsidRDefault="000A04C6" w:rsidP="00203CE3">
      <w:pPr>
        <w:pStyle w:val="StandaardSV"/>
        <w:ind w:left="540"/>
        <w:rPr>
          <w:szCs w:val="22"/>
        </w:rPr>
      </w:pPr>
      <w:r w:rsidRPr="00281F23">
        <w:rPr>
          <w:szCs w:val="22"/>
        </w:rPr>
        <w:t xml:space="preserve">Projecten en acties die het kader van zwaartepunt </w:t>
      </w:r>
      <w:smartTag w:uri="urn:schemas-microsoft-com:office:smarttags" w:element="metricconverter">
        <w:smartTagPr>
          <w:attr w:name="ProductID" w:val="3 in"/>
        </w:smartTagPr>
        <w:r w:rsidRPr="00281F23">
          <w:rPr>
            <w:szCs w:val="22"/>
          </w:rPr>
          <w:t>3 in</w:t>
        </w:r>
      </w:smartTag>
      <w:r w:rsidRPr="00281F23">
        <w:rPr>
          <w:szCs w:val="22"/>
        </w:rPr>
        <w:t xml:space="preserve"> 2009 en 2010 ondersteund zijn hebben betrekking op MOB (Man Over Boord), onderzoek naar mogelijkheden van duurzame visserij</w:t>
      </w:r>
      <w:r>
        <w:rPr>
          <w:szCs w:val="22"/>
        </w:rPr>
        <w:softHyphen/>
      </w:r>
      <w:r w:rsidRPr="00281F23">
        <w:rPr>
          <w:szCs w:val="22"/>
        </w:rPr>
        <w:t>technieken in windmolenparken voor de Belgische kust, proefprojecten m.b.t. aquacultuur (EVF-project en Interegg-project), onderzoek naar mogelijkheden van passieve visserijtech</w:t>
      </w:r>
      <w:r>
        <w:rPr>
          <w:szCs w:val="22"/>
        </w:rPr>
        <w:softHyphen/>
      </w:r>
      <w:r w:rsidRPr="00281F23">
        <w:rPr>
          <w:szCs w:val="22"/>
        </w:rPr>
        <w:t xml:space="preserve">nieken in de Belgische visserijvloot, en de opmaak van het visplan, </w:t>
      </w:r>
    </w:p>
    <w:p w:rsidR="000A04C6" w:rsidRPr="00281F23" w:rsidRDefault="000A04C6" w:rsidP="00203CE3">
      <w:pPr>
        <w:pStyle w:val="StandaardSV"/>
        <w:ind w:left="540"/>
        <w:rPr>
          <w:szCs w:val="22"/>
        </w:rPr>
      </w:pPr>
    </w:p>
    <w:p w:rsidR="000A04C6" w:rsidRDefault="000A04C6" w:rsidP="00203CE3">
      <w:pPr>
        <w:pStyle w:val="StandaardSV"/>
        <w:ind w:left="540"/>
        <w:rPr>
          <w:szCs w:val="22"/>
        </w:rPr>
      </w:pPr>
      <w:r w:rsidRPr="00281F23">
        <w:rPr>
          <w:szCs w:val="22"/>
        </w:rPr>
        <w:t>De uitvoeringstabel van het EVF-programma eind september zi</w:t>
      </w:r>
      <w:r>
        <w:rPr>
          <w:szCs w:val="22"/>
        </w:rPr>
        <w:t>e</w:t>
      </w:r>
      <w:r w:rsidRPr="00281F23">
        <w:rPr>
          <w:szCs w:val="22"/>
        </w:rPr>
        <w:t>t er als volgt uit:</w:t>
      </w:r>
    </w:p>
    <w:p w:rsidR="000A04C6" w:rsidRPr="00281F23" w:rsidRDefault="000A04C6" w:rsidP="00281F23">
      <w:pPr>
        <w:pStyle w:val="StandaardSV"/>
        <w:rPr>
          <w:szCs w:val="22"/>
        </w:rPr>
      </w:pPr>
    </w:p>
    <w:tbl>
      <w:tblPr>
        <w:tblW w:w="90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4748"/>
        <w:gridCol w:w="1442"/>
        <w:gridCol w:w="1535"/>
        <w:gridCol w:w="1345"/>
      </w:tblGrid>
      <w:tr w:rsidR="000A04C6" w:rsidRPr="00281F23" w:rsidTr="00281F23">
        <w:tc>
          <w:tcPr>
            <w:tcW w:w="4748" w:type="dxa"/>
          </w:tcPr>
          <w:p w:rsidR="000A04C6" w:rsidRPr="00281F23" w:rsidRDefault="000A04C6" w:rsidP="00281F23">
            <w:pPr>
              <w:pStyle w:val="Header"/>
              <w:tabs>
                <w:tab w:val="clear" w:pos="4536"/>
                <w:tab w:val="clear" w:pos="9072"/>
              </w:tabs>
              <w:spacing w:line="180" w:lineRule="exact"/>
              <w:jc w:val="both"/>
              <w:rPr>
                <w:rFonts w:ascii="Times New Roman" w:hAnsi="Times New Roman"/>
                <w:b/>
                <w:sz w:val="18"/>
                <w:szCs w:val="18"/>
              </w:rPr>
            </w:pPr>
            <w:r w:rsidRPr="00281F23">
              <w:rPr>
                <w:rFonts w:ascii="Times New Roman" w:hAnsi="Times New Roman"/>
                <w:sz w:val="18"/>
                <w:szCs w:val="18"/>
              </w:rPr>
              <w:br w:type="page"/>
            </w:r>
            <w:r w:rsidRPr="00281F23">
              <w:rPr>
                <w:rFonts w:ascii="Times New Roman" w:hAnsi="Times New Roman"/>
                <w:b/>
                <w:sz w:val="18"/>
                <w:szCs w:val="18"/>
              </w:rPr>
              <w:t>Zwaartepunt</w:t>
            </w:r>
          </w:p>
        </w:tc>
        <w:tc>
          <w:tcPr>
            <w:tcW w:w="1442" w:type="dxa"/>
          </w:tcPr>
          <w:p w:rsidR="000A04C6" w:rsidRPr="00281F23" w:rsidRDefault="000A04C6" w:rsidP="00281F23">
            <w:pPr>
              <w:pStyle w:val="Header"/>
              <w:tabs>
                <w:tab w:val="clear" w:pos="4536"/>
                <w:tab w:val="clear" w:pos="9072"/>
              </w:tabs>
              <w:spacing w:line="180" w:lineRule="exact"/>
              <w:jc w:val="both"/>
              <w:rPr>
                <w:rFonts w:ascii="Times New Roman" w:hAnsi="Times New Roman"/>
                <w:b/>
                <w:sz w:val="18"/>
                <w:szCs w:val="18"/>
              </w:rPr>
            </w:pPr>
            <w:r w:rsidRPr="00281F23">
              <w:rPr>
                <w:rFonts w:ascii="Times New Roman" w:hAnsi="Times New Roman"/>
                <w:b/>
                <w:sz w:val="18"/>
                <w:szCs w:val="18"/>
              </w:rPr>
              <w:t>Voorziene middelen (euro)</w:t>
            </w:r>
          </w:p>
        </w:tc>
        <w:tc>
          <w:tcPr>
            <w:tcW w:w="1535" w:type="dxa"/>
          </w:tcPr>
          <w:p w:rsidR="000A04C6" w:rsidRPr="00281F23" w:rsidRDefault="000A04C6" w:rsidP="00281F23">
            <w:pPr>
              <w:pStyle w:val="Header"/>
              <w:tabs>
                <w:tab w:val="clear" w:pos="4536"/>
                <w:tab w:val="clear" w:pos="9072"/>
              </w:tabs>
              <w:spacing w:line="180" w:lineRule="exact"/>
              <w:jc w:val="both"/>
              <w:rPr>
                <w:rFonts w:ascii="Times New Roman" w:hAnsi="Times New Roman"/>
                <w:b/>
                <w:sz w:val="18"/>
                <w:szCs w:val="18"/>
              </w:rPr>
            </w:pPr>
            <w:r w:rsidRPr="00281F23">
              <w:rPr>
                <w:rFonts w:ascii="Times New Roman" w:hAnsi="Times New Roman"/>
                <w:b/>
                <w:sz w:val="18"/>
                <w:szCs w:val="18"/>
              </w:rPr>
              <w:t>Totaal potentieel toegekende EVF-steun (euro)*</w:t>
            </w:r>
          </w:p>
        </w:tc>
        <w:tc>
          <w:tcPr>
            <w:tcW w:w="1345" w:type="dxa"/>
          </w:tcPr>
          <w:p w:rsidR="000A04C6" w:rsidRPr="00281F23" w:rsidRDefault="000A04C6" w:rsidP="00281F23">
            <w:pPr>
              <w:pStyle w:val="Header"/>
              <w:tabs>
                <w:tab w:val="clear" w:pos="4536"/>
                <w:tab w:val="clear" w:pos="9072"/>
              </w:tabs>
              <w:spacing w:line="180" w:lineRule="exact"/>
              <w:jc w:val="both"/>
              <w:rPr>
                <w:rFonts w:ascii="Times New Roman" w:hAnsi="Times New Roman"/>
                <w:b/>
                <w:sz w:val="18"/>
                <w:szCs w:val="18"/>
              </w:rPr>
            </w:pPr>
            <w:r w:rsidRPr="00281F23">
              <w:rPr>
                <w:rFonts w:ascii="Times New Roman" w:hAnsi="Times New Roman"/>
                <w:b/>
                <w:sz w:val="18"/>
                <w:szCs w:val="18"/>
              </w:rPr>
              <w:t>Totaal vastgelegde FIVA-steun</w:t>
            </w:r>
          </w:p>
        </w:tc>
      </w:tr>
      <w:tr w:rsidR="000A04C6" w:rsidRPr="00281F23" w:rsidTr="00281F23">
        <w:tc>
          <w:tcPr>
            <w:tcW w:w="4748" w:type="dxa"/>
          </w:tcPr>
          <w:p w:rsidR="000A04C6" w:rsidRPr="00281F23" w:rsidRDefault="000A04C6" w:rsidP="00281F23">
            <w:pPr>
              <w:jc w:val="both"/>
              <w:rPr>
                <w:b/>
                <w:i/>
                <w:sz w:val="18"/>
                <w:szCs w:val="18"/>
              </w:rPr>
            </w:pPr>
            <w:r w:rsidRPr="00281F23">
              <w:rPr>
                <w:b/>
                <w:i/>
                <w:sz w:val="18"/>
                <w:szCs w:val="18"/>
              </w:rPr>
              <w:t>1.Maatregelen voor de aanpassing van de communautaire visserijvloot</w:t>
            </w:r>
          </w:p>
          <w:p w:rsidR="000A04C6" w:rsidRPr="00281F23" w:rsidRDefault="000A04C6" w:rsidP="00281F23">
            <w:pPr>
              <w:jc w:val="both"/>
              <w:rPr>
                <w:sz w:val="18"/>
                <w:szCs w:val="18"/>
              </w:rPr>
            </w:pPr>
            <w:r w:rsidRPr="00281F23">
              <w:rPr>
                <w:sz w:val="18"/>
                <w:szCs w:val="18"/>
              </w:rPr>
              <w:t>Maatregel 1.1. Gehele of gedeeltelijke beëindiging</w:t>
            </w:r>
          </w:p>
          <w:p w:rsidR="000A04C6" w:rsidRPr="00281F23" w:rsidRDefault="000A04C6" w:rsidP="00281F23">
            <w:pPr>
              <w:jc w:val="both"/>
              <w:rPr>
                <w:sz w:val="18"/>
                <w:szCs w:val="18"/>
              </w:rPr>
            </w:pPr>
            <w:r w:rsidRPr="00281F23">
              <w:rPr>
                <w:sz w:val="18"/>
                <w:szCs w:val="18"/>
              </w:rPr>
              <w:t>Maatregel 1.2. Tijdelijke stillegging</w:t>
            </w:r>
          </w:p>
          <w:p w:rsidR="000A04C6" w:rsidRPr="00281F23" w:rsidRDefault="000A04C6" w:rsidP="00281F23">
            <w:pPr>
              <w:jc w:val="both"/>
              <w:rPr>
                <w:sz w:val="18"/>
                <w:szCs w:val="18"/>
              </w:rPr>
            </w:pPr>
            <w:r w:rsidRPr="00281F23">
              <w:rPr>
                <w:sz w:val="18"/>
                <w:szCs w:val="18"/>
              </w:rPr>
              <w:t>Maatregel 1.3. Investeringen aan boord en selectiviteit</w:t>
            </w:r>
          </w:p>
          <w:p w:rsidR="000A04C6" w:rsidRPr="00281F23" w:rsidRDefault="000A04C6" w:rsidP="00281F23">
            <w:pPr>
              <w:jc w:val="both"/>
              <w:rPr>
                <w:sz w:val="18"/>
                <w:szCs w:val="18"/>
              </w:rPr>
            </w:pPr>
            <w:r w:rsidRPr="00281F23">
              <w:rPr>
                <w:sz w:val="18"/>
                <w:szCs w:val="18"/>
              </w:rPr>
              <w:t>Maatregel 1.4</w:t>
            </w:r>
            <w:r>
              <w:rPr>
                <w:sz w:val="18"/>
                <w:szCs w:val="18"/>
              </w:rPr>
              <w:t>.</w:t>
            </w:r>
            <w:r w:rsidRPr="00281F23">
              <w:rPr>
                <w:sz w:val="18"/>
                <w:szCs w:val="18"/>
              </w:rPr>
              <w:t xml:space="preserve"> Kleinschalige kustvisserij</w:t>
            </w:r>
          </w:p>
          <w:p w:rsidR="000A04C6" w:rsidRPr="00281F23" w:rsidRDefault="000A04C6" w:rsidP="00281F23">
            <w:pPr>
              <w:pStyle w:val="Header"/>
              <w:tabs>
                <w:tab w:val="clear" w:pos="4536"/>
                <w:tab w:val="clear" w:pos="9072"/>
              </w:tabs>
              <w:spacing w:line="180" w:lineRule="exact"/>
              <w:jc w:val="both"/>
              <w:rPr>
                <w:rFonts w:ascii="Times New Roman" w:hAnsi="Times New Roman"/>
                <w:sz w:val="18"/>
                <w:szCs w:val="18"/>
              </w:rPr>
            </w:pPr>
            <w:r w:rsidRPr="00281F23">
              <w:rPr>
                <w:rFonts w:ascii="Times New Roman" w:hAnsi="Times New Roman"/>
                <w:sz w:val="18"/>
                <w:szCs w:val="18"/>
              </w:rPr>
              <w:t>Maatregel 1.5. Sociaaleconomische compensaties</w:t>
            </w:r>
          </w:p>
        </w:tc>
        <w:tc>
          <w:tcPr>
            <w:tcW w:w="1442" w:type="dxa"/>
          </w:tcPr>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r w:rsidRPr="00281F23">
              <w:rPr>
                <w:rFonts w:ascii="Times New Roman" w:hAnsi="Times New Roman"/>
                <w:i/>
                <w:sz w:val="18"/>
                <w:szCs w:val="18"/>
              </w:rPr>
              <w:t>11.561.648</w:t>
            </w:r>
          </w:p>
        </w:tc>
        <w:tc>
          <w:tcPr>
            <w:tcW w:w="1535" w:type="dxa"/>
          </w:tcPr>
          <w:p w:rsidR="000A04C6" w:rsidRPr="00281F23" w:rsidRDefault="000A04C6" w:rsidP="00281F23">
            <w:pPr>
              <w:jc w:val="both"/>
              <w:rPr>
                <w:b/>
                <w:i/>
                <w:sz w:val="18"/>
                <w:szCs w:val="18"/>
              </w:rPr>
            </w:pPr>
            <w:r w:rsidRPr="00281F23">
              <w:rPr>
                <w:b/>
                <w:i/>
                <w:sz w:val="18"/>
                <w:szCs w:val="18"/>
              </w:rPr>
              <w:t>9.018.875,41</w:t>
            </w:r>
          </w:p>
          <w:p w:rsidR="000A04C6" w:rsidRPr="00281F23" w:rsidRDefault="000A04C6" w:rsidP="00281F23">
            <w:pPr>
              <w:jc w:val="both"/>
              <w:rPr>
                <w:sz w:val="18"/>
                <w:szCs w:val="18"/>
              </w:rPr>
            </w:pPr>
          </w:p>
          <w:p w:rsidR="000A04C6" w:rsidRPr="00281F23" w:rsidRDefault="000A04C6" w:rsidP="00281F23">
            <w:pPr>
              <w:jc w:val="both"/>
              <w:rPr>
                <w:sz w:val="18"/>
                <w:szCs w:val="18"/>
              </w:rPr>
            </w:pPr>
            <w:r w:rsidRPr="00281F23">
              <w:rPr>
                <w:sz w:val="18"/>
                <w:szCs w:val="18"/>
              </w:rPr>
              <w:t>5.731.285,95</w:t>
            </w:r>
          </w:p>
          <w:p w:rsidR="000A04C6" w:rsidRPr="00281F23" w:rsidRDefault="000A04C6" w:rsidP="00281F23">
            <w:pPr>
              <w:jc w:val="both"/>
              <w:rPr>
                <w:sz w:val="18"/>
                <w:szCs w:val="18"/>
              </w:rPr>
            </w:pPr>
            <w:r w:rsidRPr="00281F23">
              <w:rPr>
                <w:sz w:val="18"/>
                <w:szCs w:val="18"/>
              </w:rPr>
              <w:t>0</w:t>
            </w:r>
          </w:p>
          <w:p w:rsidR="000A04C6" w:rsidRPr="00281F23" w:rsidRDefault="000A04C6" w:rsidP="00281F23">
            <w:pPr>
              <w:jc w:val="both"/>
              <w:rPr>
                <w:sz w:val="18"/>
                <w:szCs w:val="18"/>
              </w:rPr>
            </w:pPr>
            <w:r w:rsidRPr="00281F23">
              <w:rPr>
                <w:sz w:val="18"/>
                <w:szCs w:val="18"/>
              </w:rPr>
              <w:t>3.287.589,46</w:t>
            </w:r>
          </w:p>
          <w:p w:rsidR="000A04C6" w:rsidRPr="00281F23" w:rsidRDefault="000A04C6" w:rsidP="00281F23">
            <w:pPr>
              <w:jc w:val="both"/>
              <w:rPr>
                <w:sz w:val="18"/>
                <w:szCs w:val="18"/>
              </w:rPr>
            </w:pPr>
            <w:r w:rsidRPr="00281F23">
              <w:rPr>
                <w:sz w:val="18"/>
                <w:szCs w:val="18"/>
              </w:rPr>
              <w:t>0</w:t>
            </w:r>
          </w:p>
          <w:p w:rsidR="000A04C6" w:rsidRPr="00281F23" w:rsidRDefault="000A04C6" w:rsidP="00281F23">
            <w:pPr>
              <w:spacing w:line="180" w:lineRule="exact"/>
              <w:jc w:val="both"/>
              <w:rPr>
                <w:sz w:val="18"/>
                <w:szCs w:val="18"/>
              </w:rPr>
            </w:pPr>
            <w:r w:rsidRPr="00281F23">
              <w:rPr>
                <w:sz w:val="18"/>
                <w:szCs w:val="18"/>
              </w:rPr>
              <w:t>0</w:t>
            </w:r>
          </w:p>
        </w:tc>
        <w:tc>
          <w:tcPr>
            <w:tcW w:w="1345" w:type="dxa"/>
          </w:tcPr>
          <w:p w:rsidR="000A04C6" w:rsidRPr="00281F23" w:rsidRDefault="000A04C6" w:rsidP="00281F23">
            <w:pPr>
              <w:pStyle w:val="Header"/>
              <w:tabs>
                <w:tab w:val="clear" w:pos="4536"/>
                <w:tab w:val="clear" w:pos="9072"/>
              </w:tabs>
              <w:spacing w:after="0" w:line="180" w:lineRule="exact"/>
              <w:jc w:val="both"/>
              <w:rPr>
                <w:rFonts w:ascii="Times New Roman" w:hAnsi="Times New Roman"/>
                <w:b/>
                <w:i/>
                <w:sz w:val="18"/>
                <w:szCs w:val="18"/>
              </w:rPr>
            </w:pPr>
            <w:r w:rsidRPr="00281F23">
              <w:rPr>
                <w:rFonts w:ascii="Times New Roman" w:hAnsi="Times New Roman"/>
                <w:b/>
                <w:i/>
                <w:sz w:val="18"/>
                <w:szCs w:val="18"/>
              </w:rPr>
              <w:t>4.302.531,84</w:t>
            </w:r>
          </w:p>
          <w:p w:rsidR="000A04C6" w:rsidRPr="00281F23" w:rsidRDefault="000A04C6" w:rsidP="00281F23">
            <w:pPr>
              <w:pStyle w:val="Header"/>
              <w:tabs>
                <w:tab w:val="clear" w:pos="4536"/>
                <w:tab w:val="clear" w:pos="9072"/>
              </w:tabs>
              <w:spacing w:after="0" w:line="180" w:lineRule="exact"/>
              <w:jc w:val="both"/>
              <w:rPr>
                <w:rFonts w:ascii="Times New Roman" w:hAnsi="Times New Roman"/>
                <w:sz w:val="18"/>
                <w:szCs w:val="18"/>
              </w:rPr>
            </w:pPr>
          </w:p>
          <w:p w:rsidR="000A04C6" w:rsidRPr="00281F23" w:rsidRDefault="000A04C6" w:rsidP="00281F23">
            <w:pPr>
              <w:jc w:val="both"/>
              <w:rPr>
                <w:sz w:val="18"/>
                <w:szCs w:val="18"/>
              </w:rPr>
            </w:pPr>
            <w:r w:rsidRPr="00281F23">
              <w:rPr>
                <w:sz w:val="18"/>
                <w:szCs w:val="18"/>
              </w:rPr>
              <w:t>1.883.143,34</w:t>
            </w:r>
          </w:p>
          <w:p w:rsidR="000A04C6" w:rsidRPr="00281F23" w:rsidRDefault="000A04C6" w:rsidP="00281F23">
            <w:pPr>
              <w:pStyle w:val="Header"/>
              <w:tabs>
                <w:tab w:val="clear" w:pos="4536"/>
                <w:tab w:val="clear" w:pos="9072"/>
              </w:tabs>
              <w:spacing w:after="0" w:line="180" w:lineRule="exact"/>
              <w:jc w:val="both"/>
              <w:rPr>
                <w:rFonts w:ascii="Times New Roman" w:hAnsi="Times New Roman"/>
                <w:sz w:val="18"/>
                <w:szCs w:val="18"/>
              </w:rPr>
            </w:pPr>
          </w:p>
          <w:p w:rsidR="000A04C6" w:rsidRPr="00281F23" w:rsidRDefault="000A04C6" w:rsidP="00281F23">
            <w:pPr>
              <w:pStyle w:val="Header"/>
              <w:tabs>
                <w:tab w:val="clear" w:pos="4536"/>
                <w:tab w:val="clear" w:pos="9072"/>
              </w:tabs>
              <w:spacing w:after="0" w:line="180" w:lineRule="exact"/>
              <w:jc w:val="both"/>
              <w:rPr>
                <w:rFonts w:ascii="Times New Roman" w:hAnsi="Times New Roman"/>
                <w:sz w:val="18"/>
                <w:szCs w:val="18"/>
              </w:rPr>
            </w:pPr>
            <w:r w:rsidRPr="00281F23">
              <w:rPr>
                <w:rFonts w:ascii="Times New Roman" w:hAnsi="Times New Roman"/>
                <w:sz w:val="18"/>
                <w:szCs w:val="18"/>
              </w:rPr>
              <w:t>2.419.388,50</w:t>
            </w:r>
          </w:p>
          <w:p w:rsidR="000A04C6" w:rsidRPr="00281F23" w:rsidRDefault="000A04C6" w:rsidP="00281F23">
            <w:pPr>
              <w:pStyle w:val="Header"/>
              <w:tabs>
                <w:tab w:val="clear" w:pos="4536"/>
                <w:tab w:val="clear" w:pos="9072"/>
              </w:tabs>
              <w:spacing w:after="0" w:line="180" w:lineRule="exact"/>
              <w:jc w:val="both"/>
              <w:rPr>
                <w:rFonts w:ascii="Times New Roman" w:hAnsi="Times New Roman"/>
                <w:b/>
                <w:sz w:val="18"/>
                <w:szCs w:val="18"/>
              </w:rPr>
            </w:pPr>
          </w:p>
        </w:tc>
      </w:tr>
      <w:tr w:rsidR="000A04C6" w:rsidRPr="00281F23" w:rsidTr="00281F23">
        <w:tc>
          <w:tcPr>
            <w:tcW w:w="4748" w:type="dxa"/>
          </w:tcPr>
          <w:p w:rsidR="000A04C6" w:rsidRPr="00281F23" w:rsidRDefault="000A04C6" w:rsidP="00281F23">
            <w:pPr>
              <w:jc w:val="both"/>
              <w:rPr>
                <w:b/>
                <w:i/>
                <w:sz w:val="18"/>
                <w:szCs w:val="18"/>
              </w:rPr>
            </w:pPr>
            <w:r w:rsidRPr="00281F23">
              <w:rPr>
                <w:b/>
                <w:i/>
                <w:sz w:val="18"/>
                <w:szCs w:val="18"/>
              </w:rPr>
              <w:t>2. Aquacultuur, binnenvisserij, verwerking en afzet van visserij- en aquacultuurproducten</w:t>
            </w:r>
          </w:p>
          <w:p w:rsidR="000A04C6" w:rsidRPr="00281F23" w:rsidRDefault="000A04C6" w:rsidP="00281F23">
            <w:pPr>
              <w:jc w:val="both"/>
              <w:rPr>
                <w:sz w:val="18"/>
                <w:szCs w:val="18"/>
              </w:rPr>
            </w:pPr>
            <w:r w:rsidRPr="00281F23">
              <w:rPr>
                <w:sz w:val="18"/>
                <w:szCs w:val="18"/>
              </w:rPr>
              <w:t>Maatregel 2.1. Productieve investeringen aquacultuur</w:t>
            </w:r>
          </w:p>
          <w:p w:rsidR="000A04C6" w:rsidRPr="00281F23" w:rsidRDefault="000A04C6" w:rsidP="00281F23">
            <w:pPr>
              <w:jc w:val="both"/>
              <w:rPr>
                <w:sz w:val="18"/>
                <w:szCs w:val="18"/>
              </w:rPr>
            </w:pPr>
            <w:r w:rsidRPr="00281F23">
              <w:rPr>
                <w:sz w:val="18"/>
                <w:szCs w:val="18"/>
              </w:rPr>
              <w:t>Maatregel 2.2. Maatregelen inzake het aquatisch milieu</w:t>
            </w:r>
          </w:p>
          <w:p w:rsidR="000A04C6" w:rsidRPr="00281F23" w:rsidRDefault="000A04C6" w:rsidP="00281F23">
            <w:pPr>
              <w:jc w:val="both"/>
              <w:rPr>
                <w:sz w:val="18"/>
                <w:szCs w:val="18"/>
              </w:rPr>
            </w:pPr>
            <w:r w:rsidRPr="00281F23">
              <w:rPr>
                <w:sz w:val="18"/>
                <w:szCs w:val="18"/>
              </w:rPr>
              <w:t>Maatregel 2.3. Maatregel betreffende de volksgezondheid</w:t>
            </w:r>
          </w:p>
          <w:p w:rsidR="000A04C6" w:rsidRPr="00281F23" w:rsidRDefault="000A04C6" w:rsidP="00281F23">
            <w:pPr>
              <w:jc w:val="both"/>
              <w:rPr>
                <w:sz w:val="18"/>
                <w:szCs w:val="18"/>
              </w:rPr>
            </w:pPr>
            <w:r w:rsidRPr="00281F23">
              <w:rPr>
                <w:sz w:val="18"/>
                <w:szCs w:val="18"/>
              </w:rPr>
              <w:t>Maatregel 2.4. Maatregelen diergezondheid</w:t>
            </w:r>
          </w:p>
          <w:p w:rsidR="000A04C6" w:rsidRPr="00281F23" w:rsidRDefault="000A04C6" w:rsidP="00281F23">
            <w:pPr>
              <w:jc w:val="both"/>
              <w:rPr>
                <w:sz w:val="18"/>
                <w:szCs w:val="18"/>
              </w:rPr>
            </w:pPr>
            <w:r w:rsidRPr="00281F23">
              <w:rPr>
                <w:sz w:val="18"/>
                <w:szCs w:val="18"/>
              </w:rPr>
              <w:t>Maatregel 2.5. Binnenvisserij</w:t>
            </w:r>
          </w:p>
          <w:p w:rsidR="000A04C6" w:rsidRPr="00281F23" w:rsidRDefault="000A04C6" w:rsidP="00281F23">
            <w:pPr>
              <w:spacing w:after="120"/>
              <w:jc w:val="both"/>
              <w:rPr>
                <w:sz w:val="18"/>
                <w:szCs w:val="18"/>
              </w:rPr>
            </w:pPr>
            <w:r w:rsidRPr="00281F23">
              <w:rPr>
                <w:sz w:val="18"/>
                <w:szCs w:val="18"/>
              </w:rPr>
              <w:t xml:space="preserve">Maatregel 2.6. Investeringen in verwerking en afzet </w:t>
            </w:r>
          </w:p>
        </w:tc>
        <w:tc>
          <w:tcPr>
            <w:tcW w:w="1442" w:type="dxa"/>
          </w:tcPr>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r w:rsidRPr="00281F23">
              <w:rPr>
                <w:rFonts w:ascii="Times New Roman" w:hAnsi="Times New Roman"/>
                <w:i/>
                <w:sz w:val="18"/>
                <w:szCs w:val="18"/>
              </w:rPr>
              <w:t>3.500.000</w:t>
            </w:r>
          </w:p>
        </w:tc>
        <w:tc>
          <w:tcPr>
            <w:tcW w:w="1535" w:type="dxa"/>
          </w:tcPr>
          <w:p w:rsidR="000A04C6" w:rsidRPr="00281F23" w:rsidRDefault="000A04C6" w:rsidP="00281F23">
            <w:pPr>
              <w:spacing w:line="180" w:lineRule="exact"/>
              <w:jc w:val="both"/>
              <w:rPr>
                <w:b/>
                <w:i/>
                <w:sz w:val="18"/>
                <w:szCs w:val="18"/>
              </w:rPr>
            </w:pPr>
            <w:r w:rsidRPr="00281F23">
              <w:rPr>
                <w:b/>
                <w:i/>
                <w:sz w:val="18"/>
                <w:szCs w:val="18"/>
              </w:rPr>
              <w:t>0</w:t>
            </w:r>
          </w:p>
        </w:tc>
        <w:tc>
          <w:tcPr>
            <w:tcW w:w="1345" w:type="dxa"/>
          </w:tcPr>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p>
        </w:tc>
      </w:tr>
      <w:tr w:rsidR="000A04C6" w:rsidRPr="00281F23" w:rsidTr="00281F23">
        <w:trPr>
          <w:trHeight w:val="1800"/>
        </w:trPr>
        <w:tc>
          <w:tcPr>
            <w:tcW w:w="4748" w:type="dxa"/>
          </w:tcPr>
          <w:p w:rsidR="000A04C6" w:rsidRPr="00281F23" w:rsidRDefault="000A04C6" w:rsidP="00281F23">
            <w:pPr>
              <w:jc w:val="both"/>
              <w:rPr>
                <w:b/>
                <w:i/>
                <w:sz w:val="18"/>
                <w:szCs w:val="18"/>
              </w:rPr>
            </w:pPr>
            <w:r w:rsidRPr="00281F23">
              <w:rPr>
                <w:b/>
                <w:i/>
                <w:sz w:val="18"/>
                <w:szCs w:val="18"/>
              </w:rPr>
              <w:t>3. Maatregelen van gemeenschappelijk belang</w:t>
            </w:r>
          </w:p>
          <w:p w:rsidR="000A04C6" w:rsidRPr="00281F23" w:rsidRDefault="000A04C6" w:rsidP="00281F23">
            <w:pPr>
              <w:rPr>
                <w:sz w:val="18"/>
                <w:szCs w:val="18"/>
              </w:rPr>
            </w:pPr>
            <w:r w:rsidRPr="00281F23">
              <w:rPr>
                <w:sz w:val="18"/>
                <w:szCs w:val="18"/>
              </w:rPr>
              <w:t>Maatregel 3.1. Collectieve acties</w:t>
            </w:r>
          </w:p>
          <w:p w:rsidR="000A04C6" w:rsidRPr="00281F23" w:rsidRDefault="000A04C6" w:rsidP="00281F23">
            <w:pPr>
              <w:rPr>
                <w:sz w:val="18"/>
                <w:szCs w:val="18"/>
              </w:rPr>
            </w:pPr>
            <w:hyperlink w:anchor="_Toc210449412" w:history="1">
              <w:r w:rsidRPr="00281F23">
                <w:rPr>
                  <w:sz w:val="18"/>
                  <w:szCs w:val="18"/>
                </w:rPr>
                <w:t>Maatregel 3.2. Bescherming en ontwikkeling van de aquatische fauna en flora</w:t>
              </w:r>
            </w:hyperlink>
          </w:p>
          <w:p w:rsidR="000A04C6" w:rsidRPr="00281F23" w:rsidRDefault="000A04C6" w:rsidP="00281F23">
            <w:pPr>
              <w:rPr>
                <w:sz w:val="18"/>
                <w:szCs w:val="18"/>
              </w:rPr>
            </w:pPr>
            <w:hyperlink w:anchor="_Toc210449413" w:history="1">
              <w:r w:rsidRPr="00281F23">
                <w:rPr>
                  <w:sz w:val="18"/>
                  <w:szCs w:val="18"/>
                </w:rPr>
                <w:t>Maatregel 3.3: Vissershavens, aanvoer- en beschuttingsplaatsen</w:t>
              </w:r>
            </w:hyperlink>
          </w:p>
          <w:p w:rsidR="000A04C6" w:rsidRPr="00281F23" w:rsidRDefault="000A04C6" w:rsidP="00281F23">
            <w:pPr>
              <w:rPr>
                <w:sz w:val="18"/>
                <w:szCs w:val="18"/>
              </w:rPr>
            </w:pPr>
            <w:hyperlink w:anchor="_Toc210449414" w:history="1">
              <w:r w:rsidRPr="00281F23">
                <w:rPr>
                  <w:sz w:val="18"/>
                  <w:szCs w:val="18"/>
                </w:rPr>
                <w:t>Maatregel 3.4: Ontwikkeling van nieuwe markten en promotiecampagnes</w:t>
              </w:r>
            </w:hyperlink>
          </w:p>
          <w:p w:rsidR="000A04C6" w:rsidRPr="00281F23" w:rsidRDefault="000A04C6" w:rsidP="00281F23">
            <w:pPr>
              <w:rPr>
                <w:sz w:val="18"/>
                <w:szCs w:val="18"/>
              </w:rPr>
            </w:pPr>
            <w:r w:rsidRPr="00281F23">
              <w:rPr>
                <w:sz w:val="18"/>
                <w:szCs w:val="18"/>
              </w:rPr>
              <w:t>Maatregel 3.5: Proefprojecten</w:t>
            </w:r>
          </w:p>
          <w:p w:rsidR="000A04C6" w:rsidRPr="00281F23" w:rsidRDefault="000A04C6" w:rsidP="00281F23">
            <w:pPr>
              <w:pStyle w:val="Header"/>
              <w:tabs>
                <w:tab w:val="clear" w:pos="4536"/>
                <w:tab w:val="clear" w:pos="9072"/>
              </w:tabs>
              <w:spacing w:line="180" w:lineRule="exact"/>
              <w:rPr>
                <w:rFonts w:ascii="Times New Roman" w:hAnsi="Times New Roman"/>
                <w:sz w:val="18"/>
                <w:szCs w:val="18"/>
              </w:rPr>
            </w:pPr>
            <w:r w:rsidRPr="00281F23">
              <w:rPr>
                <w:rFonts w:ascii="Times New Roman" w:hAnsi="Times New Roman"/>
                <w:sz w:val="18"/>
                <w:szCs w:val="18"/>
              </w:rPr>
              <w:t>Maatregel 3.6: Aanpassing voor omschakeling van vissersvaartuigen</w:t>
            </w:r>
          </w:p>
        </w:tc>
        <w:tc>
          <w:tcPr>
            <w:tcW w:w="1442" w:type="dxa"/>
          </w:tcPr>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r w:rsidRPr="00281F23">
              <w:rPr>
                <w:rFonts w:ascii="Times New Roman" w:hAnsi="Times New Roman"/>
                <w:i/>
                <w:sz w:val="18"/>
                <w:szCs w:val="18"/>
              </w:rPr>
              <w:t>7.988.352</w:t>
            </w:r>
          </w:p>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p>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p>
        </w:tc>
        <w:tc>
          <w:tcPr>
            <w:tcW w:w="1535" w:type="dxa"/>
          </w:tcPr>
          <w:p w:rsidR="000A04C6" w:rsidRPr="00281F23" w:rsidRDefault="000A04C6" w:rsidP="00281F23">
            <w:pPr>
              <w:spacing w:line="180" w:lineRule="exact"/>
              <w:jc w:val="both"/>
              <w:rPr>
                <w:b/>
                <w:i/>
                <w:sz w:val="18"/>
                <w:szCs w:val="18"/>
              </w:rPr>
            </w:pPr>
            <w:r w:rsidRPr="00281F23">
              <w:rPr>
                <w:b/>
                <w:i/>
                <w:sz w:val="18"/>
                <w:szCs w:val="18"/>
              </w:rPr>
              <w:t>1.529.593,19</w:t>
            </w:r>
          </w:p>
          <w:p w:rsidR="000A04C6" w:rsidRPr="00281F23" w:rsidRDefault="000A04C6" w:rsidP="00281F23">
            <w:pPr>
              <w:spacing w:line="180" w:lineRule="exact"/>
              <w:jc w:val="both"/>
              <w:rPr>
                <w:sz w:val="18"/>
                <w:szCs w:val="18"/>
              </w:rPr>
            </w:pPr>
            <w:r w:rsidRPr="00281F23">
              <w:rPr>
                <w:sz w:val="18"/>
                <w:szCs w:val="18"/>
              </w:rPr>
              <w:t>505.486,00</w:t>
            </w:r>
          </w:p>
          <w:p w:rsidR="000A04C6" w:rsidRPr="00281F23" w:rsidRDefault="000A04C6" w:rsidP="00281F23">
            <w:pPr>
              <w:spacing w:line="180" w:lineRule="exact"/>
              <w:jc w:val="both"/>
              <w:rPr>
                <w:sz w:val="18"/>
                <w:szCs w:val="18"/>
              </w:rPr>
            </w:pPr>
          </w:p>
          <w:p w:rsidR="000A04C6" w:rsidRPr="00281F23" w:rsidRDefault="000A04C6" w:rsidP="00281F23">
            <w:pPr>
              <w:spacing w:line="180" w:lineRule="exact"/>
              <w:jc w:val="both"/>
              <w:rPr>
                <w:sz w:val="18"/>
                <w:szCs w:val="18"/>
              </w:rPr>
            </w:pPr>
          </w:p>
          <w:p w:rsidR="000A04C6" w:rsidRPr="00281F23" w:rsidRDefault="000A04C6" w:rsidP="00281F23">
            <w:pPr>
              <w:spacing w:line="180" w:lineRule="exact"/>
              <w:jc w:val="both"/>
              <w:rPr>
                <w:sz w:val="18"/>
                <w:szCs w:val="18"/>
              </w:rPr>
            </w:pPr>
            <w:r w:rsidRPr="00281F23">
              <w:rPr>
                <w:sz w:val="18"/>
                <w:szCs w:val="18"/>
              </w:rPr>
              <w:t>188.140,84</w:t>
            </w:r>
          </w:p>
          <w:p w:rsidR="000A04C6" w:rsidRPr="00281F23" w:rsidRDefault="000A04C6" w:rsidP="00281F23">
            <w:pPr>
              <w:spacing w:line="180" w:lineRule="exact"/>
              <w:jc w:val="both"/>
              <w:rPr>
                <w:sz w:val="18"/>
                <w:szCs w:val="18"/>
              </w:rPr>
            </w:pPr>
          </w:p>
          <w:p w:rsidR="000A04C6" w:rsidRPr="00281F23" w:rsidRDefault="000A04C6" w:rsidP="00281F23">
            <w:pPr>
              <w:spacing w:line="180" w:lineRule="exact"/>
              <w:jc w:val="both"/>
              <w:rPr>
                <w:sz w:val="18"/>
                <w:szCs w:val="18"/>
              </w:rPr>
            </w:pPr>
            <w:r w:rsidRPr="00281F23">
              <w:rPr>
                <w:sz w:val="18"/>
                <w:szCs w:val="18"/>
              </w:rPr>
              <w:t>566.500,00</w:t>
            </w:r>
          </w:p>
          <w:p w:rsidR="000A04C6" w:rsidRPr="00281F23" w:rsidRDefault="000A04C6" w:rsidP="00281F23">
            <w:pPr>
              <w:spacing w:line="180" w:lineRule="exact"/>
              <w:jc w:val="both"/>
              <w:rPr>
                <w:sz w:val="18"/>
                <w:szCs w:val="18"/>
              </w:rPr>
            </w:pPr>
          </w:p>
          <w:p w:rsidR="000A04C6" w:rsidRPr="00281F23" w:rsidRDefault="000A04C6" w:rsidP="00281F23">
            <w:pPr>
              <w:spacing w:line="180" w:lineRule="exact"/>
              <w:jc w:val="both"/>
              <w:rPr>
                <w:i/>
                <w:sz w:val="18"/>
                <w:szCs w:val="18"/>
              </w:rPr>
            </w:pPr>
            <w:r w:rsidRPr="00281F23">
              <w:rPr>
                <w:bCs/>
                <w:sz w:val="18"/>
                <w:szCs w:val="18"/>
              </w:rPr>
              <w:t>305.857,42</w:t>
            </w:r>
          </w:p>
          <w:p w:rsidR="000A04C6" w:rsidRPr="00281F23" w:rsidRDefault="000A04C6" w:rsidP="00281F23">
            <w:pPr>
              <w:spacing w:line="180" w:lineRule="exact"/>
              <w:jc w:val="both"/>
              <w:rPr>
                <w:i/>
                <w:sz w:val="18"/>
                <w:szCs w:val="18"/>
              </w:rPr>
            </w:pPr>
          </w:p>
        </w:tc>
        <w:tc>
          <w:tcPr>
            <w:tcW w:w="1345" w:type="dxa"/>
          </w:tcPr>
          <w:p w:rsidR="000A04C6" w:rsidRPr="00281F23" w:rsidRDefault="000A04C6" w:rsidP="00281F23">
            <w:pPr>
              <w:jc w:val="both"/>
              <w:rPr>
                <w:b/>
                <w:i/>
                <w:sz w:val="18"/>
                <w:szCs w:val="18"/>
              </w:rPr>
            </w:pPr>
            <w:r w:rsidRPr="00281F23">
              <w:rPr>
                <w:b/>
                <w:i/>
                <w:sz w:val="18"/>
                <w:szCs w:val="18"/>
              </w:rPr>
              <w:t>1.114.284,26</w:t>
            </w:r>
          </w:p>
          <w:p w:rsidR="000A04C6" w:rsidRPr="00281F23" w:rsidRDefault="000A04C6" w:rsidP="00281F23">
            <w:pPr>
              <w:pStyle w:val="Header"/>
              <w:tabs>
                <w:tab w:val="clear" w:pos="4536"/>
                <w:tab w:val="clear" w:pos="9072"/>
              </w:tabs>
              <w:spacing w:after="0" w:line="180" w:lineRule="exact"/>
              <w:jc w:val="both"/>
              <w:rPr>
                <w:rFonts w:ascii="Times New Roman" w:hAnsi="Times New Roman"/>
                <w:bCs/>
                <w:sz w:val="18"/>
                <w:szCs w:val="18"/>
              </w:rPr>
            </w:pPr>
            <w:r w:rsidRPr="00281F23">
              <w:rPr>
                <w:rFonts w:ascii="Times New Roman" w:hAnsi="Times New Roman"/>
                <w:bCs/>
                <w:sz w:val="18"/>
                <w:szCs w:val="18"/>
              </w:rPr>
              <w:t>470.286,00</w:t>
            </w:r>
          </w:p>
          <w:p w:rsidR="000A04C6" w:rsidRPr="00281F23" w:rsidRDefault="000A04C6" w:rsidP="00281F23">
            <w:pPr>
              <w:pStyle w:val="Header"/>
              <w:tabs>
                <w:tab w:val="clear" w:pos="4536"/>
                <w:tab w:val="clear" w:pos="9072"/>
              </w:tabs>
              <w:spacing w:after="0" w:line="180" w:lineRule="exact"/>
              <w:jc w:val="both"/>
              <w:rPr>
                <w:rFonts w:ascii="Times New Roman" w:hAnsi="Times New Roman"/>
                <w:bCs/>
                <w:sz w:val="18"/>
                <w:szCs w:val="18"/>
              </w:rPr>
            </w:pPr>
          </w:p>
          <w:p w:rsidR="000A04C6" w:rsidRPr="00281F23" w:rsidRDefault="000A04C6" w:rsidP="00281F23">
            <w:pPr>
              <w:pStyle w:val="Header"/>
              <w:tabs>
                <w:tab w:val="clear" w:pos="4536"/>
                <w:tab w:val="clear" w:pos="9072"/>
              </w:tabs>
              <w:spacing w:after="0" w:line="180" w:lineRule="exact"/>
              <w:jc w:val="both"/>
              <w:rPr>
                <w:rFonts w:ascii="Times New Roman" w:hAnsi="Times New Roman"/>
                <w:bCs/>
                <w:sz w:val="18"/>
                <w:szCs w:val="18"/>
              </w:rPr>
            </w:pPr>
          </w:p>
          <w:p w:rsidR="000A04C6" w:rsidRPr="00281F23" w:rsidRDefault="000A04C6" w:rsidP="00281F23">
            <w:pPr>
              <w:pStyle w:val="Header"/>
              <w:tabs>
                <w:tab w:val="clear" w:pos="4536"/>
                <w:tab w:val="clear" w:pos="9072"/>
              </w:tabs>
              <w:spacing w:after="0" w:line="180" w:lineRule="exact"/>
              <w:jc w:val="both"/>
              <w:rPr>
                <w:rFonts w:ascii="Times New Roman" w:hAnsi="Times New Roman"/>
                <w:bCs/>
                <w:sz w:val="18"/>
                <w:szCs w:val="18"/>
              </w:rPr>
            </w:pPr>
            <w:r w:rsidRPr="00281F23">
              <w:rPr>
                <w:rFonts w:ascii="Times New Roman" w:hAnsi="Times New Roman"/>
                <w:bCs/>
                <w:sz w:val="18"/>
                <w:szCs w:val="18"/>
              </w:rPr>
              <w:t>188.140,84</w:t>
            </w:r>
          </w:p>
          <w:p w:rsidR="000A04C6" w:rsidRPr="00281F23" w:rsidRDefault="000A04C6" w:rsidP="00281F23">
            <w:pPr>
              <w:pStyle w:val="Header"/>
              <w:tabs>
                <w:tab w:val="clear" w:pos="4536"/>
                <w:tab w:val="clear" w:pos="9072"/>
              </w:tabs>
              <w:spacing w:after="0" w:line="180" w:lineRule="exact"/>
              <w:jc w:val="both"/>
              <w:rPr>
                <w:rFonts w:ascii="Times New Roman" w:hAnsi="Times New Roman"/>
                <w:bCs/>
                <w:sz w:val="18"/>
                <w:szCs w:val="18"/>
              </w:rPr>
            </w:pPr>
          </w:p>
          <w:p w:rsidR="000A04C6" w:rsidRPr="00281F23" w:rsidRDefault="000A04C6" w:rsidP="00281F23">
            <w:pPr>
              <w:pStyle w:val="Header"/>
              <w:tabs>
                <w:tab w:val="clear" w:pos="4536"/>
                <w:tab w:val="clear" w:pos="9072"/>
              </w:tabs>
              <w:spacing w:after="0" w:line="180" w:lineRule="exact"/>
              <w:jc w:val="both"/>
              <w:rPr>
                <w:rFonts w:ascii="Times New Roman" w:hAnsi="Times New Roman"/>
                <w:bCs/>
                <w:sz w:val="18"/>
                <w:szCs w:val="18"/>
              </w:rPr>
            </w:pPr>
          </w:p>
          <w:p w:rsidR="000A04C6" w:rsidRPr="00281F23" w:rsidRDefault="000A04C6" w:rsidP="00281F23">
            <w:pPr>
              <w:pStyle w:val="Header"/>
              <w:tabs>
                <w:tab w:val="clear" w:pos="4536"/>
                <w:tab w:val="clear" w:pos="9072"/>
              </w:tabs>
              <w:spacing w:after="0" w:line="180" w:lineRule="exact"/>
              <w:jc w:val="both"/>
              <w:rPr>
                <w:rFonts w:ascii="Times New Roman" w:hAnsi="Times New Roman"/>
                <w:bCs/>
                <w:sz w:val="18"/>
                <w:szCs w:val="18"/>
              </w:rPr>
            </w:pPr>
          </w:p>
          <w:p w:rsidR="000A04C6" w:rsidRPr="00281F23" w:rsidRDefault="000A04C6" w:rsidP="00281F23">
            <w:pPr>
              <w:pStyle w:val="Header"/>
              <w:tabs>
                <w:tab w:val="clear" w:pos="4536"/>
                <w:tab w:val="clear" w:pos="9072"/>
              </w:tabs>
              <w:spacing w:after="0" w:line="180" w:lineRule="exact"/>
              <w:jc w:val="both"/>
              <w:rPr>
                <w:rFonts w:ascii="Times New Roman" w:hAnsi="Times New Roman"/>
                <w:bCs/>
                <w:i/>
                <w:sz w:val="18"/>
                <w:szCs w:val="18"/>
              </w:rPr>
            </w:pPr>
            <w:r w:rsidRPr="00281F23">
              <w:rPr>
                <w:rFonts w:ascii="Times New Roman" w:hAnsi="Times New Roman"/>
                <w:bCs/>
                <w:sz w:val="18"/>
                <w:szCs w:val="18"/>
              </w:rPr>
              <w:t>455.857,42 (1)</w:t>
            </w:r>
          </w:p>
        </w:tc>
      </w:tr>
      <w:tr w:rsidR="000A04C6" w:rsidRPr="00281F23" w:rsidTr="00281F23">
        <w:tc>
          <w:tcPr>
            <w:tcW w:w="4748" w:type="dxa"/>
          </w:tcPr>
          <w:p w:rsidR="000A04C6" w:rsidRPr="00281F23" w:rsidRDefault="000A04C6" w:rsidP="00281F23">
            <w:pPr>
              <w:pStyle w:val="Header"/>
              <w:tabs>
                <w:tab w:val="clear" w:pos="4536"/>
                <w:tab w:val="clear" w:pos="9072"/>
              </w:tabs>
              <w:spacing w:line="180" w:lineRule="exact"/>
              <w:jc w:val="both"/>
              <w:rPr>
                <w:rFonts w:ascii="Times New Roman" w:hAnsi="Times New Roman"/>
                <w:sz w:val="18"/>
                <w:szCs w:val="18"/>
              </w:rPr>
            </w:pPr>
            <w:r w:rsidRPr="00281F23">
              <w:rPr>
                <w:rFonts w:ascii="Times New Roman" w:hAnsi="Times New Roman"/>
                <w:b/>
                <w:i/>
                <w:sz w:val="18"/>
                <w:szCs w:val="18"/>
              </w:rPr>
              <w:t>4. Duurzame ontwikkeling van visserijgebieden</w:t>
            </w:r>
          </w:p>
        </w:tc>
        <w:tc>
          <w:tcPr>
            <w:tcW w:w="1442" w:type="dxa"/>
          </w:tcPr>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lang w:val="nl-BE"/>
              </w:rPr>
            </w:pPr>
            <w:r w:rsidRPr="00281F23">
              <w:rPr>
                <w:rFonts w:ascii="Times New Roman" w:hAnsi="Times New Roman"/>
                <w:i/>
                <w:sz w:val="18"/>
                <w:szCs w:val="18"/>
                <w:lang w:val="nl-BE"/>
              </w:rPr>
              <w:t>1.900.000</w:t>
            </w:r>
          </w:p>
        </w:tc>
        <w:tc>
          <w:tcPr>
            <w:tcW w:w="1535" w:type="dxa"/>
          </w:tcPr>
          <w:p w:rsidR="000A04C6" w:rsidRPr="00281F23" w:rsidRDefault="000A04C6" w:rsidP="00281F23">
            <w:pPr>
              <w:spacing w:line="180" w:lineRule="exact"/>
              <w:jc w:val="both"/>
              <w:rPr>
                <w:b/>
                <w:i/>
                <w:sz w:val="18"/>
                <w:szCs w:val="18"/>
              </w:rPr>
            </w:pPr>
            <w:r w:rsidRPr="00281F23">
              <w:rPr>
                <w:b/>
                <w:i/>
                <w:sz w:val="18"/>
                <w:szCs w:val="18"/>
              </w:rPr>
              <w:t>0</w:t>
            </w:r>
          </w:p>
        </w:tc>
        <w:tc>
          <w:tcPr>
            <w:tcW w:w="1345" w:type="dxa"/>
          </w:tcPr>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p>
        </w:tc>
      </w:tr>
      <w:tr w:rsidR="000A04C6" w:rsidRPr="00281F23" w:rsidTr="00281F23">
        <w:tc>
          <w:tcPr>
            <w:tcW w:w="4748" w:type="dxa"/>
          </w:tcPr>
          <w:p w:rsidR="000A04C6" w:rsidRPr="00281F23" w:rsidRDefault="000A04C6" w:rsidP="00281F23">
            <w:pPr>
              <w:jc w:val="both"/>
              <w:rPr>
                <w:sz w:val="18"/>
                <w:szCs w:val="18"/>
              </w:rPr>
            </w:pPr>
            <w:r w:rsidRPr="00281F23">
              <w:rPr>
                <w:b/>
                <w:i/>
                <w:sz w:val="18"/>
                <w:szCs w:val="18"/>
              </w:rPr>
              <w:t>5. Technische bijstand</w:t>
            </w:r>
          </w:p>
        </w:tc>
        <w:tc>
          <w:tcPr>
            <w:tcW w:w="1442" w:type="dxa"/>
          </w:tcPr>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r w:rsidRPr="00281F23">
              <w:rPr>
                <w:rFonts w:ascii="Times New Roman" w:hAnsi="Times New Roman"/>
                <w:i/>
                <w:sz w:val="18"/>
                <w:szCs w:val="18"/>
              </w:rPr>
              <w:t>1.311.648</w:t>
            </w:r>
          </w:p>
        </w:tc>
        <w:tc>
          <w:tcPr>
            <w:tcW w:w="1535" w:type="dxa"/>
          </w:tcPr>
          <w:p w:rsidR="000A04C6" w:rsidRPr="00281F23" w:rsidRDefault="000A04C6" w:rsidP="00281F23">
            <w:pPr>
              <w:spacing w:line="180" w:lineRule="exact"/>
              <w:jc w:val="both"/>
              <w:rPr>
                <w:b/>
                <w:i/>
                <w:sz w:val="18"/>
                <w:szCs w:val="18"/>
              </w:rPr>
            </w:pPr>
            <w:r w:rsidRPr="00281F23">
              <w:rPr>
                <w:b/>
                <w:i/>
                <w:sz w:val="18"/>
                <w:szCs w:val="18"/>
              </w:rPr>
              <w:t>48.671,45</w:t>
            </w:r>
          </w:p>
        </w:tc>
        <w:tc>
          <w:tcPr>
            <w:tcW w:w="1345" w:type="dxa"/>
          </w:tcPr>
          <w:p w:rsidR="000A04C6" w:rsidRPr="00281F23" w:rsidRDefault="000A04C6" w:rsidP="00281F23">
            <w:pPr>
              <w:pStyle w:val="Header"/>
              <w:tabs>
                <w:tab w:val="clear" w:pos="4536"/>
                <w:tab w:val="clear" w:pos="9072"/>
              </w:tabs>
              <w:spacing w:line="180" w:lineRule="exact"/>
              <w:jc w:val="both"/>
              <w:rPr>
                <w:rFonts w:ascii="Times New Roman" w:hAnsi="Times New Roman"/>
                <w:i/>
                <w:sz w:val="18"/>
                <w:szCs w:val="18"/>
              </w:rPr>
            </w:pPr>
          </w:p>
        </w:tc>
      </w:tr>
      <w:tr w:rsidR="000A04C6" w:rsidRPr="00281F23" w:rsidTr="00281F23">
        <w:tc>
          <w:tcPr>
            <w:tcW w:w="4748" w:type="dxa"/>
          </w:tcPr>
          <w:p w:rsidR="000A04C6" w:rsidRPr="00281F23" w:rsidRDefault="000A04C6" w:rsidP="00281F23">
            <w:pPr>
              <w:pStyle w:val="Header"/>
              <w:tabs>
                <w:tab w:val="clear" w:pos="4536"/>
                <w:tab w:val="clear" w:pos="9072"/>
              </w:tabs>
              <w:spacing w:line="180" w:lineRule="exact"/>
              <w:jc w:val="both"/>
              <w:rPr>
                <w:rFonts w:ascii="Times New Roman" w:hAnsi="Times New Roman"/>
                <w:b/>
                <w:bCs/>
                <w:i/>
                <w:sz w:val="18"/>
                <w:szCs w:val="18"/>
              </w:rPr>
            </w:pPr>
            <w:r w:rsidRPr="00281F23">
              <w:rPr>
                <w:rFonts w:ascii="Times New Roman" w:hAnsi="Times New Roman"/>
                <w:b/>
                <w:bCs/>
                <w:i/>
                <w:sz w:val="18"/>
                <w:szCs w:val="18"/>
              </w:rPr>
              <w:t xml:space="preserve">    Totaal</w:t>
            </w:r>
          </w:p>
        </w:tc>
        <w:tc>
          <w:tcPr>
            <w:tcW w:w="1442" w:type="dxa"/>
          </w:tcPr>
          <w:p w:rsidR="000A04C6" w:rsidRPr="00281F23" w:rsidRDefault="000A04C6" w:rsidP="00281F23">
            <w:pPr>
              <w:pStyle w:val="Header"/>
              <w:tabs>
                <w:tab w:val="clear" w:pos="4536"/>
                <w:tab w:val="clear" w:pos="9072"/>
              </w:tabs>
              <w:spacing w:line="180" w:lineRule="exact"/>
              <w:jc w:val="both"/>
              <w:rPr>
                <w:rFonts w:ascii="Times New Roman" w:hAnsi="Times New Roman"/>
                <w:b/>
                <w:bCs/>
                <w:i/>
                <w:sz w:val="18"/>
                <w:szCs w:val="18"/>
              </w:rPr>
            </w:pPr>
            <w:r w:rsidRPr="00281F23">
              <w:rPr>
                <w:rFonts w:ascii="Times New Roman" w:hAnsi="Times New Roman"/>
                <w:b/>
                <w:bCs/>
                <w:i/>
                <w:sz w:val="18"/>
                <w:szCs w:val="18"/>
              </w:rPr>
              <w:t>26.261.648</w:t>
            </w:r>
          </w:p>
        </w:tc>
        <w:tc>
          <w:tcPr>
            <w:tcW w:w="1535" w:type="dxa"/>
          </w:tcPr>
          <w:p w:rsidR="000A04C6" w:rsidRPr="00281F23" w:rsidRDefault="000A04C6" w:rsidP="00281F23">
            <w:pPr>
              <w:tabs>
                <w:tab w:val="center" w:pos="650"/>
                <w:tab w:val="right" w:pos="1300"/>
              </w:tabs>
              <w:spacing w:line="180" w:lineRule="exact"/>
              <w:jc w:val="both"/>
              <w:rPr>
                <w:b/>
                <w:bCs/>
                <w:i/>
                <w:sz w:val="18"/>
                <w:szCs w:val="18"/>
              </w:rPr>
            </w:pPr>
            <w:r w:rsidRPr="00281F23">
              <w:rPr>
                <w:b/>
                <w:bCs/>
                <w:i/>
                <w:sz w:val="18"/>
                <w:szCs w:val="18"/>
              </w:rPr>
              <w:t>10.597.140,05</w:t>
            </w:r>
          </w:p>
        </w:tc>
        <w:tc>
          <w:tcPr>
            <w:tcW w:w="1345" w:type="dxa"/>
          </w:tcPr>
          <w:p w:rsidR="000A04C6" w:rsidRPr="00281F23" w:rsidRDefault="000A04C6" w:rsidP="00281F23">
            <w:pPr>
              <w:pStyle w:val="Header"/>
              <w:tabs>
                <w:tab w:val="clear" w:pos="4536"/>
                <w:tab w:val="clear" w:pos="9072"/>
              </w:tabs>
              <w:spacing w:line="180" w:lineRule="exact"/>
              <w:jc w:val="both"/>
              <w:rPr>
                <w:rFonts w:ascii="Times New Roman" w:hAnsi="Times New Roman"/>
                <w:b/>
                <w:bCs/>
                <w:i/>
                <w:sz w:val="18"/>
                <w:szCs w:val="18"/>
              </w:rPr>
            </w:pPr>
            <w:r w:rsidRPr="00281F23">
              <w:rPr>
                <w:rFonts w:ascii="Times New Roman" w:hAnsi="Times New Roman"/>
                <w:b/>
                <w:bCs/>
                <w:i/>
                <w:sz w:val="18"/>
                <w:szCs w:val="18"/>
              </w:rPr>
              <w:t>5.416.816,10</w:t>
            </w:r>
          </w:p>
        </w:tc>
      </w:tr>
    </w:tbl>
    <w:p w:rsidR="000A04C6" w:rsidRPr="00281F23" w:rsidRDefault="000A04C6" w:rsidP="00281F23">
      <w:pPr>
        <w:jc w:val="both"/>
        <w:rPr>
          <w:sz w:val="18"/>
          <w:szCs w:val="18"/>
        </w:rPr>
      </w:pPr>
      <w:r w:rsidRPr="00281F23">
        <w:rPr>
          <w:sz w:val="18"/>
          <w:szCs w:val="18"/>
        </w:rPr>
        <w:t xml:space="preserve">(1) Dossier Aqua-Vlan inbegrepen (geen EVF-steun). </w:t>
      </w:r>
    </w:p>
    <w:sectPr w:rsidR="000A04C6" w:rsidRPr="00281F23" w:rsidSect="00281F23">
      <w:pgSz w:w="11906" w:h="16838"/>
      <w:pgMar w:top="1417" w:right="1417" w:bottom="426"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4C6" w:rsidRDefault="000A04C6" w:rsidP="001412E4">
      <w:r>
        <w:separator/>
      </w:r>
    </w:p>
  </w:endnote>
  <w:endnote w:type="continuationSeparator" w:id="1">
    <w:p w:rsidR="000A04C6" w:rsidRDefault="000A04C6" w:rsidP="0014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4C6" w:rsidRDefault="000A04C6" w:rsidP="001412E4">
      <w:r>
        <w:separator/>
      </w:r>
    </w:p>
  </w:footnote>
  <w:footnote w:type="continuationSeparator" w:id="1">
    <w:p w:rsidR="000A04C6" w:rsidRDefault="000A04C6" w:rsidP="00141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6F8F"/>
    <w:multiLevelType w:val="hybridMultilevel"/>
    <w:tmpl w:val="F6FEEE9A"/>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
    <w:nsid w:val="7D3A7065"/>
    <w:multiLevelType w:val="hybridMultilevel"/>
    <w:tmpl w:val="9B28DD22"/>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ocumentProtection w:edit="forms"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57E2D"/>
    <w:rsid w:val="000636EB"/>
    <w:rsid w:val="000865DB"/>
    <w:rsid w:val="000976E9"/>
    <w:rsid w:val="000A04C6"/>
    <w:rsid w:val="000C4E8C"/>
    <w:rsid w:val="000F3532"/>
    <w:rsid w:val="00130801"/>
    <w:rsid w:val="001412E4"/>
    <w:rsid w:val="001648E5"/>
    <w:rsid w:val="001B6E48"/>
    <w:rsid w:val="001F60E6"/>
    <w:rsid w:val="001F7390"/>
    <w:rsid w:val="00203CE3"/>
    <w:rsid w:val="00210C07"/>
    <w:rsid w:val="00223ECC"/>
    <w:rsid w:val="00266E3B"/>
    <w:rsid w:val="00281F23"/>
    <w:rsid w:val="002D64AF"/>
    <w:rsid w:val="00326A58"/>
    <w:rsid w:val="00340FF8"/>
    <w:rsid w:val="003432FC"/>
    <w:rsid w:val="003539F1"/>
    <w:rsid w:val="00356682"/>
    <w:rsid w:val="003A0C76"/>
    <w:rsid w:val="003B7091"/>
    <w:rsid w:val="003E3F91"/>
    <w:rsid w:val="00443C36"/>
    <w:rsid w:val="0044588E"/>
    <w:rsid w:val="004E2833"/>
    <w:rsid w:val="0050183C"/>
    <w:rsid w:val="00504AE1"/>
    <w:rsid w:val="005217E1"/>
    <w:rsid w:val="0054396A"/>
    <w:rsid w:val="00566C53"/>
    <w:rsid w:val="005900AD"/>
    <w:rsid w:val="005C37F3"/>
    <w:rsid w:val="005E38CA"/>
    <w:rsid w:val="006170E2"/>
    <w:rsid w:val="0063138E"/>
    <w:rsid w:val="006548DD"/>
    <w:rsid w:val="0071248C"/>
    <w:rsid w:val="007252C7"/>
    <w:rsid w:val="0073378A"/>
    <w:rsid w:val="007373BA"/>
    <w:rsid w:val="007474BA"/>
    <w:rsid w:val="00785A0D"/>
    <w:rsid w:val="00796598"/>
    <w:rsid w:val="007F359C"/>
    <w:rsid w:val="007F60A8"/>
    <w:rsid w:val="00824ACA"/>
    <w:rsid w:val="008346AE"/>
    <w:rsid w:val="008448AC"/>
    <w:rsid w:val="00894185"/>
    <w:rsid w:val="008A713D"/>
    <w:rsid w:val="008D5DB4"/>
    <w:rsid w:val="008E3317"/>
    <w:rsid w:val="008E783F"/>
    <w:rsid w:val="009347E0"/>
    <w:rsid w:val="00944D1D"/>
    <w:rsid w:val="00957FA3"/>
    <w:rsid w:val="00992B95"/>
    <w:rsid w:val="009B241B"/>
    <w:rsid w:val="009B552E"/>
    <w:rsid w:val="009D7043"/>
    <w:rsid w:val="009E244E"/>
    <w:rsid w:val="00A308BD"/>
    <w:rsid w:val="00A42280"/>
    <w:rsid w:val="00A61F86"/>
    <w:rsid w:val="00A76EC9"/>
    <w:rsid w:val="00A804C0"/>
    <w:rsid w:val="00A97044"/>
    <w:rsid w:val="00AA3B70"/>
    <w:rsid w:val="00B45EB2"/>
    <w:rsid w:val="00B4659D"/>
    <w:rsid w:val="00B60F0E"/>
    <w:rsid w:val="00B90960"/>
    <w:rsid w:val="00B96EDD"/>
    <w:rsid w:val="00BE425A"/>
    <w:rsid w:val="00BF2A65"/>
    <w:rsid w:val="00C0707D"/>
    <w:rsid w:val="00C925D7"/>
    <w:rsid w:val="00CC7113"/>
    <w:rsid w:val="00CD010F"/>
    <w:rsid w:val="00CD6586"/>
    <w:rsid w:val="00CF5E96"/>
    <w:rsid w:val="00D163DA"/>
    <w:rsid w:val="00D71D99"/>
    <w:rsid w:val="00D754F2"/>
    <w:rsid w:val="00D9581B"/>
    <w:rsid w:val="00DB41C0"/>
    <w:rsid w:val="00DB42B4"/>
    <w:rsid w:val="00DC4DB6"/>
    <w:rsid w:val="00DD19EF"/>
    <w:rsid w:val="00DD4121"/>
    <w:rsid w:val="00E31F4D"/>
    <w:rsid w:val="00E55200"/>
    <w:rsid w:val="00E704C6"/>
    <w:rsid w:val="00E75830"/>
    <w:rsid w:val="00E947FD"/>
    <w:rsid w:val="00EA58FE"/>
    <w:rsid w:val="00ED15A2"/>
    <w:rsid w:val="00F12821"/>
    <w:rsid w:val="00F369E3"/>
    <w:rsid w:val="00F625AC"/>
    <w:rsid w:val="00F82050"/>
    <w:rsid w:val="00FA29D6"/>
    <w:rsid w:val="00FA611A"/>
    <w:rsid w:val="00FB3D24"/>
    <w:rsid w:val="00FB43F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ListParagraph">
    <w:name w:val="List Paragraph"/>
    <w:basedOn w:val="Normal"/>
    <w:uiPriority w:val="99"/>
    <w:qFormat/>
    <w:rsid w:val="00443C36"/>
    <w:pPr>
      <w:tabs>
        <w:tab w:val="left" w:pos="284"/>
        <w:tab w:val="left" w:pos="567"/>
        <w:tab w:val="left" w:pos="851"/>
        <w:tab w:val="left" w:pos="1134"/>
        <w:tab w:val="center" w:pos="4253"/>
        <w:tab w:val="right" w:pos="8278"/>
      </w:tabs>
      <w:ind w:left="720"/>
      <w:contextualSpacing/>
    </w:pPr>
    <w:rPr>
      <w:rFonts w:ascii="Courier New" w:hAnsi="Courier New"/>
      <w:sz w:val="20"/>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BalloonText">
    <w:name w:val="Balloon Text"/>
    <w:basedOn w:val="Normal"/>
    <w:link w:val="BalloonTextChar"/>
    <w:uiPriority w:val="99"/>
    <w:rsid w:val="00F82050"/>
    <w:rPr>
      <w:rFonts w:ascii="Tahoma" w:hAnsi="Tahoma" w:cs="Tahoma"/>
      <w:sz w:val="16"/>
      <w:szCs w:val="16"/>
    </w:rPr>
  </w:style>
  <w:style w:type="character" w:customStyle="1" w:styleId="BalloonTextChar">
    <w:name w:val="Balloon Text Char"/>
    <w:basedOn w:val="DefaultParagraphFont"/>
    <w:link w:val="BalloonText"/>
    <w:uiPriority w:val="99"/>
    <w:locked/>
    <w:rsid w:val="00F82050"/>
    <w:rPr>
      <w:rFonts w:ascii="Tahoma" w:hAnsi="Tahoma" w:cs="Tahoma"/>
      <w:sz w:val="16"/>
      <w:szCs w:val="16"/>
      <w:lang w:val="nl-NL" w:eastAsia="nl-NL"/>
    </w:rPr>
  </w:style>
  <w:style w:type="character" w:styleId="FootnoteReference">
    <w:name w:val="footnote reference"/>
    <w:basedOn w:val="DefaultParagraphFont"/>
    <w:uiPriority w:val="99"/>
    <w:rsid w:val="001412E4"/>
    <w:rPr>
      <w:rFonts w:cs="Times New Roman"/>
      <w:vertAlign w:val="superscript"/>
    </w:rPr>
  </w:style>
  <w:style w:type="paragraph" w:styleId="BodyTextIndent">
    <w:name w:val="Body Text Indent"/>
    <w:basedOn w:val="Normal"/>
    <w:link w:val="BodyTextIndentChar"/>
    <w:uiPriority w:val="99"/>
    <w:rsid w:val="001412E4"/>
    <w:pPr>
      <w:ind w:left="720"/>
    </w:pPr>
    <w:rPr>
      <w:i/>
      <w:sz w:val="24"/>
      <w:szCs w:val="20"/>
      <w:lang w:val="fr-BE" w:eastAsia="en-US"/>
    </w:rPr>
  </w:style>
  <w:style w:type="character" w:customStyle="1" w:styleId="BodyTextIndentChar">
    <w:name w:val="Body Text Indent Char"/>
    <w:basedOn w:val="DefaultParagraphFont"/>
    <w:link w:val="BodyTextIndent"/>
    <w:uiPriority w:val="99"/>
    <w:locked/>
    <w:rsid w:val="001412E4"/>
    <w:rPr>
      <w:rFonts w:cs="Times New Roman"/>
      <w:i/>
      <w:sz w:val="24"/>
      <w:lang w:val="fr-BE" w:eastAsia="en-US"/>
    </w:rPr>
  </w:style>
  <w:style w:type="paragraph" w:styleId="Revision">
    <w:name w:val="Revision"/>
    <w:hidden/>
    <w:uiPriority w:val="99"/>
    <w:semiHidden/>
    <w:rsid w:val="00F625AC"/>
    <w:rPr>
      <w:szCs w:val="24"/>
      <w:lang w:val="nl-NL" w:eastAsia="nl-NL"/>
    </w:rPr>
  </w:style>
  <w:style w:type="character" w:styleId="Hyperlink">
    <w:name w:val="Hyperlink"/>
    <w:basedOn w:val="DefaultParagraphFont"/>
    <w:uiPriority w:val="99"/>
    <w:rsid w:val="003432FC"/>
    <w:rPr>
      <w:rFonts w:cs="Times New Roman"/>
      <w:color w:val="0000FF"/>
      <w:u w:val="single"/>
    </w:rPr>
  </w:style>
  <w:style w:type="paragraph" w:customStyle="1" w:styleId="StandaardSV">
    <w:name w:val="Standaard SV"/>
    <w:basedOn w:val="Normal"/>
    <w:link w:val="StandaardSVChar"/>
    <w:uiPriority w:val="99"/>
    <w:rsid w:val="00281F23"/>
    <w:pPr>
      <w:jc w:val="both"/>
    </w:pPr>
    <w:rPr>
      <w:szCs w:val="20"/>
    </w:rPr>
  </w:style>
  <w:style w:type="character" w:customStyle="1" w:styleId="StandaardSVChar">
    <w:name w:val="Standaard SV Char"/>
    <w:basedOn w:val="DefaultParagraphFont"/>
    <w:link w:val="StandaardSV"/>
    <w:uiPriority w:val="99"/>
    <w:locked/>
    <w:rsid w:val="00281F23"/>
    <w:rPr>
      <w:rFonts w:cs="Times New Roman"/>
      <w:sz w:val="22"/>
      <w:lang w:val="nl-NL" w:eastAsia="nl-NL"/>
    </w:rPr>
  </w:style>
  <w:style w:type="table" w:styleId="TableGrid">
    <w:name w:val="Table Grid"/>
    <w:basedOn w:val="TableNormal"/>
    <w:uiPriority w:val="99"/>
    <w:rsid w:val="00281F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1F23"/>
    <w:pPr>
      <w:tabs>
        <w:tab w:val="left" w:pos="284"/>
        <w:tab w:val="left" w:pos="567"/>
        <w:tab w:val="left" w:pos="851"/>
        <w:tab w:val="center" w:pos="4111"/>
        <w:tab w:val="center" w:pos="4536"/>
        <w:tab w:val="right" w:pos="8789"/>
        <w:tab w:val="right" w:pos="9072"/>
      </w:tabs>
      <w:spacing w:after="120"/>
    </w:pPr>
    <w:rPr>
      <w:rFonts w:ascii="Garamond" w:hAnsi="Garamond"/>
      <w:sz w:val="20"/>
      <w:szCs w:val="20"/>
    </w:rPr>
  </w:style>
  <w:style w:type="character" w:customStyle="1" w:styleId="HeaderChar">
    <w:name w:val="Header Char"/>
    <w:basedOn w:val="DefaultParagraphFont"/>
    <w:link w:val="Header"/>
    <w:uiPriority w:val="99"/>
    <w:locked/>
    <w:rsid w:val="00281F23"/>
    <w:rPr>
      <w:rFonts w:ascii="Garamond" w:hAnsi="Garamond" w:cs="Times New Roman"/>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laanderen.be/publicaties" TargetMode="External"/><Relationship Id="rId3" Type="http://schemas.openxmlformats.org/officeDocument/2006/relationships/settings" Target="settings.xml"/><Relationship Id="rId7" Type="http://schemas.openxmlformats.org/officeDocument/2006/relationships/hyperlink" Target="http://www.vlaanderen.be/zeevisser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14</TotalTime>
  <Pages>3</Pages>
  <Words>1542</Words>
  <Characters>8484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6</cp:revision>
  <cp:lastPrinted>2010-10-18T09:17:00Z</cp:lastPrinted>
  <dcterms:created xsi:type="dcterms:W3CDTF">2010-10-18T09:07:00Z</dcterms:created>
  <dcterms:modified xsi:type="dcterms:W3CDTF">2010-10-20T14:06:00Z</dcterms:modified>
</cp:coreProperties>
</file>