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B7" w:rsidRPr="00A8473D" w:rsidRDefault="002730B7" w:rsidP="002730B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5431C7" w:rsidRDefault="005431C7">
      <w:pPr>
        <w:pBdr>
          <w:bottom w:val="single" w:sz="4" w:space="1" w:color="auto"/>
        </w:pBdr>
        <w:rPr>
          <w:sz w:val="22"/>
        </w:rPr>
      </w:pPr>
    </w:p>
    <w:p w:rsidR="005431C7" w:rsidRDefault="005431C7">
      <w:pPr>
        <w:rPr>
          <w:sz w:val="22"/>
        </w:rPr>
      </w:pPr>
    </w:p>
    <w:p w:rsidR="005431C7" w:rsidRDefault="005431C7">
      <w:pPr>
        <w:rPr>
          <w:b/>
          <w:smallCaps/>
          <w:sz w:val="22"/>
        </w:rPr>
      </w:pPr>
      <w:r>
        <w:rPr>
          <w:b/>
          <w:smallCaps/>
          <w:sz w:val="22"/>
        </w:rPr>
        <w:t>antwoord</w:t>
      </w:r>
    </w:p>
    <w:p w:rsidR="005431C7" w:rsidRDefault="005431C7">
      <w:pPr>
        <w:rPr>
          <w:sz w:val="22"/>
        </w:rPr>
      </w:pPr>
      <w:r>
        <w:rPr>
          <w:sz w:val="22"/>
        </w:rPr>
        <w:t xml:space="preserve">op vraag nr. </w:t>
      </w:r>
      <w:r w:rsidR="00CB06DA">
        <w:rPr>
          <w:sz w:val="22"/>
        </w:rPr>
        <w:t>346</w:t>
      </w:r>
      <w:r>
        <w:rPr>
          <w:sz w:val="22"/>
        </w:rPr>
        <w:t xml:space="preserve"> van </w:t>
      </w:r>
      <w:r w:rsidR="00CB06DA">
        <w:rPr>
          <w:sz w:val="22"/>
        </w:rPr>
        <w:t>13</w:t>
      </w:r>
      <w:r w:rsidR="006B4189">
        <w:rPr>
          <w:sz w:val="22"/>
        </w:rPr>
        <w:t xml:space="preserve"> september 2010</w:t>
      </w:r>
    </w:p>
    <w:p w:rsidR="005431C7" w:rsidRDefault="005431C7">
      <w:pPr>
        <w:rPr>
          <w:sz w:val="22"/>
        </w:rPr>
      </w:pPr>
      <w:r>
        <w:rPr>
          <w:sz w:val="22"/>
        </w:rPr>
        <w:t xml:space="preserve">van </w:t>
      </w:r>
      <w:proofErr w:type="spellStart"/>
      <w:r w:rsidR="004D13E3">
        <w:rPr>
          <w:b/>
          <w:smallCaps/>
          <w:sz w:val="22"/>
        </w:rPr>
        <w:t>marc</w:t>
      </w:r>
      <w:proofErr w:type="spellEnd"/>
      <w:r w:rsidR="004D13E3">
        <w:rPr>
          <w:b/>
          <w:smallCaps/>
          <w:sz w:val="22"/>
        </w:rPr>
        <w:t xml:space="preserve"> </w:t>
      </w:r>
      <w:proofErr w:type="spellStart"/>
      <w:r w:rsidR="004D13E3">
        <w:rPr>
          <w:b/>
          <w:smallCaps/>
          <w:sz w:val="22"/>
        </w:rPr>
        <w:t>hendrickx</w:t>
      </w:r>
      <w:proofErr w:type="spellEnd"/>
    </w:p>
    <w:p w:rsidR="005431C7" w:rsidRDefault="005431C7" w:rsidP="009976C1">
      <w:pPr>
        <w:pBdr>
          <w:bottom w:val="single" w:sz="4" w:space="1" w:color="auto"/>
        </w:pBdr>
        <w:jc w:val="both"/>
        <w:rPr>
          <w:sz w:val="22"/>
        </w:rPr>
      </w:pPr>
    </w:p>
    <w:p w:rsidR="005431C7" w:rsidRDefault="005431C7" w:rsidP="009976C1">
      <w:pPr>
        <w:jc w:val="both"/>
        <w:rPr>
          <w:sz w:val="22"/>
        </w:rPr>
      </w:pPr>
    </w:p>
    <w:p w:rsidR="006A324D" w:rsidRDefault="006A324D" w:rsidP="009976C1">
      <w:pPr>
        <w:jc w:val="both"/>
        <w:rPr>
          <w:sz w:val="22"/>
        </w:rPr>
      </w:pPr>
    </w:p>
    <w:p w:rsidR="00AB0AA4" w:rsidRDefault="00AB0AA4" w:rsidP="009976C1">
      <w:pPr>
        <w:jc w:val="both"/>
        <w:rPr>
          <w:sz w:val="22"/>
        </w:rPr>
        <w:sectPr w:rsidR="00AB0AA4">
          <w:pgSz w:w="11906" w:h="16838"/>
          <w:pgMar w:top="1417" w:right="1417" w:bottom="1417" w:left="1417" w:header="708" w:footer="708" w:gutter="0"/>
          <w:cols w:space="708"/>
          <w:docGrid w:linePitch="360"/>
        </w:sectPr>
      </w:pPr>
    </w:p>
    <w:p w:rsidR="00CB06DA" w:rsidRDefault="00CB06DA" w:rsidP="00CB06DA">
      <w:pPr>
        <w:pStyle w:val="StandaardSV"/>
        <w:rPr>
          <w:b/>
        </w:rPr>
      </w:pPr>
    </w:p>
    <w:p w:rsidR="00CB06DA" w:rsidRDefault="00CB06DA" w:rsidP="00CB06DA">
      <w:pPr>
        <w:pStyle w:val="StandaardSV"/>
        <w:ind w:left="440" w:hanging="440"/>
      </w:pPr>
      <w:r>
        <w:t>1.</w:t>
      </w:r>
      <w:r>
        <w:tab/>
        <w:t xml:space="preserve">Ik deel de mening dat het risico op onderbesteding van de begrote betalingskredieten verbonden is met de praktijk van </w:t>
      </w:r>
      <w:proofErr w:type="spellStart"/>
      <w:r>
        <w:t>enveloppefinanciering</w:t>
      </w:r>
      <w:proofErr w:type="spellEnd"/>
      <w:r>
        <w:t>. De voornaamste reden voor de onvolledige benutting van de betalingskredieten ligt in het feit dat de uitvoering van programma’s en projecten vaak trager verloopt dan gepland. Daardoor ligt het reële uitgavenritme regelmatig lager dan het gebudgetteerde uitgavenritme, met een onderbesteding van de betalingskredieten op jaarbasis tot gevolg.</w:t>
      </w:r>
    </w:p>
    <w:p w:rsidR="00CB06DA" w:rsidRDefault="00CB06DA" w:rsidP="00CB06DA">
      <w:pPr>
        <w:pStyle w:val="StandaardSV"/>
        <w:ind w:left="440" w:hanging="440"/>
      </w:pPr>
    </w:p>
    <w:p w:rsidR="00CB06DA" w:rsidRDefault="00CB06DA" w:rsidP="00CB06DA">
      <w:pPr>
        <w:ind w:left="440"/>
        <w:jc w:val="both"/>
        <w:rPr>
          <w:sz w:val="22"/>
          <w:szCs w:val="22"/>
        </w:rPr>
      </w:pPr>
      <w:r w:rsidRPr="00373B93">
        <w:rPr>
          <w:sz w:val="22"/>
          <w:szCs w:val="22"/>
        </w:rPr>
        <w:t>De redenen voor een vertraagde projectuitv</w:t>
      </w:r>
      <w:r>
        <w:rPr>
          <w:sz w:val="22"/>
          <w:szCs w:val="22"/>
        </w:rPr>
        <w:t>o</w:t>
      </w:r>
      <w:r w:rsidRPr="00373B93">
        <w:rPr>
          <w:sz w:val="22"/>
          <w:szCs w:val="22"/>
        </w:rPr>
        <w:t>ering zijn divers. Het kan gaan van interne problemen bij de uitvoerende overheid of partnerorganisatie (zoals onvoorziene personeels</w:t>
      </w:r>
      <w:r w:rsidRPr="00373B93">
        <w:rPr>
          <w:sz w:val="22"/>
          <w:szCs w:val="22"/>
        </w:rPr>
        <w:softHyphen/>
        <w:t>wissels, capaciteitsge</w:t>
      </w:r>
      <w:r w:rsidRPr="00373B93">
        <w:rPr>
          <w:sz w:val="22"/>
          <w:szCs w:val="22"/>
        </w:rPr>
        <w:softHyphen/>
        <w:t xml:space="preserve">brek, administratieve </w:t>
      </w:r>
      <w:proofErr w:type="spellStart"/>
      <w:r w:rsidRPr="00373B93">
        <w:rPr>
          <w:sz w:val="22"/>
          <w:szCs w:val="22"/>
        </w:rPr>
        <w:t>blokkages</w:t>
      </w:r>
      <w:proofErr w:type="spellEnd"/>
      <w:r w:rsidRPr="00373B93">
        <w:rPr>
          <w:sz w:val="22"/>
          <w:szCs w:val="22"/>
        </w:rPr>
        <w:t>) over onverwachte externe factoren (zoals landclaims</w:t>
      </w:r>
      <w:r>
        <w:rPr>
          <w:sz w:val="22"/>
          <w:szCs w:val="22"/>
        </w:rPr>
        <w:t>)</w:t>
      </w:r>
      <w:r w:rsidRPr="00373B93">
        <w:rPr>
          <w:sz w:val="22"/>
          <w:szCs w:val="22"/>
        </w:rPr>
        <w:t xml:space="preserve"> tot</w:t>
      </w:r>
      <w:r>
        <w:rPr>
          <w:sz w:val="22"/>
          <w:szCs w:val="22"/>
        </w:rPr>
        <w:t xml:space="preserve"> allerlei </w:t>
      </w:r>
      <w:r w:rsidRPr="00373B93">
        <w:rPr>
          <w:sz w:val="22"/>
          <w:szCs w:val="22"/>
        </w:rPr>
        <w:t xml:space="preserve">wijzigingen in de politieke of de maatschappelijke omgeving. </w:t>
      </w:r>
      <w:r>
        <w:rPr>
          <w:sz w:val="22"/>
          <w:szCs w:val="22"/>
        </w:rPr>
        <w:t>De traagheid kan echter ook verband</w:t>
      </w:r>
      <w:r w:rsidRPr="00373B93">
        <w:rPr>
          <w:sz w:val="22"/>
          <w:szCs w:val="22"/>
        </w:rPr>
        <w:t xml:space="preserve"> houden met de gekozen werkwijze, </w:t>
      </w:r>
      <w:r>
        <w:rPr>
          <w:sz w:val="22"/>
          <w:szCs w:val="22"/>
        </w:rPr>
        <w:t xml:space="preserve">en </w:t>
      </w:r>
      <w:r w:rsidRPr="00373B93">
        <w:rPr>
          <w:sz w:val="22"/>
          <w:szCs w:val="22"/>
        </w:rPr>
        <w:t xml:space="preserve">het </w:t>
      </w:r>
      <w:r>
        <w:rPr>
          <w:sz w:val="22"/>
          <w:szCs w:val="22"/>
        </w:rPr>
        <w:t xml:space="preserve">gewenste </w:t>
      </w:r>
      <w:r w:rsidRPr="00373B93">
        <w:rPr>
          <w:sz w:val="22"/>
          <w:szCs w:val="22"/>
        </w:rPr>
        <w:t xml:space="preserve">respect voor het eigenaarschap van de partner. Indien de Vlaamse overheid projecten </w:t>
      </w:r>
      <w:r>
        <w:rPr>
          <w:sz w:val="22"/>
          <w:szCs w:val="22"/>
        </w:rPr>
        <w:t xml:space="preserve">vaker </w:t>
      </w:r>
      <w:r w:rsidRPr="00373B93">
        <w:rPr>
          <w:sz w:val="22"/>
          <w:szCs w:val="22"/>
        </w:rPr>
        <w:t xml:space="preserve">zelf zou uitvoeren - met behulp van eigen technische assistenten - zou </w:t>
      </w:r>
      <w:r>
        <w:rPr>
          <w:sz w:val="22"/>
          <w:szCs w:val="22"/>
        </w:rPr>
        <w:t>nu en dan allicht aan</w:t>
      </w:r>
      <w:r w:rsidRPr="00373B93">
        <w:rPr>
          <w:sz w:val="22"/>
          <w:szCs w:val="22"/>
        </w:rPr>
        <w:t xml:space="preserve"> een sneller tempo </w:t>
      </w:r>
      <w:r>
        <w:rPr>
          <w:sz w:val="22"/>
          <w:szCs w:val="22"/>
        </w:rPr>
        <w:t>kunnen worden uitgevoerd en uitbetaald.</w:t>
      </w:r>
    </w:p>
    <w:p w:rsidR="00CB06DA" w:rsidRDefault="00CB06DA" w:rsidP="00CB06DA">
      <w:pPr>
        <w:ind w:left="440"/>
        <w:jc w:val="both"/>
        <w:rPr>
          <w:sz w:val="22"/>
          <w:szCs w:val="22"/>
        </w:rPr>
      </w:pPr>
    </w:p>
    <w:p w:rsidR="00CB06DA" w:rsidRPr="00373B93" w:rsidRDefault="00CB06DA" w:rsidP="00CB06DA">
      <w:pPr>
        <w:ind w:left="440"/>
        <w:jc w:val="both"/>
        <w:rPr>
          <w:sz w:val="22"/>
          <w:szCs w:val="22"/>
        </w:rPr>
      </w:pPr>
      <w:r>
        <w:rPr>
          <w:sz w:val="22"/>
          <w:szCs w:val="22"/>
        </w:rPr>
        <w:t xml:space="preserve">De onderbenutting van de betalingskredieten hangt ten slotte ook samen met een volgehouden combinatie van voorzichtige begrotingsopmaak en zorgvuldige controle op de correcte aanwending van de ter beschikking gestelde financiële middelen. </w:t>
      </w:r>
    </w:p>
    <w:p w:rsidR="00CB06DA" w:rsidRDefault="00CB06DA" w:rsidP="00CB06DA">
      <w:pPr>
        <w:pStyle w:val="StandaardSV"/>
        <w:ind w:left="770" w:hanging="330"/>
      </w:pPr>
    </w:p>
    <w:p w:rsidR="00D15028" w:rsidRDefault="00D15028" w:rsidP="00CB06DA">
      <w:pPr>
        <w:pStyle w:val="StandaardSV"/>
        <w:ind w:left="770" w:hanging="330"/>
      </w:pPr>
    </w:p>
    <w:p w:rsidR="00D15028" w:rsidRDefault="00D15028" w:rsidP="00D15028">
      <w:pPr>
        <w:pStyle w:val="StandaardSV"/>
        <w:numPr>
          <w:ilvl w:val="0"/>
          <w:numId w:val="6"/>
        </w:numPr>
        <w:tabs>
          <w:tab w:val="clear" w:pos="720"/>
          <w:tab w:val="num" w:pos="440"/>
        </w:tabs>
        <w:ind w:left="440" w:hanging="440"/>
      </w:pPr>
      <w:r>
        <w:t>Als bijlage gaat een gedetailleerd overzicht van de projecten en de bedragen.</w:t>
      </w:r>
    </w:p>
    <w:p w:rsidR="00D15028" w:rsidRDefault="00D15028" w:rsidP="00D15028">
      <w:pPr>
        <w:pStyle w:val="StandaardSV"/>
        <w:rPr>
          <w:b/>
        </w:rPr>
        <w:sectPr w:rsidR="00D15028" w:rsidSect="00DA6701">
          <w:type w:val="continuous"/>
          <w:pgSz w:w="11906" w:h="16838"/>
          <w:pgMar w:top="1418" w:right="1418" w:bottom="1418" w:left="1418" w:header="709" w:footer="709" w:gutter="0"/>
          <w:cols w:space="708"/>
          <w:docGrid w:linePitch="360"/>
        </w:sectPr>
      </w:pPr>
    </w:p>
    <w:p w:rsidR="00D15028" w:rsidRPr="00E4686B" w:rsidRDefault="00D15028" w:rsidP="00D15028">
      <w:pPr>
        <w:pStyle w:val="StandaardSV"/>
        <w:rPr>
          <w:b/>
        </w:rPr>
      </w:pPr>
      <w:r w:rsidRPr="00E4686B">
        <w:rPr>
          <w:b/>
        </w:rPr>
        <w:lastRenderedPageBreak/>
        <w:t>BIJLAGE</w:t>
      </w:r>
    </w:p>
    <w:p w:rsidR="00D15028" w:rsidRDefault="00D15028" w:rsidP="00D15028">
      <w:pPr>
        <w:pStyle w:val="StandaardSV"/>
        <w:ind w:left="360"/>
      </w:pPr>
    </w:p>
    <w:tbl>
      <w:tblPr>
        <w:tblW w:w="14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0"/>
        <w:gridCol w:w="1430"/>
        <w:gridCol w:w="9570"/>
      </w:tblGrid>
      <w:tr w:rsidR="00D15028" w:rsidRPr="00D31738" w:rsidTr="002E46CE">
        <w:trPr>
          <w:trHeight w:val="307"/>
        </w:trPr>
        <w:tc>
          <w:tcPr>
            <w:tcW w:w="3300" w:type="dxa"/>
            <w:shd w:val="clear" w:color="auto" w:fill="C0C0C0"/>
            <w:vAlign w:val="center"/>
          </w:tcPr>
          <w:p w:rsidR="00D15028" w:rsidRPr="00D31738" w:rsidRDefault="00D15028" w:rsidP="002E46CE">
            <w:pPr>
              <w:rPr>
                <w:b/>
                <w:bCs/>
                <w:i/>
                <w:color w:val="000000"/>
                <w:sz w:val="22"/>
                <w:szCs w:val="22"/>
              </w:rPr>
            </w:pPr>
            <w:r>
              <w:br w:type="page"/>
            </w:r>
            <w:r w:rsidRPr="00D31738">
              <w:rPr>
                <w:b/>
                <w:bCs/>
                <w:i/>
                <w:color w:val="000000"/>
                <w:sz w:val="22"/>
                <w:szCs w:val="22"/>
              </w:rPr>
              <w:t>Projecttitel</w:t>
            </w:r>
          </w:p>
        </w:tc>
        <w:tc>
          <w:tcPr>
            <w:tcW w:w="1430" w:type="dxa"/>
            <w:shd w:val="clear" w:color="auto" w:fill="C0C0C0"/>
            <w:vAlign w:val="center"/>
          </w:tcPr>
          <w:p w:rsidR="00D15028" w:rsidRPr="00D31738" w:rsidRDefault="00D15028" w:rsidP="002E46CE">
            <w:pPr>
              <w:jc w:val="center"/>
              <w:rPr>
                <w:b/>
                <w:bCs/>
                <w:i/>
                <w:color w:val="000000"/>
                <w:sz w:val="22"/>
                <w:szCs w:val="22"/>
              </w:rPr>
            </w:pPr>
            <w:r w:rsidRPr="00D31738">
              <w:rPr>
                <w:b/>
                <w:bCs/>
                <w:i/>
                <w:color w:val="000000"/>
                <w:sz w:val="22"/>
                <w:szCs w:val="22"/>
              </w:rPr>
              <w:t>Afwijking voor 2009</w:t>
            </w:r>
          </w:p>
        </w:tc>
        <w:tc>
          <w:tcPr>
            <w:tcW w:w="9570" w:type="dxa"/>
            <w:shd w:val="clear" w:color="auto" w:fill="C0C0C0"/>
            <w:vAlign w:val="center"/>
          </w:tcPr>
          <w:p w:rsidR="00D15028" w:rsidRPr="00D31738" w:rsidRDefault="00D15028" w:rsidP="002E46CE">
            <w:pPr>
              <w:rPr>
                <w:b/>
                <w:bCs/>
                <w:color w:val="000000"/>
                <w:sz w:val="22"/>
                <w:szCs w:val="22"/>
              </w:rPr>
            </w:pPr>
          </w:p>
          <w:p w:rsidR="00D15028" w:rsidRPr="00D31738" w:rsidRDefault="00D15028" w:rsidP="002E46CE">
            <w:pPr>
              <w:rPr>
                <w:b/>
                <w:bCs/>
                <w:i/>
                <w:color w:val="000000"/>
                <w:sz w:val="22"/>
                <w:szCs w:val="22"/>
              </w:rPr>
            </w:pPr>
            <w:r w:rsidRPr="00D31738">
              <w:rPr>
                <w:b/>
                <w:bCs/>
                <w:i/>
                <w:color w:val="000000"/>
                <w:sz w:val="22"/>
                <w:szCs w:val="22"/>
              </w:rPr>
              <w:t>Reden van vertraagde uitbetaling</w:t>
            </w:r>
          </w:p>
          <w:p w:rsidR="00D15028" w:rsidRPr="00D31738" w:rsidRDefault="00D15028" w:rsidP="002E46CE">
            <w:pPr>
              <w:rPr>
                <w:sz w:val="22"/>
                <w:szCs w:val="22"/>
              </w:rPr>
            </w:pPr>
          </w:p>
        </w:tc>
      </w:tr>
      <w:tr w:rsidR="00D15028" w:rsidRPr="00D31738" w:rsidTr="002E46CE">
        <w:trPr>
          <w:trHeight w:val="361"/>
        </w:trPr>
        <w:tc>
          <w:tcPr>
            <w:tcW w:w="3300" w:type="dxa"/>
          </w:tcPr>
          <w:p w:rsidR="00D15028" w:rsidRPr="00D31738" w:rsidRDefault="00D15028" w:rsidP="002E46CE">
            <w:pPr>
              <w:rPr>
                <w:sz w:val="22"/>
                <w:szCs w:val="22"/>
                <w:lang w:val="en-GB"/>
              </w:rPr>
            </w:pPr>
            <w:proofErr w:type="spellStart"/>
            <w:r w:rsidRPr="00D31738">
              <w:rPr>
                <w:sz w:val="22"/>
                <w:szCs w:val="22"/>
                <w:lang w:val="en-GB"/>
              </w:rPr>
              <w:t>Freestate</w:t>
            </w:r>
            <w:proofErr w:type="spellEnd"/>
            <w:r w:rsidRPr="00D31738">
              <w:rPr>
                <w:sz w:val="22"/>
                <w:szCs w:val="22"/>
                <w:lang w:val="en-GB"/>
              </w:rPr>
              <w:t xml:space="preserve"> Youth Development Centre Project</w:t>
            </w:r>
          </w:p>
        </w:tc>
        <w:tc>
          <w:tcPr>
            <w:tcW w:w="1430" w:type="dxa"/>
          </w:tcPr>
          <w:p w:rsidR="00D15028" w:rsidRPr="00D31738" w:rsidRDefault="00D15028" w:rsidP="002E46CE">
            <w:pPr>
              <w:ind w:right="2"/>
              <w:jc w:val="right"/>
              <w:rPr>
                <w:sz w:val="22"/>
                <w:szCs w:val="22"/>
              </w:rPr>
            </w:pPr>
            <w:r w:rsidRPr="00D31738">
              <w:rPr>
                <w:sz w:val="22"/>
                <w:szCs w:val="22"/>
              </w:rPr>
              <w:t>€ 60.110</w:t>
            </w:r>
          </w:p>
          <w:p w:rsidR="00D15028" w:rsidRPr="00D31738" w:rsidRDefault="00D15028" w:rsidP="002E46CE">
            <w:pPr>
              <w:ind w:right="2"/>
              <w:jc w:val="right"/>
              <w:rPr>
                <w:sz w:val="22"/>
                <w:szCs w:val="22"/>
              </w:rPr>
            </w:pPr>
          </w:p>
        </w:tc>
        <w:tc>
          <w:tcPr>
            <w:tcW w:w="9570" w:type="dxa"/>
          </w:tcPr>
          <w:p w:rsidR="00D15028" w:rsidRPr="00D31738" w:rsidRDefault="00D15028" w:rsidP="002E46CE">
            <w:pPr>
              <w:jc w:val="both"/>
              <w:rPr>
                <w:sz w:val="22"/>
                <w:szCs w:val="22"/>
              </w:rPr>
            </w:pPr>
            <w:r w:rsidRPr="00D31738">
              <w:rPr>
                <w:sz w:val="22"/>
                <w:szCs w:val="22"/>
              </w:rPr>
              <w:t>Dit project werd nooit opgestart door het Departement Gezondheid van de provincie Vrij</w:t>
            </w:r>
            <w:r w:rsidRPr="00D31738">
              <w:rPr>
                <w:sz w:val="22"/>
                <w:szCs w:val="22"/>
              </w:rPr>
              <w:softHyphen/>
              <w:t>staat. Daarom werd het projectdossier gestopt en afgesloten.</w:t>
            </w:r>
          </w:p>
        </w:tc>
      </w:tr>
      <w:tr w:rsidR="00D15028" w:rsidRPr="00D31738" w:rsidTr="002E46CE">
        <w:trPr>
          <w:trHeight w:val="256"/>
        </w:trPr>
        <w:tc>
          <w:tcPr>
            <w:tcW w:w="3300" w:type="dxa"/>
          </w:tcPr>
          <w:p w:rsidR="00D15028" w:rsidRPr="00D31738" w:rsidRDefault="00D15028" w:rsidP="002E46CE">
            <w:pPr>
              <w:rPr>
                <w:sz w:val="22"/>
                <w:szCs w:val="22"/>
                <w:lang w:val="en-GB"/>
              </w:rPr>
            </w:pPr>
            <w:r w:rsidRPr="00D31738">
              <w:rPr>
                <w:sz w:val="22"/>
                <w:szCs w:val="22"/>
                <w:lang w:val="en-GB"/>
              </w:rPr>
              <w:t xml:space="preserve">Children at risk in </w:t>
            </w:r>
            <w:smartTag w:uri="urn:schemas-microsoft-com:office:smarttags" w:element="place">
              <w:smartTag w:uri="urn:schemas-microsoft-com:office:smarttags" w:element="State">
                <w:r w:rsidRPr="00D31738">
                  <w:rPr>
                    <w:sz w:val="22"/>
                    <w:szCs w:val="22"/>
                    <w:lang w:val="en-GB"/>
                  </w:rPr>
                  <w:t>Free State</w:t>
                </w:r>
              </w:smartTag>
            </w:smartTag>
          </w:p>
        </w:tc>
        <w:tc>
          <w:tcPr>
            <w:tcW w:w="1430" w:type="dxa"/>
          </w:tcPr>
          <w:p w:rsidR="00D15028" w:rsidRPr="00D31738" w:rsidRDefault="00D15028" w:rsidP="002E46CE">
            <w:pPr>
              <w:ind w:right="2"/>
              <w:jc w:val="right"/>
              <w:rPr>
                <w:sz w:val="22"/>
                <w:szCs w:val="22"/>
              </w:rPr>
            </w:pPr>
            <w:r w:rsidRPr="00D31738">
              <w:rPr>
                <w:sz w:val="22"/>
                <w:szCs w:val="22"/>
              </w:rPr>
              <w:t>€ 82.638</w:t>
            </w:r>
          </w:p>
        </w:tc>
        <w:tc>
          <w:tcPr>
            <w:tcW w:w="9570" w:type="dxa"/>
          </w:tcPr>
          <w:p w:rsidR="00D15028" w:rsidRPr="00D31738" w:rsidRDefault="00D15028" w:rsidP="002E46CE">
            <w:pPr>
              <w:jc w:val="both"/>
              <w:rPr>
                <w:sz w:val="22"/>
                <w:szCs w:val="22"/>
              </w:rPr>
            </w:pPr>
            <w:r w:rsidRPr="00D31738">
              <w:rPr>
                <w:sz w:val="22"/>
                <w:szCs w:val="22"/>
              </w:rPr>
              <w:t xml:space="preserve">Dit project werd verlengd tot 31 mei 2011. Het project was lang geblokkeerd als gevolg van interne problemen in het departement </w:t>
            </w:r>
            <w:proofErr w:type="spellStart"/>
            <w:r w:rsidRPr="00D31738">
              <w:rPr>
                <w:sz w:val="22"/>
                <w:szCs w:val="22"/>
              </w:rPr>
              <w:t>Social</w:t>
            </w:r>
            <w:proofErr w:type="spellEnd"/>
            <w:r w:rsidRPr="00D31738">
              <w:rPr>
                <w:sz w:val="22"/>
                <w:szCs w:val="22"/>
              </w:rPr>
              <w:t xml:space="preserve"> Welfare.</w:t>
            </w:r>
          </w:p>
        </w:tc>
      </w:tr>
      <w:tr w:rsidR="00D15028" w:rsidRPr="00D31738" w:rsidTr="002E46CE">
        <w:trPr>
          <w:trHeight w:val="876"/>
        </w:trPr>
        <w:tc>
          <w:tcPr>
            <w:tcW w:w="3300" w:type="dxa"/>
          </w:tcPr>
          <w:p w:rsidR="00D15028" w:rsidRPr="00D31738" w:rsidRDefault="00D15028" w:rsidP="002E46CE">
            <w:pPr>
              <w:rPr>
                <w:sz w:val="22"/>
                <w:szCs w:val="22"/>
                <w:lang w:val="en-GB"/>
              </w:rPr>
            </w:pPr>
            <w:r w:rsidRPr="00D31738">
              <w:rPr>
                <w:sz w:val="22"/>
                <w:szCs w:val="22"/>
                <w:lang w:val="en-GB"/>
              </w:rPr>
              <w:t>Housing Consumer Education II</w:t>
            </w:r>
          </w:p>
        </w:tc>
        <w:tc>
          <w:tcPr>
            <w:tcW w:w="1430" w:type="dxa"/>
          </w:tcPr>
          <w:p w:rsidR="00D15028" w:rsidRPr="00D31738" w:rsidRDefault="00D15028" w:rsidP="002E46CE">
            <w:pPr>
              <w:ind w:right="2"/>
              <w:jc w:val="right"/>
              <w:rPr>
                <w:sz w:val="22"/>
                <w:szCs w:val="22"/>
              </w:rPr>
            </w:pPr>
            <w:r w:rsidRPr="00D31738">
              <w:rPr>
                <w:sz w:val="22"/>
                <w:szCs w:val="22"/>
              </w:rPr>
              <w:t>€ 37.205</w:t>
            </w:r>
          </w:p>
        </w:tc>
        <w:tc>
          <w:tcPr>
            <w:tcW w:w="9570" w:type="dxa"/>
          </w:tcPr>
          <w:p w:rsidR="00D15028" w:rsidRPr="00D31738" w:rsidRDefault="00D15028" w:rsidP="002E46CE">
            <w:pPr>
              <w:jc w:val="both"/>
              <w:rPr>
                <w:b/>
                <w:color w:val="FF0000"/>
                <w:sz w:val="22"/>
                <w:szCs w:val="22"/>
                <w:u w:val="single"/>
              </w:rPr>
            </w:pPr>
            <w:r w:rsidRPr="00D31738">
              <w:rPr>
                <w:sz w:val="22"/>
                <w:szCs w:val="22"/>
              </w:rPr>
              <w:t>Het project verloor aanzienlijke tijd door complicaties m.b.t. een overheids</w:t>
            </w:r>
            <w:r w:rsidRPr="00D31738">
              <w:rPr>
                <w:sz w:val="22"/>
                <w:szCs w:val="22"/>
              </w:rPr>
              <w:softHyphen/>
              <w:t>opdracht. Het laatste voort</w:t>
            </w:r>
            <w:r w:rsidRPr="00D31738">
              <w:rPr>
                <w:sz w:val="22"/>
                <w:szCs w:val="22"/>
              </w:rPr>
              <w:softHyphen/>
              <w:t>gangs</w:t>
            </w:r>
            <w:r w:rsidRPr="00D31738">
              <w:rPr>
                <w:sz w:val="22"/>
                <w:szCs w:val="22"/>
              </w:rPr>
              <w:softHyphen/>
              <w:t>rapport betreft de periode maart tot oktober 2009 en geeft een positief beeld over de vorde</w:t>
            </w:r>
            <w:r w:rsidRPr="00D31738">
              <w:rPr>
                <w:sz w:val="22"/>
                <w:szCs w:val="22"/>
              </w:rPr>
              <w:softHyphen/>
              <w:t>ringen binnen het project, rekening houdende met de achterstand. </w:t>
            </w:r>
          </w:p>
        </w:tc>
      </w:tr>
      <w:tr w:rsidR="00D15028" w:rsidRPr="00D31738" w:rsidTr="002E46CE">
        <w:trPr>
          <w:trHeight w:val="634"/>
        </w:trPr>
        <w:tc>
          <w:tcPr>
            <w:tcW w:w="3300" w:type="dxa"/>
          </w:tcPr>
          <w:p w:rsidR="00D15028" w:rsidRPr="00D31738" w:rsidRDefault="00D15028" w:rsidP="002E46CE">
            <w:pPr>
              <w:rPr>
                <w:sz w:val="22"/>
                <w:szCs w:val="22"/>
                <w:lang w:val="en-GB"/>
              </w:rPr>
            </w:pPr>
            <w:r w:rsidRPr="00D31738">
              <w:rPr>
                <w:sz w:val="22"/>
                <w:szCs w:val="22"/>
                <w:lang w:val="en-GB"/>
              </w:rPr>
              <w:t>Empowerment for food security programme ‘05-‘09</w:t>
            </w:r>
          </w:p>
        </w:tc>
        <w:tc>
          <w:tcPr>
            <w:tcW w:w="1430" w:type="dxa"/>
          </w:tcPr>
          <w:p w:rsidR="00D15028" w:rsidRPr="00D31738" w:rsidRDefault="00D15028" w:rsidP="002E46CE">
            <w:pPr>
              <w:ind w:right="2"/>
              <w:jc w:val="right"/>
              <w:rPr>
                <w:sz w:val="22"/>
                <w:szCs w:val="22"/>
              </w:rPr>
            </w:pPr>
            <w:r w:rsidRPr="00D31738">
              <w:rPr>
                <w:sz w:val="22"/>
                <w:szCs w:val="22"/>
              </w:rPr>
              <w:t>€ 1.500.000</w:t>
            </w:r>
          </w:p>
          <w:p w:rsidR="00D15028" w:rsidRPr="00D31738" w:rsidRDefault="00D15028" w:rsidP="002E46CE">
            <w:pPr>
              <w:ind w:right="2"/>
              <w:jc w:val="right"/>
              <w:rPr>
                <w:sz w:val="22"/>
                <w:szCs w:val="22"/>
                <w:lang w:val="en-GB"/>
              </w:rPr>
            </w:pPr>
          </w:p>
        </w:tc>
        <w:tc>
          <w:tcPr>
            <w:tcW w:w="9570" w:type="dxa"/>
          </w:tcPr>
          <w:p w:rsidR="00D15028" w:rsidRPr="00D31738" w:rsidRDefault="00D15028" w:rsidP="002E46CE">
            <w:pPr>
              <w:jc w:val="both"/>
              <w:rPr>
                <w:sz w:val="22"/>
                <w:szCs w:val="22"/>
              </w:rPr>
            </w:pPr>
            <w:r w:rsidRPr="00D31738">
              <w:rPr>
                <w:sz w:val="22"/>
                <w:szCs w:val="22"/>
              </w:rPr>
              <w:t>Voor dit project was een tweede schijf van € 1.500.000 voor</w:t>
            </w:r>
            <w:r w:rsidRPr="00D31738">
              <w:rPr>
                <w:sz w:val="22"/>
                <w:szCs w:val="22"/>
              </w:rPr>
              <w:softHyphen/>
              <w:t xml:space="preserve">zien voor 2009. In 2009 werd het programma onderworpen aan een tussentijdse evaluatie en een financiële </w:t>
            </w:r>
            <w:proofErr w:type="spellStart"/>
            <w:r w:rsidRPr="00D31738">
              <w:rPr>
                <w:sz w:val="22"/>
                <w:szCs w:val="22"/>
              </w:rPr>
              <w:t>audit</w:t>
            </w:r>
            <w:proofErr w:type="spellEnd"/>
            <w:r w:rsidRPr="00D31738">
              <w:rPr>
                <w:sz w:val="22"/>
                <w:szCs w:val="22"/>
              </w:rPr>
              <w:t>. De rapporten daarover leverden belangrijke aanbevelingen op met betrekking tot de verbe</w:t>
            </w:r>
            <w:r w:rsidRPr="00D31738">
              <w:rPr>
                <w:sz w:val="22"/>
                <w:szCs w:val="22"/>
              </w:rPr>
              <w:softHyphen/>
              <w:t>tering van het management. De uitbetaling van de volgende schijf werd uitgesteld tot de partnerorganisatie een aangepast beheersplan zou voorleggen.</w:t>
            </w:r>
          </w:p>
        </w:tc>
      </w:tr>
      <w:tr w:rsidR="00D15028" w:rsidRPr="00D31738" w:rsidTr="002E46CE">
        <w:trPr>
          <w:trHeight w:val="1056"/>
        </w:trPr>
        <w:tc>
          <w:tcPr>
            <w:tcW w:w="3300" w:type="dxa"/>
          </w:tcPr>
          <w:p w:rsidR="00D15028" w:rsidRPr="00D31738" w:rsidRDefault="00D15028" w:rsidP="002E46CE">
            <w:pPr>
              <w:rPr>
                <w:sz w:val="22"/>
                <w:szCs w:val="22"/>
              </w:rPr>
            </w:pPr>
            <w:proofErr w:type="spellStart"/>
            <w:r w:rsidRPr="00D31738">
              <w:rPr>
                <w:sz w:val="22"/>
                <w:szCs w:val="22"/>
              </w:rPr>
              <w:t>Agribusiness</w:t>
            </w:r>
            <w:proofErr w:type="spellEnd"/>
            <w:r w:rsidRPr="00D31738">
              <w:rPr>
                <w:sz w:val="22"/>
                <w:szCs w:val="22"/>
              </w:rPr>
              <w:t xml:space="preserve"> </w:t>
            </w:r>
            <w:proofErr w:type="spellStart"/>
            <w:r w:rsidRPr="00D31738">
              <w:rPr>
                <w:sz w:val="22"/>
                <w:szCs w:val="22"/>
              </w:rPr>
              <w:t>Development</w:t>
            </w:r>
            <w:proofErr w:type="spellEnd"/>
            <w:r w:rsidRPr="00D31738">
              <w:rPr>
                <w:sz w:val="22"/>
                <w:szCs w:val="22"/>
              </w:rPr>
              <w:t xml:space="preserve"> </w:t>
            </w:r>
            <w:proofErr w:type="spellStart"/>
            <w:r w:rsidRPr="00D31738">
              <w:rPr>
                <w:sz w:val="22"/>
                <w:szCs w:val="22"/>
              </w:rPr>
              <w:t>Academy</w:t>
            </w:r>
            <w:proofErr w:type="spellEnd"/>
            <w:r w:rsidRPr="00D31738">
              <w:rPr>
                <w:sz w:val="22"/>
                <w:szCs w:val="22"/>
              </w:rPr>
              <w:t xml:space="preserve"> </w:t>
            </w:r>
            <w:proofErr w:type="spellStart"/>
            <w:r w:rsidRPr="00D31738">
              <w:rPr>
                <w:sz w:val="22"/>
                <w:szCs w:val="22"/>
              </w:rPr>
              <w:t>Programme</w:t>
            </w:r>
            <w:proofErr w:type="spellEnd"/>
          </w:p>
        </w:tc>
        <w:tc>
          <w:tcPr>
            <w:tcW w:w="1430" w:type="dxa"/>
          </w:tcPr>
          <w:p w:rsidR="00D15028" w:rsidRPr="00D31738" w:rsidRDefault="00D15028" w:rsidP="002E46CE">
            <w:pPr>
              <w:ind w:right="2"/>
              <w:jc w:val="right"/>
              <w:rPr>
                <w:sz w:val="22"/>
                <w:szCs w:val="22"/>
              </w:rPr>
            </w:pPr>
            <w:r w:rsidRPr="00D31738">
              <w:rPr>
                <w:sz w:val="22"/>
                <w:szCs w:val="22"/>
              </w:rPr>
              <w:t>€ 1.500.000</w:t>
            </w:r>
          </w:p>
          <w:p w:rsidR="00D15028" w:rsidRPr="00D31738" w:rsidRDefault="00D15028" w:rsidP="002E46CE">
            <w:pPr>
              <w:ind w:right="2"/>
              <w:jc w:val="right"/>
              <w:rPr>
                <w:sz w:val="22"/>
                <w:szCs w:val="22"/>
              </w:rPr>
            </w:pPr>
          </w:p>
        </w:tc>
        <w:tc>
          <w:tcPr>
            <w:tcW w:w="9570" w:type="dxa"/>
          </w:tcPr>
          <w:p w:rsidR="00D15028" w:rsidRPr="00D31738" w:rsidRDefault="00D15028" w:rsidP="002E46CE">
            <w:pPr>
              <w:jc w:val="both"/>
              <w:rPr>
                <w:sz w:val="22"/>
                <w:szCs w:val="22"/>
              </w:rPr>
            </w:pPr>
            <w:r w:rsidRPr="00D31738">
              <w:rPr>
                <w:sz w:val="22"/>
                <w:szCs w:val="22"/>
              </w:rPr>
              <w:t>Voor dit project was een tweede schijf van € 1.500.000 voor</w:t>
            </w:r>
            <w:r w:rsidRPr="00D31738">
              <w:rPr>
                <w:sz w:val="22"/>
                <w:szCs w:val="22"/>
              </w:rPr>
              <w:softHyphen/>
              <w:t xml:space="preserve">zien voor 2009. In 2009 werd het programma onderworpen aan een tussentijdse evaluatie en een financiële </w:t>
            </w:r>
            <w:proofErr w:type="spellStart"/>
            <w:r w:rsidRPr="00D31738">
              <w:rPr>
                <w:sz w:val="22"/>
                <w:szCs w:val="22"/>
              </w:rPr>
              <w:t>audit</w:t>
            </w:r>
            <w:proofErr w:type="spellEnd"/>
            <w:r w:rsidRPr="00D31738">
              <w:rPr>
                <w:sz w:val="22"/>
                <w:szCs w:val="22"/>
              </w:rPr>
              <w:t>. De rapporten daarover leverden belangrijke aanbevelingen op met betrekking tot de verbe</w:t>
            </w:r>
            <w:r w:rsidRPr="00D31738">
              <w:rPr>
                <w:sz w:val="22"/>
                <w:szCs w:val="22"/>
              </w:rPr>
              <w:softHyphen/>
              <w:t>tering van het management. De uitbetaling van de volgende schijf werd uitgesteld tot de partnerorganisatie een aangepast beheersplan zou voorleggen. Dit gebeurde ondertussen, waardoor in 2010 een schijf van € 750.000 voor betaling werd ingeleid.</w:t>
            </w:r>
          </w:p>
        </w:tc>
      </w:tr>
      <w:tr w:rsidR="00D15028" w:rsidRPr="00D31738" w:rsidTr="002E46CE">
        <w:tc>
          <w:tcPr>
            <w:tcW w:w="3300" w:type="dxa"/>
          </w:tcPr>
          <w:p w:rsidR="00D15028" w:rsidRPr="00D31738" w:rsidRDefault="00D15028" w:rsidP="002E46CE">
            <w:pPr>
              <w:rPr>
                <w:sz w:val="22"/>
                <w:szCs w:val="22"/>
                <w:lang w:val="en-GB"/>
              </w:rPr>
            </w:pPr>
            <w:r w:rsidRPr="00D31738">
              <w:rPr>
                <w:sz w:val="22"/>
                <w:szCs w:val="22"/>
                <w:lang w:val="en-GB"/>
              </w:rPr>
              <w:t>Social Economy-Community Invest</w:t>
            </w:r>
            <w:r w:rsidRPr="00D31738">
              <w:rPr>
                <w:sz w:val="22"/>
                <w:szCs w:val="22"/>
                <w:lang w:val="en-GB"/>
              </w:rPr>
              <w:softHyphen/>
              <w:t>ment Programme on Local Economic Development</w:t>
            </w:r>
          </w:p>
        </w:tc>
        <w:tc>
          <w:tcPr>
            <w:tcW w:w="1430" w:type="dxa"/>
          </w:tcPr>
          <w:p w:rsidR="00D15028" w:rsidRPr="00D31738" w:rsidRDefault="00D15028" w:rsidP="002E46CE">
            <w:pPr>
              <w:ind w:right="2"/>
              <w:jc w:val="right"/>
              <w:rPr>
                <w:sz w:val="22"/>
                <w:szCs w:val="22"/>
              </w:rPr>
            </w:pPr>
            <w:r w:rsidRPr="00D31738">
              <w:rPr>
                <w:sz w:val="22"/>
                <w:szCs w:val="22"/>
              </w:rPr>
              <w:t>€ 25.200</w:t>
            </w:r>
          </w:p>
          <w:p w:rsidR="00D15028" w:rsidRPr="00D31738" w:rsidRDefault="00D15028" w:rsidP="002E46CE">
            <w:pPr>
              <w:ind w:right="2"/>
              <w:jc w:val="right"/>
              <w:rPr>
                <w:sz w:val="22"/>
                <w:szCs w:val="22"/>
                <w:lang w:val="en-GB"/>
              </w:rPr>
            </w:pPr>
          </w:p>
        </w:tc>
        <w:tc>
          <w:tcPr>
            <w:tcW w:w="9570" w:type="dxa"/>
          </w:tcPr>
          <w:p w:rsidR="00D15028" w:rsidRPr="00D31738" w:rsidRDefault="00D15028" w:rsidP="002E46CE">
            <w:pPr>
              <w:jc w:val="both"/>
              <w:rPr>
                <w:sz w:val="22"/>
                <w:szCs w:val="22"/>
              </w:rPr>
            </w:pPr>
            <w:r w:rsidRPr="00D31738">
              <w:rPr>
                <w:sz w:val="22"/>
                <w:szCs w:val="22"/>
              </w:rPr>
              <w:t>Dit project is met zes maanden vertraging van start gegaan.</w:t>
            </w:r>
          </w:p>
        </w:tc>
      </w:tr>
      <w:tr w:rsidR="00D15028" w:rsidRPr="00D31738" w:rsidTr="002E46CE">
        <w:tc>
          <w:tcPr>
            <w:tcW w:w="3300" w:type="dxa"/>
          </w:tcPr>
          <w:p w:rsidR="00D15028" w:rsidRPr="00D31738" w:rsidRDefault="00D15028" w:rsidP="002E46CE">
            <w:pPr>
              <w:rPr>
                <w:sz w:val="22"/>
                <w:szCs w:val="22"/>
              </w:rPr>
            </w:pPr>
            <w:r w:rsidRPr="00D31738">
              <w:rPr>
                <w:sz w:val="22"/>
                <w:szCs w:val="22"/>
              </w:rPr>
              <w:t xml:space="preserve">Bijdrage </w:t>
            </w:r>
            <w:proofErr w:type="spellStart"/>
            <w:r w:rsidRPr="00D31738">
              <w:rPr>
                <w:sz w:val="22"/>
                <w:szCs w:val="22"/>
              </w:rPr>
              <w:t>t.v.v</w:t>
            </w:r>
            <w:proofErr w:type="spellEnd"/>
            <w:r w:rsidRPr="00D31738">
              <w:rPr>
                <w:sz w:val="22"/>
                <w:szCs w:val="22"/>
              </w:rPr>
              <w:t>. verbe</w:t>
            </w:r>
            <w:r w:rsidRPr="00D31738">
              <w:rPr>
                <w:sz w:val="22"/>
                <w:szCs w:val="22"/>
              </w:rPr>
              <w:softHyphen/>
              <w:t>terde voedselzeker</w:t>
            </w:r>
            <w:r w:rsidRPr="00D31738">
              <w:rPr>
                <w:sz w:val="22"/>
                <w:szCs w:val="22"/>
              </w:rPr>
              <w:softHyphen/>
              <w:t>heid- en voedings</w:t>
            </w:r>
            <w:r w:rsidRPr="00D31738">
              <w:rPr>
                <w:sz w:val="22"/>
                <w:szCs w:val="22"/>
              </w:rPr>
              <w:softHyphen/>
              <w:t>situatie in Malawi</w:t>
            </w:r>
          </w:p>
        </w:tc>
        <w:tc>
          <w:tcPr>
            <w:tcW w:w="1430" w:type="dxa"/>
          </w:tcPr>
          <w:p w:rsidR="00D15028" w:rsidRPr="00D31738" w:rsidRDefault="00D15028" w:rsidP="002E46CE">
            <w:pPr>
              <w:ind w:right="2"/>
              <w:jc w:val="right"/>
              <w:rPr>
                <w:sz w:val="22"/>
                <w:szCs w:val="22"/>
              </w:rPr>
            </w:pPr>
            <w:r w:rsidRPr="00D31738">
              <w:rPr>
                <w:sz w:val="22"/>
                <w:szCs w:val="22"/>
              </w:rPr>
              <w:t>€ 1.010.000</w:t>
            </w:r>
          </w:p>
          <w:p w:rsidR="00D15028" w:rsidRPr="00D31738" w:rsidRDefault="00D15028" w:rsidP="002E46CE">
            <w:pPr>
              <w:ind w:right="2"/>
              <w:jc w:val="right"/>
              <w:rPr>
                <w:sz w:val="22"/>
                <w:szCs w:val="22"/>
              </w:rPr>
            </w:pPr>
          </w:p>
        </w:tc>
        <w:tc>
          <w:tcPr>
            <w:tcW w:w="9570" w:type="dxa"/>
          </w:tcPr>
          <w:p w:rsidR="00D15028" w:rsidRPr="00D31738" w:rsidRDefault="00D15028" w:rsidP="002E46CE">
            <w:pPr>
              <w:jc w:val="both"/>
              <w:rPr>
                <w:color w:val="000000"/>
                <w:sz w:val="22"/>
                <w:szCs w:val="22"/>
              </w:rPr>
            </w:pPr>
            <w:r w:rsidRPr="00D31738">
              <w:rPr>
                <w:color w:val="000000"/>
                <w:sz w:val="22"/>
                <w:szCs w:val="22"/>
              </w:rPr>
              <w:t>Dit project werd opgestart in april 2008 en diende in de opstartfase een aantal analyses uit te voeren. Deze studies hebben meer tijd gevergd dan voorzien. Deze en andere redenen gaven aanleiding tot een vertraging van vijf maanden.</w:t>
            </w:r>
          </w:p>
        </w:tc>
      </w:tr>
      <w:tr w:rsidR="00D15028" w:rsidRPr="00D31738" w:rsidTr="002E46CE">
        <w:trPr>
          <w:trHeight w:val="172"/>
        </w:trPr>
        <w:tc>
          <w:tcPr>
            <w:tcW w:w="3300" w:type="dxa"/>
          </w:tcPr>
          <w:p w:rsidR="00D15028" w:rsidRPr="00D31738" w:rsidRDefault="00D15028" w:rsidP="002E46CE">
            <w:pPr>
              <w:rPr>
                <w:sz w:val="22"/>
                <w:szCs w:val="22"/>
              </w:rPr>
            </w:pPr>
            <w:r w:rsidRPr="00D31738">
              <w:rPr>
                <w:sz w:val="22"/>
                <w:szCs w:val="22"/>
              </w:rPr>
              <w:t xml:space="preserve">Uitbreiding van de </w:t>
            </w:r>
            <w:proofErr w:type="spellStart"/>
            <w:r w:rsidRPr="00D31738">
              <w:rPr>
                <w:sz w:val="22"/>
                <w:szCs w:val="22"/>
              </w:rPr>
              <w:t>basis-gezondheidsdiensten</w:t>
            </w:r>
            <w:proofErr w:type="spellEnd"/>
            <w:r w:rsidRPr="00D31738">
              <w:rPr>
                <w:sz w:val="22"/>
                <w:szCs w:val="22"/>
              </w:rPr>
              <w:t xml:space="preserve"> in de provincie </w:t>
            </w:r>
            <w:proofErr w:type="spellStart"/>
            <w:r w:rsidRPr="00D31738">
              <w:rPr>
                <w:sz w:val="22"/>
                <w:szCs w:val="22"/>
              </w:rPr>
              <w:t>Tete</w:t>
            </w:r>
            <w:proofErr w:type="spellEnd"/>
          </w:p>
        </w:tc>
        <w:tc>
          <w:tcPr>
            <w:tcW w:w="1430" w:type="dxa"/>
          </w:tcPr>
          <w:p w:rsidR="00D15028" w:rsidRPr="00D31738" w:rsidRDefault="00D15028" w:rsidP="002E46CE">
            <w:pPr>
              <w:ind w:right="2"/>
              <w:jc w:val="right"/>
              <w:rPr>
                <w:sz w:val="22"/>
                <w:szCs w:val="22"/>
              </w:rPr>
            </w:pPr>
            <w:r w:rsidRPr="00D31738">
              <w:rPr>
                <w:sz w:val="22"/>
                <w:szCs w:val="22"/>
              </w:rPr>
              <w:t>€ 542.274</w:t>
            </w:r>
          </w:p>
          <w:p w:rsidR="00D15028" w:rsidRPr="00D31738" w:rsidRDefault="00D15028" w:rsidP="002E46CE">
            <w:pPr>
              <w:ind w:right="2"/>
              <w:jc w:val="right"/>
              <w:rPr>
                <w:sz w:val="22"/>
                <w:szCs w:val="22"/>
              </w:rPr>
            </w:pPr>
          </w:p>
        </w:tc>
        <w:tc>
          <w:tcPr>
            <w:tcW w:w="9570" w:type="dxa"/>
          </w:tcPr>
          <w:p w:rsidR="00D15028" w:rsidRPr="00D31738" w:rsidRDefault="00D15028" w:rsidP="002E46CE">
            <w:pPr>
              <w:jc w:val="both"/>
              <w:rPr>
                <w:sz w:val="22"/>
                <w:szCs w:val="22"/>
              </w:rPr>
            </w:pPr>
            <w:r w:rsidRPr="00D31738">
              <w:rPr>
                <w:sz w:val="22"/>
                <w:szCs w:val="22"/>
              </w:rPr>
              <w:t>Verschillende infrastructuurprojecten binnen dit project liep vertragingen op bij de praktische uitvoering. De moeilijkheden zijn een gevolg van een gebrek aan: (1) uitvoeringscapaciteit op centraal niveau om de ambitieuze nationale plannen om alle gezondheidsinfrastructuur zo efficiënt mogelijk te bouwen ook daadwerkelijk uit te voeren en technisch op te laten volgen (2) technische capaciteit om de aanbestedings</w:t>
            </w:r>
            <w:r w:rsidRPr="00D31738">
              <w:rPr>
                <w:sz w:val="22"/>
                <w:szCs w:val="22"/>
              </w:rPr>
              <w:softHyphen/>
              <w:t xml:space="preserve">regels correct te kunnen volgen, en (3) medisch personeel om de gezondheidsposten diep in het binnenland te kunnen bemannen. </w:t>
            </w:r>
          </w:p>
          <w:p w:rsidR="00D15028" w:rsidRPr="00D31738" w:rsidRDefault="00D15028" w:rsidP="002E46CE">
            <w:pPr>
              <w:jc w:val="both"/>
              <w:rPr>
                <w:sz w:val="22"/>
                <w:szCs w:val="22"/>
              </w:rPr>
            </w:pPr>
            <w:r w:rsidRPr="00D31738">
              <w:rPr>
                <w:sz w:val="22"/>
                <w:szCs w:val="22"/>
                <w:lang w:val="nl-BE"/>
              </w:rPr>
              <w:t xml:space="preserve">Onlangs werd door het VAIS een doorlichting opgestart om de redenen voor de vertragingen beter in </w:t>
            </w:r>
            <w:r w:rsidRPr="00D31738">
              <w:rPr>
                <w:sz w:val="22"/>
                <w:szCs w:val="22"/>
                <w:lang w:val="nl-BE"/>
              </w:rPr>
              <w:lastRenderedPageBreak/>
              <w:t>kaart te brengen.</w:t>
            </w:r>
          </w:p>
        </w:tc>
      </w:tr>
      <w:tr w:rsidR="00D15028" w:rsidRPr="00D31738" w:rsidTr="002E46CE">
        <w:trPr>
          <w:trHeight w:val="352"/>
        </w:trPr>
        <w:tc>
          <w:tcPr>
            <w:tcW w:w="3300" w:type="dxa"/>
          </w:tcPr>
          <w:p w:rsidR="00D15028" w:rsidRPr="00D31738" w:rsidRDefault="002E46CE" w:rsidP="002E46CE">
            <w:pPr>
              <w:rPr>
                <w:sz w:val="22"/>
                <w:szCs w:val="22"/>
              </w:rPr>
            </w:pPr>
            <w:r>
              <w:rPr>
                <w:sz w:val="22"/>
                <w:szCs w:val="22"/>
              </w:rPr>
              <w:lastRenderedPageBreak/>
              <w:t>Basisgezondheidszorg en capaciteits</w:t>
            </w:r>
            <w:r w:rsidR="00D15028" w:rsidRPr="00D31738">
              <w:rPr>
                <w:sz w:val="22"/>
                <w:szCs w:val="22"/>
              </w:rPr>
              <w:t xml:space="preserve">opbouw in </w:t>
            </w:r>
            <w:proofErr w:type="spellStart"/>
            <w:r w:rsidR="00D15028" w:rsidRPr="00D31738">
              <w:rPr>
                <w:sz w:val="22"/>
                <w:szCs w:val="22"/>
              </w:rPr>
              <w:t>Tete</w:t>
            </w:r>
            <w:proofErr w:type="spellEnd"/>
          </w:p>
        </w:tc>
        <w:tc>
          <w:tcPr>
            <w:tcW w:w="1430" w:type="dxa"/>
          </w:tcPr>
          <w:p w:rsidR="00D15028" w:rsidRPr="00D31738" w:rsidRDefault="00D15028" w:rsidP="002E46CE">
            <w:pPr>
              <w:jc w:val="right"/>
              <w:rPr>
                <w:sz w:val="22"/>
                <w:szCs w:val="22"/>
              </w:rPr>
            </w:pPr>
            <w:r w:rsidRPr="00D31738">
              <w:rPr>
                <w:sz w:val="22"/>
                <w:szCs w:val="22"/>
              </w:rPr>
              <w:t>€ 9.527</w:t>
            </w:r>
          </w:p>
          <w:p w:rsidR="00D15028" w:rsidRPr="00D31738" w:rsidRDefault="00D15028" w:rsidP="002E46CE">
            <w:pPr>
              <w:jc w:val="right"/>
              <w:rPr>
                <w:sz w:val="22"/>
                <w:szCs w:val="22"/>
              </w:rPr>
            </w:pPr>
          </w:p>
        </w:tc>
        <w:tc>
          <w:tcPr>
            <w:tcW w:w="9570" w:type="dxa"/>
          </w:tcPr>
          <w:p w:rsidR="00D15028" w:rsidRPr="00D31738" w:rsidRDefault="00D15028" w:rsidP="002E46CE">
            <w:pPr>
              <w:jc w:val="both"/>
              <w:rPr>
                <w:sz w:val="22"/>
                <w:szCs w:val="22"/>
              </w:rPr>
            </w:pPr>
            <w:r w:rsidRPr="00D31738">
              <w:rPr>
                <w:sz w:val="22"/>
                <w:szCs w:val="22"/>
              </w:rPr>
              <w:t xml:space="preserve">Het saldo dient nog te worden afgerekend. Hiervoor moeten mijn diensten de benodigde </w:t>
            </w:r>
            <w:proofErr w:type="spellStart"/>
            <w:r w:rsidRPr="00D31738">
              <w:rPr>
                <w:sz w:val="22"/>
                <w:szCs w:val="22"/>
              </w:rPr>
              <w:t>betalingsdocu-menten</w:t>
            </w:r>
            <w:proofErr w:type="spellEnd"/>
            <w:r w:rsidRPr="00D31738">
              <w:rPr>
                <w:sz w:val="22"/>
                <w:szCs w:val="22"/>
              </w:rPr>
              <w:t xml:space="preserve"> ontvangen.</w:t>
            </w:r>
          </w:p>
        </w:tc>
      </w:tr>
      <w:tr w:rsidR="00D15028" w:rsidRPr="00D31738" w:rsidTr="002E46CE">
        <w:trPr>
          <w:trHeight w:val="596"/>
        </w:trPr>
        <w:tc>
          <w:tcPr>
            <w:tcW w:w="3300" w:type="dxa"/>
          </w:tcPr>
          <w:p w:rsidR="00D15028" w:rsidRPr="00D31738" w:rsidRDefault="00D15028" w:rsidP="002E46CE">
            <w:pPr>
              <w:rPr>
                <w:sz w:val="22"/>
                <w:szCs w:val="22"/>
              </w:rPr>
            </w:pPr>
            <w:r w:rsidRPr="00D31738">
              <w:rPr>
                <w:sz w:val="22"/>
                <w:szCs w:val="22"/>
              </w:rPr>
              <w:t xml:space="preserve">Geïntegreerd netwerk voor de bestrijding van </w:t>
            </w:r>
            <w:proofErr w:type="spellStart"/>
            <w:r w:rsidRPr="00D31738">
              <w:rPr>
                <w:sz w:val="22"/>
                <w:szCs w:val="22"/>
              </w:rPr>
              <w:t>hiv</w:t>
            </w:r>
            <w:proofErr w:type="spellEnd"/>
            <w:r w:rsidRPr="00D31738">
              <w:rPr>
                <w:sz w:val="22"/>
                <w:szCs w:val="22"/>
              </w:rPr>
              <w:t xml:space="preserve">/aids/soa in de provincie </w:t>
            </w:r>
            <w:proofErr w:type="spellStart"/>
            <w:r w:rsidRPr="00D31738">
              <w:rPr>
                <w:sz w:val="22"/>
                <w:szCs w:val="22"/>
              </w:rPr>
              <w:t>Tete</w:t>
            </w:r>
            <w:proofErr w:type="spellEnd"/>
          </w:p>
        </w:tc>
        <w:tc>
          <w:tcPr>
            <w:tcW w:w="1430" w:type="dxa"/>
          </w:tcPr>
          <w:p w:rsidR="00D15028" w:rsidRPr="00D31738" w:rsidRDefault="00D15028" w:rsidP="002E46CE">
            <w:pPr>
              <w:jc w:val="right"/>
              <w:rPr>
                <w:sz w:val="22"/>
                <w:szCs w:val="22"/>
              </w:rPr>
            </w:pPr>
            <w:r w:rsidRPr="00D31738">
              <w:rPr>
                <w:sz w:val="22"/>
                <w:szCs w:val="22"/>
              </w:rPr>
              <w:t>€ 88.000</w:t>
            </w:r>
          </w:p>
          <w:p w:rsidR="00D15028" w:rsidRPr="00D31738" w:rsidRDefault="00D15028" w:rsidP="002E46CE">
            <w:pPr>
              <w:jc w:val="right"/>
              <w:rPr>
                <w:b/>
                <w:color w:val="FF0000"/>
                <w:sz w:val="22"/>
                <w:szCs w:val="22"/>
                <w:u w:val="single"/>
              </w:rPr>
            </w:pPr>
          </w:p>
        </w:tc>
        <w:tc>
          <w:tcPr>
            <w:tcW w:w="9570" w:type="dxa"/>
          </w:tcPr>
          <w:p w:rsidR="00D15028" w:rsidRPr="00D31738" w:rsidRDefault="00D15028" w:rsidP="002E46CE">
            <w:pPr>
              <w:jc w:val="both"/>
              <w:rPr>
                <w:b/>
                <w:color w:val="FF0000"/>
                <w:sz w:val="22"/>
                <w:szCs w:val="22"/>
                <w:u w:val="single"/>
              </w:rPr>
            </w:pPr>
            <w:r w:rsidRPr="00D31738">
              <w:rPr>
                <w:sz w:val="22"/>
                <w:szCs w:val="22"/>
              </w:rPr>
              <w:t xml:space="preserve">De uitbetaling van de subsidie aan het lokale ministerie zou in zes schijven verlopen. Bij ondertekening van het besluit werd een eerste schijf van € 26.000 uitbetaald. Tot heden werden geen facturen, noch </w:t>
            </w:r>
            <w:proofErr w:type="spellStart"/>
            <w:r w:rsidRPr="00D31738">
              <w:rPr>
                <w:sz w:val="22"/>
                <w:szCs w:val="22"/>
              </w:rPr>
              <w:t>afre-keningen</w:t>
            </w:r>
            <w:proofErr w:type="spellEnd"/>
            <w:r w:rsidRPr="00D31738">
              <w:rPr>
                <w:sz w:val="22"/>
                <w:szCs w:val="22"/>
              </w:rPr>
              <w:t>, ontvangen.  Ten laatste op 20 december 2010 dient het project volledig te worden afgerekend.</w:t>
            </w:r>
          </w:p>
        </w:tc>
      </w:tr>
    </w:tbl>
    <w:p w:rsidR="007B527F" w:rsidRPr="006B4189" w:rsidRDefault="007B527F" w:rsidP="00DA6701">
      <w:pPr>
        <w:ind w:left="360"/>
        <w:jc w:val="both"/>
        <w:rPr>
          <w:sz w:val="22"/>
        </w:rPr>
      </w:pPr>
    </w:p>
    <w:sectPr w:rsidR="007B527F" w:rsidRPr="006B4189" w:rsidSect="00D15028">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487F"/>
    <w:multiLevelType w:val="hybridMultilevel"/>
    <w:tmpl w:val="3FD8D0DC"/>
    <w:lvl w:ilvl="0" w:tplc="097C1AE0">
      <w:start w:val="1"/>
      <w:numFmt w:val="decimal"/>
      <w:lvlText w:val="%1."/>
      <w:lvlJc w:val="left"/>
      <w:pPr>
        <w:tabs>
          <w:tab w:val="num" w:pos="360"/>
        </w:tabs>
        <w:ind w:left="360" w:hanging="360"/>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24A512C1"/>
    <w:multiLevelType w:val="hybridMultilevel"/>
    <w:tmpl w:val="6BDC3120"/>
    <w:lvl w:ilvl="0" w:tplc="2FF89A2A">
      <w:start w:val="2"/>
      <w:numFmt w:val="decimal"/>
      <w:lvlText w:val="%1."/>
      <w:lvlJc w:val="left"/>
      <w:pPr>
        <w:tabs>
          <w:tab w:val="num" w:pos="720"/>
        </w:tabs>
        <w:ind w:left="720" w:hanging="360"/>
      </w:pPr>
      <w:rPr>
        <w:rFonts w:hint="default"/>
      </w:rPr>
    </w:lvl>
    <w:lvl w:ilvl="1" w:tplc="BAC48692" w:tentative="1">
      <w:start w:val="1"/>
      <w:numFmt w:val="lowerLetter"/>
      <w:lvlText w:val="%2."/>
      <w:lvlJc w:val="left"/>
      <w:pPr>
        <w:tabs>
          <w:tab w:val="num" w:pos="1440"/>
        </w:tabs>
        <w:ind w:left="1440" w:hanging="360"/>
      </w:pPr>
    </w:lvl>
    <w:lvl w:ilvl="2" w:tplc="11AC44C4" w:tentative="1">
      <w:start w:val="1"/>
      <w:numFmt w:val="lowerRoman"/>
      <w:lvlText w:val="%3."/>
      <w:lvlJc w:val="right"/>
      <w:pPr>
        <w:tabs>
          <w:tab w:val="num" w:pos="2160"/>
        </w:tabs>
        <w:ind w:left="2160" w:hanging="180"/>
      </w:pPr>
    </w:lvl>
    <w:lvl w:ilvl="3" w:tplc="9808F5B4" w:tentative="1">
      <w:start w:val="1"/>
      <w:numFmt w:val="decimal"/>
      <w:lvlText w:val="%4."/>
      <w:lvlJc w:val="left"/>
      <w:pPr>
        <w:tabs>
          <w:tab w:val="num" w:pos="2880"/>
        </w:tabs>
        <w:ind w:left="2880" w:hanging="360"/>
      </w:pPr>
    </w:lvl>
    <w:lvl w:ilvl="4" w:tplc="A1DAC1D4" w:tentative="1">
      <w:start w:val="1"/>
      <w:numFmt w:val="lowerLetter"/>
      <w:lvlText w:val="%5."/>
      <w:lvlJc w:val="left"/>
      <w:pPr>
        <w:tabs>
          <w:tab w:val="num" w:pos="3600"/>
        </w:tabs>
        <w:ind w:left="3600" w:hanging="360"/>
      </w:pPr>
    </w:lvl>
    <w:lvl w:ilvl="5" w:tplc="8F8A36D2" w:tentative="1">
      <w:start w:val="1"/>
      <w:numFmt w:val="lowerRoman"/>
      <w:lvlText w:val="%6."/>
      <w:lvlJc w:val="right"/>
      <w:pPr>
        <w:tabs>
          <w:tab w:val="num" w:pos="4320"/>
        </w:tabs>
        <w:ind w:left="4320" w:hanging="180"/>
      </w:pPr>
    </w:lvl>
    <w:lvl w:ilvl="6" w:tplc="9AE02FF8" w:tentative="1">
      <w:start w:val="1"/>
      <w:numFmt w:val="decimal"/>
      <w:lvlText w:val="%7."/>
      <w:lvlJc w:val="left"/>
      <w:pPr>
        <w:tabs>
          <w:tab w:val="num" w:pos="5040"/>
        </w:tabs>
        <w:ind w:left="5040" w:hanging="360"/>
      </w:pPr>
    </w:lvl>
    <w:lvl w:ilvl="7" w:tplc="9782BC44" w:tentative="1">
      <w:start w:val="1"/>
      <w:numFmt w:val="lowerLetter"/>
      <w:lvlText w:val="%8."/>
      <w:lvlJc w:val="left"/>
      <w:pPr>
        <w:tabs>
          <w:tab w:val="num" w:pos="5760"/>
        </w:tabs>
        <w:ind w:left="5760" w:hanging="360"/>
      </w:pPr>
    </w:lvl>
    <w:lvl w:ilvl="8" w:tplc="37C4C348" w:tentative="1">
      <w:start w:val="1"/>
      <w:numFmt w:val="lowerRoman"/>
      <w:lvlText w:val="%9."/>
      <w:lvlJc w:val="right"/>
      <w:pPr>
        <w:tabs>
          <w:tab w:val="num" w:pos="6480"/>
        </w:tabs>
        <w:ind w:left="6480" w:hanging="180"/>
      </w:pPr>
    </w:lvl>
  </w:abstractNum>
  <w:abstractNum w:abstractNumId="2">
    <w:nsid w:val="2F272A63"/>
    <w:multiLevelType w:val="hybridMultilevel"/>
    <w:tmpl w:val="73027922"/>
    <w:lvl w:ilvl="0" w:tplc="AA48197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D14F3E"/>
    <w:multiLevelType w:val="hybridMultilevel"/>
    <w:tmpl w:val="25BE6A4C"/>
    <w:lvl w:ilvl="0" w:tplc="AA48197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F461B47"/>
    <w:multiLevelType w:val="hybridMultilevel"/>
    <w:tmpl w:val="C052B224"/>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forms" w:enforcement="0"/>
  <w:defaultTabStop w:val="708"/>
  <w:hyphenationZone w:val="425"/>
  <w:drawingGridHorizontalSpacing w:val="120"/>
  <w:displayHorizontalDrawingGridEvery w:val="2"/>
  <w:noPunctuationKerning/>
  <w:characterSpacingControl w:val="doNotCompress"/>
  <w:compat/>
  <w:rsids>
    <w:rsidRoot w:val="009E2C40"/>
    <w:rsid w:val="00157EC9"/>
    <w:rsid w:val="001747B4"/>
    <w:rsid w:val="001F0937"/>
    <w:rsid w:val="002730B7"/>
    <w:rsid w:val="002E46CE"/>
    <w:rsid w:val="002E63C1"/>
    <w:rsid w:val="004D13E3"/>
    <w:rsid w:val="005431C7"/>
    <w:rsid w:val="006A324D"/>
    <w:rsid w:val="006B4189"/>
    <w:rsid w:val="006F7264"/>
    <w:rsid w:val="007A666B"/>
    <w:rsid w:val="007A6ECB"/>
    <w:rsid w:val="007B527F"/>
    <w:rsid w:val="009976C1"/>
    <w:rsid w:val="009E2C40"/>
    <w:rsid w:val="00AB0AA4"/>
    <w:rsid w:val="00B500E2"/>
    <w:rsid w:val="00CB06DA"/>
    <w:rsid w:val="00D15028"/>
    <w:rsid w:val="00D17C2D"/>
    <w:rsid w:val="00D522C8"/>
    <w:rsid w:val="00D77EE5"/>
    <w:rsid w:val="00DA37CE"/>
    <w:rsid w:val="00DA670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6EC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7A6ECB"/>
    <w:pPr>
      <w:jc w:val="both"/>
    </w:pPr>
    <w:rPr>
      <w:sz w:val="22"/>
      <w:szCs w:val="20"/>
    </w:rPr>
  </w:style>
  <w:style w:type="paragraph" w:styleId="Ballontekst">
    <w:name w:val="Balloon Text"/>
    <w:basedOn w:val="Standaard"/>
    <w:semiHidden/>
    <w:rsid w:val="007A6ECB"/>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customStyle="1" w:styleId="SVTitel">
    <w:name w:val="SV Titel"/>
    <w:basedOn w:val="Standaard"/>
    <w:rsid w:val="00CB06DA"/>
    <w:pPr>
      <w:jc w:val="both"/>
    </w:pPr>
    <w:rPr>
      <w:i/>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0</TotalTime>
  <Pages>3</Pages>
  <Words>742</Words>
  <Characters>4563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Johan Meermans</cp:lastModifiedBy>
  <cp:revision>2</cp:revision>
  <cp:lastPrinted>2010-10-15T12:14:00Z</cp:lastPrinted>
  <dcterms:created xsi:type="dcterms:W3CDTF">2010-10-15T12:14:00Z</dcterms:created>
  <dcterms:modified xsi:type="dcterms:W3CDTF">2010-10-15T12:14:00Z</dcterms:modified>
</cp:coreProperties>
</file>