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3603F" w:rsidRDefault="00F3603F">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jo vandeurzen</w:t>
      </w:r>
      <w:r>
        <w:rPr>
          <w:szCs w:val="22"/>
        </w:rPr>
        <w:fldChar w:fldCharType="end"/>
      </w:r>
      <w:bookmarkEnd w:id="0"/>
    </w:p>
    <w:bookmarkStart w:id="1" w:name="Text2"/>
    <w:p w:rsidR="00F3603F" w:rsidRDefault="00F3603F">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F3603F" w:rsidRDefault="00F3603F">
      <w:pPr>
        <w:rPr>
          <w:szCs w:val="22"/>
        </w:rPr>
      </w:pPr>
    </w:p>
    <w:p w:rsidR="00F3603F" w:rsidRDefault="00F3603F">
      <w:pPr>
        <w:pStyle w:val="A-Lijn"/>
      </w:pPr>
    </w:p>
    <w:p w:rsidR="00F3603F" w:rsidRDefault="00F3603F">
      <w:pPr>
        <w:pStyle w:val="A-Type"/>
        <w:sectPr w:rsidR="00F3603F">
          <w:pgSz w:w="11906" w:h="16838"/>
          <w:pgMar w:top="1417" w:right="1417" w:bottom="1417" w:left="1417" w:header="708" w:footer="708" w:gutter="0"/>
          <w:cols w:space="708"/>
          <w:rtlGutter/>
          <w:docGrid w:linePitch="360"/>
        </w:sectPr>
      </w:pPr>
    </w:p>
    <w:p w:rsidR="00F3603F" w:rsidRDefault="00F3603F">
      <w:pPr>
        <w:pStyle w:val="A-Type"/>
        <w:outlineLvl w:val="0"/>
        <w:sectPr w:rsidR="00F3603F">
          <w:type w:val="continuous"/>
          <w:pgSz w:w="11906" w:h="16838"/>
          <w:pgMar w:top="1417" w:right="1417" w:bottom="1417" w:left="1417" w:header="708" w:footer="708" w:gutter="0"/>
          <w:cols w:space="708"/>
          <w:formProt w:val="0"/>
          <w:docGrid w:linePitch="360"/>
        </w:sectPr>
      </w:pPr>
      <w:r>
        <w:t xml:space="preserve">gecoördineerd antwoord </w:t>
      </w:r>
    </w:p>
    <w:p w:rsidR="00F3603F" w:rsidRDefault="00F3603F">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noProof/>
        </w:rPr>
        <w:t>368</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noProof/>
        </w:rPr>
        <w:t>20</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3603F" w:rsidRDefault="00F3603F">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w</w:t>
      </w:r>
      <w:r>
        <w:rPr>
          <w:rStyle w:val="AntwoordNaamMinisterChar"/>
          <w:noProof/>
          <w:sz w:val="22"/>
        </w:rPr>
        <w:t>illy segers</w:t>
      </w:r>
      <w:r>
        <w:rPr>
          <w:rStyle w:val="AntwoordNaamMinisterChar"/>
          <w:sz w:val="22"/>
        </w:rPr>
        <w:fldChar w:fldCharType="end"/>
      </w:r>
    </w:p>
    <w:p w:rsidR="00F3603F" w:rsidRDefault="00F3603F">
      <w:pPr>
        <w:rPr>
          <w:szCs w:val="22"/>
        </w:rPr>
      </w:pPr>
    </w:p>
    <w:p w:rsidR="00F3603F" w:rsidRDefault="00F3603F">
      <w:pPr>
        <w:pStyle w:val="A-Lijn"/>
      </w:pPr>
    </w:p>
    <w:p w:rsidR="00F3603F" w:rsidRDefault="00F3603F">
      <w:pPr>
        <w:pStyle w:val="A-Lijn"/>
      </w:pPr>
    </w:p>
    <w:p w:rsidR="00F3603F" w:rsidRDefault="00F3603F">
      <w:pPr>
        <w:sectPr w:rsidR="00F3603F">
          <w:type w:val="continuous"/>
          <w:pgSz w:w="11906" w:h="16838"/>
          <w:pgMar w:top="1417" w:right="1417" w:bottom="1417" w:left="1417" w:header="708" w:footer="708" w:gutter="0"/>
          <w:cols w:space="708"/>
          <w:rtlGutter/>
          <w:docGrid w:linePitch="360"/>
        </w:sectPr>
      </w:pPr>
    </w:p>
    <w:p w:rsidR="00F3603F" w:rsidRDefault="00F3603F" w:rsidP="002633D9">
      <w:pPr>
        <w:autoSpaceDE w:val="0"/>
        <w:autoSpaceDN w:val="0"/>
        <w:adjustRightInd w:val="0"/>
        <w:ind w:left="284" w:hanging="284"/>
        <w:jc w:val="both"/>
        <w:rPr>
          <w:b/>
          <w:color w:val="000000"/>
          <w:szCs w:val="20"/>
          <w:u w:val="single"/>
        </w:rPr>
      </w:pPr>
      <w:r>
        <w:rPr>
          <w:b/>
          <w:color w:val="000000"/>
          <w:szCs w:val="20"/>
          <w:u w:val="single"/>
        </w:rPr>
        <w:t>Deelantwoord van de heer Jo Vandeurzen</w:t>
      </w:r>
    </w:p>
    <w:p w:rsidR="00F3603F" w:rsidRPr="00F1482C" w:rsidRDefault="00F3603F" w:rsidP="002633D9">
      <w:pPr>
        <w:autoSpaceDE w:val="0"/>
        <w:autoSpaceDN w:val="0"/>
        <w:adjustRightInd w:val="0"/>
        <w:ind w:left="284" w:hanging="284"/>
        <w:jc w:val="both"/>
        <w:rPr>
          <w:b/>
          <w:color w:val="000000"/>
          <w:szCs w:val="20"/>
          <w:u w:val="single"/>
        </w:rPr>
      </w:pPr>
    </w:p>
    <w:p w:rsidR="00F3603F" w:rsidRPr="002633D9" w:rsidRDefault="00F3603F" w:rsidP="002633D9">
      <w:pPr>
        <w:autoSpaceDE w:val="0"/>
        <w:autoSpaceDN w:val="0"/>
        <w:adjustRightInd w:val="0"/>
        <w:ind w:left="284" w:hanging="284"/>
        <w:jc w:val="both"/>
        <w:rPr>
          <w:b/>
          <w:bCs/>
          <w:color w:val="000000"/>
          <w:szCs w:val="20"/>
        </w:rPr>
      </w:pPr>
      <w:r>
        <w:rPr>
          <w:color w:val="000000"/>
          <w:szCs w:val="20"/>
        </w:rPr>
        <w:t>1.</w:t>
      </w:r>
      <w:r w:rsidRPr="002633D9">
        <w:rPr>
          <w:color w:val="000000"/>
          <w:szCs w:val="20"/>
        </w:rPr>
        <w:tab/>
        <w:t xml:space="preserve">In het kader van het gelijke kansenbeleid 2010-2014 werkt </w:t>
      </w:r>
      <w:r w:rsidRPr="002633D9">
        <w:rPr>
          <w:b/>
          <w:color w:val="000000"/>
          <w:szCs w:val="20"/>
        </w:rPr>
        <w:t>Kind en Gezin</w:t>
      </w:r>
      <w:r w:rsidRPr="002633D9">
        <w:rPr>
          <w:color w:val="000000"/>
          <w:szCs w:val="20"/>
        </w:rPr>
        <w:t xml:space="preserve"> acties uit voor de hierna volgende doelstellingen, waarbij specifiek aandacht gaat naar allochtone mannen en vrouwen. </w:t>
      </w:r>
    </w:p>
    <w:p w:rsidR="00F3603F" w:rsidRPr="002633D9" w:rsidRDefault="00F3603F" w:rsidP="002633D9">
      <w:pPr>
        <w:autoSpaceDE w:val="0"/>
        <w:autoSpaceDN w:val="0"/>
        <w:adjustRightInd w:val="0"/>
        <w:ind w:left="284" w:hanging="284"/>
        <w:jc w:val="both"/>
        <w:rPr>
          <w:b/>
          <w:bCs/>
          <w:color w:val="000000"/>
          <w:szCs w:val="20"/>
        </w:rPr>
      </w:pPr>
    </w:p>
    <w:p w:rsidR="00F3603F" w:rsidRPr="002633D9" w:rsidRDefault="00F3603F" w:rsidP="002633D9">
      <w:pPr>
        <w:autoSpaceDE w:val="0"/>
        <w:autoSpaceDN w:val="0"/>
        <w:adjustRightInd w:val="0"/>
        <w:ind w:left="284"/>
        <w:jc w:val="both"/>
        <w:rPr>
          <w:b/>
          <w:bCs/>
          <w:color w:val="000000"/>
          <w:szCs w:val="20"/>
        </w:rPr>
      </w:pPr>
      <w:r w:rsidRPr="002633D9">
        <w:rPr>
          <w:b/>
          <w:bCs/>
          <w:color w:val="000000"/>
          <w:szCs w:val="20"/>
        </w:rPr>
        <w:t xml:space="preserve">Operationele doelstelling. Het bewerkstelligen van evenwichtige participatie van mannen en vrouwen in de verschillende domeinen van de samenleving </w:t>
      </w:r>
    </w:p>
    <w:p w:rsidR="00F3603F" w:rsidRPr="002633D9" w:rsidRDefault="00F3603F" w:rsidP="002633D9">
      <w:pPr>
        <w:autoSpaceDE w:val="0"/>
        <w:autoSpaceDN w:val="0"/>
        <w:adjustRightInd w:val="0"/>
        <w:ind w:left="284"/>
        <w:jc w:val="both"/>
        <w:rPr>
          <w:color w:val="000000"/>
          <w:szCs w:val="20"/>
        </w:rPr>
      </w:pPr>
      <w:r w:rsidRPr="002633D9">
        <w:rPr>
          <w:color w:val="000000"/>
          <w:szCs w:val="20"/>
        </w:rPr>
        <w:t>Functioneel bevoegde minister: Vlaams minister Jo Vandeurzen</w:t>
      </w:r>
    </w:p>
    <w:p w:rsidR="00F3603F" w:rsidRPr="002633D9" w:rsidRDefault="00F3603F" w:rsidP="002633D9">
      <w:pPr>
        <w:autoSpaceDE w:val="0"/>
        <w:autoSpaceDN w:val="0"/>
        <w:adjustRightInd w:val="0"/>
        <w:ind w:left="284"/>
        <w:jc w:val="both"/>
        <w:rPr>
          <w:color w:val="000000"/>
          <w:szCs w:val="20"/>
        </w:rPr>
      </w:pPr>
      <w:r w:rsidRPr="002633D9">
        <w:rPr>
          <w:color w:val="000000"/>
          <w:szCs w:val="20"/>
        </w:rPr>
        <w:t>Bevoegdheid: Welzijn, Volksgezondheid en Gezin</w:t>
      </w:r>
    </w:p>
    <w:p w:rsidR="00F3603F" w:rsidRPr="002633D9" w:rsidRDefault="00F3603F" w:rsidP="002633D9">
      <w:pPr>
        <w:autoSpaceDE w:val="0"/>
        <w:autoSpaceDN w:val="0"/>
        <w:adjustRightInd w:val="0"/>
        <w:ind w:left="284" w:hanging="284"/>
        <w:jc w:val="both"/>
        <w:rPr>
          <w:color w:val="000000"/>
          <w:szCs w:val="20"/>
        </w:rPr>
      </w:pPr>
    </w:p>
    <w:p w:rsidR="00F3603F" w:rsidRPr="002633D9" w:rsidRDefault="00F3603F" w:rsidP="002633D9">
      <w:pPr>
        <w:autoSpaceDE w:val="0"/>
        <w:autoSpaceDN w:val="0"/>
        <w:adjustRightInd w:val="0"/>
        <w:ind w:left="284"/>
        <w:jc w:val="both"/>
        <w:rPr>
          <w:color w:val="000000"/>
          <w:szCs w:val="20"/>
        </w:rPr>
      </w:pPr>
      <w:r w:rsidRPr="002633D9">
        <w:rPr>
          <w:color w:val="000000"/>
          <w:szCs w:val="20"/>
        </w:rPr>
        <w:t xml:space="preserve">In concreto: het vergemakkelijken van de combinatie arbeid en zorg via het uitbreiden van het aanbod voorschoolse </w:t>
      </w:r>
      <w:r w:rsidRPr="002633D9">
        <w:rPr>
          <w:bCs/>
          <w:color w:val="000000"/>
          <w:szCs w:val="20"/>
        </w:rPr>
        <w:t>kinderopvang</w:t>
      </w:r>
      <w:r w:rsidRPr="002633D9">
        <w:rPr>
          <w:color w:val="000000"/>
          <w:szCs w:val="20"/>
        </w:rPr>
        <w:t>, met specifieke aandacht voor het bereiken van maatschap</w:t>
      </w:r>
      <w:r>
        <w:rPr>
          <w:color w:val="000000"/>
          <w:szCs w:val="20"/>
        </w:rPr>
        <w:softHyphen/>
      </w:r>
      <w:r w:rsidRPr="002633D9">
        <w:rPr>
          <w:color w:val="000000"/>
          <w:szCs w:val="20"/>
        </w:rPr>
        <w:t>pelijk kwetsbare groepen als eenoudergezinnen en gezinnen met een laag inkomen. Tegen 2020 zal er voor 50% van de kinderen jonger dan 3 jaar een kwalitatief aanbod voorschoolse kinderopvang zijn, en is het aandeel kwetsbare groepen dat hiervan gebruik maakt aanzienlijk gestegen.</w:t>
      </w:r>
    </w:p>
    <w:p w:rsidR="00F3603F" w:rsidRPr="002633D9" w:rsidRDefault="00F3603F" w:rsidP="002633D9">
      <w:pPr>
        <w:autoSpaceDE w:val="0"/>
        <w:autoSpaceDN w:val="0"/>
        <w:adjustRightInd w:val="0"/>
        <w:jc w:val="both"/>
        <w:rPr>
          <w:color w:val="000000"/>
          <w:szCs w:val="20"/>
        </w:rPr>
      </w:pPr>
    </w:p>
    <w:p w:rsidR="00F3603F" w:rsidRPr="002633D9" w:rsidRDefault="00F3603F" w:rsidP="002633D9">
      <w:pPr>
        <w:autoSpaceDE w:val="0"/>
        <w:autoSpaceDN w:val="0"/>
        <w:adjustRightInd w:val="0"/>
        <w:ind w:left="284"/>
        <w:jc w:val="both"/>
        <w:rPr>
          <w:color w:val="000000"/>
          <w:szCs w:val="20"/>
        </w:rPr>
      </w:pPr>
      <w:r w:rsidRPr="002633D9">
        <w:rPr>
          <w:color w:val="000000"/>
          <w:szCs w:val="20"/>
        </w:rPr>
        <w:t xml:space="preserve">Daarnaast wenst Kind en Gezin een </w:t>
      </w:r>
      <w:r w:rsidRPr="002633D9">
        <w:rPr>
          <w:bCs/>
          <w:color w:val="000000"/>
          <w:szCs w:val="20"/>
        </w:rPr>
        <w:t>toegankelijke en beschikbare dienstverlening</w:t>
      </w:r>
      <w:r w:rsidRPr="002633D9">
        <w:rPr>
          <w:color w:val="000000"/>
          <w:szCs w:val="20"/>
        </w:rPr>
        <w:t xml:space="preserve"> uit te bouwen waarbij aandacht is voor de zorgnoden van kwetsbare groepen, waaronder allochtone vrouwen.</w:t>
      </w:r>
    </w:p>
    <w:p w:rsidR="00F3603F" w:rsidRPr="002633D9" w:rsidRDefault="00F3603F" w:rsidP="002633D9">
      <w:pPr>
        <w:autoSpaceDE w:val="0"/>
        <w:autoSpaceDN w:val="0"/>
        <w:adjustRightInd w:val="0"/>
        <w:jc w:val="both"/>
        <w:rPr>
          <w:color w:val="000000"/>
          <w:szCs w:val="20"/>
        </w:rPr>
      </w:pPr>
    </w:p>
    <w:p w:rsidR="00F3603F" w:rsidRPr="002633D9" w:rsidRDefault="00F3603F" w:rsidP="002633D9">
      <w:pPr>
        <w:autoSpaceDE w:val="0"/>
        <w:autoSpaceDN w:val="0"/>
        <w:adjustRightInd w:val="0"/>
        <w:ind w:left="284"/>
        <w:jc w:val="both"/>
        <w:rPr>
          <w:b/>
          <w:bCs/>
          <w:color w:val="000000"/>
          <w:szCs w:val="20"/>
        </w:rPr>
      </w:pPr>
      <w:r w:rsidRPr="002633D9">
        <w:rPr>
          <w:b/>
          <w:bCs/>
          <w:color w:val="000000"/>
          <w:szCs w:val="20"/>
        </w:rPr>
        <w:t xml:space="preserve">Operationele doelstelling. Het bevorderen van genuanceerde en niet-stereotyperende beeldvorming </w:t>
      </w:r>
    </w:p>
    <w:p w:rsidR="00F3603F" w:rsidRPr="002633D9" w:rsidRDefault="00F3603F" w:rsidP="002633D9">
      <w:pPr>
        <w:autoSpaceDE w:val="0"/>
        <w:autoSpaceDN w:val="0"/>
        <w:adjustRightInd w:val="0"/>
        <w:ind w:left="284"/>
        <w:jc w:val="both"/>
        <w:rPr>
          <w:b/>
          <w:bCs/>
          <w:color w:val="000000"/>
          <w:szCs w:val="20"/>
        </w:rPr>
      </w:pPr>
    </w:p>
    <w:p w:rsidR="00F3603F" w:rsidRPr="002633D9" w:rsidRDefault="00F3603F" w:rsidP="002633D9">
      <w:pPr>
        <w:autoSpaceDE w:val="0"/>
        <w:autoSpaceDN w:val="0"/>
        <w:adjustRightInd w:val="0"/>
        <w:ind w:left="284"/>
        <w:jc w:val="both"/>
        <w:rPr>
          <w:color w:val="000000"/>
          <w:szCs w:val="20"/>
        </w:rPr>
      </w:pPr>
      <w:r w:rsidRPr="002633D9">
        <w:rPr>
          <w:color w:val="000000"/>
          <w:szCs w:val="20"/>
        </w:rPr>
        <w:t>Functioneel bevoegde minister: Vlaams minister Jo Vandeurzen</w:t>
      </w:r>
    </w:p>
    <w:p w:rsidR="00F3603F" w:rsidRPr="002633D9" w:rsidRDefault="00F3603F" w:rsidP="002633D9">
      <w:pPr>
        <w:autoSpaceDE w:val="0"/>
        <w:autoSpaceDN w:val="0"/>
        <w:adjustRightInd w:val="0"/>
        <w:ind w:left="284"/>
        <w:jc w:val="both"/>
        <w:rPr>
          <w:color w:val="000000"/>
          <w:szCs w:val="20"/>
        </w:rPr>
      </w:pPr>
      <w:r w:rsidRPr="002633D9">
        <w:rPr>
          <w:color w:val="000000"/>
          <w:szCs w:val="20"/>
        </w:rPr>
        <w:t>Bevoegdheid: Welzijn, Volksgezondheid en Gezin</w:t>
      </w:r>
    </w:p>
    <w:p w:rsidR="00F3603F" w:rsidRPr="002633D9" w:rsidRDefault="00F3603F" w:rsidP="002633D9">
      <w:pPr>
        <w:autoSpaceDE w:val="0"/>
        <w:autoSpaceDN w:val="0"/>
        <w:adjustRightInd w:val="0"/>
        <w:ind w:left="284"/>
        <w:jc w:val="both"/>
        <w:rPr>
          <w:b/>
          <w:bCs/>
          <w:color w:val="000000"/>
          <w:szCs w:val="20"/>
        </w:rPr>
      </w:pPr>
    </w:p>
    <w:p w:rsidR="00F3603F" w:rsidRPr="002633D9" w:rsidRDefault="00F3603F" w:rsidP="002633D9">
      <w:pPr>
        <w:autoSpaceDE w:val="0"/>
        <w:autoSpaceDN w:val="0"/>
        <w:adjustRightInd w:val="0"/>
        <w:ind w:left="284"/>
        <w:jc w:val="both"/>
        <w:rPr>
          <w:color w:val="000000"/>
          <w:szCs w:val="20"/>
        </w:rPr>
      </w:pPr>
      <w:r w:rsidRPr="002633D9">
        <w:rPr>
          <w:bCs/>
          <w:color w:val="000000"/>
          <w:szCs w:val="20"/>
        </w:rPr>
        <w:t xml:space="preserve">Kind en Gezin </w:t>
      </w:r>
      <w:r w:rsidRPr="002633D9">
        <w:rPr>
          <w:color w:val="000000"/>
          <w:szCs w:val="20"/>
        </w:rPr>
        <w:t>en zijn partners realiseren een aanbod waarbij moeders en vaders worden aangesproken in hun ouderrol zodat beiden zich ondersteund weten.</w:t>
      </w:r>
    </w:p>
    <w:p w:rsidR="00F3603F" w:rsidRPr="002633D9" w:rsidRDefault="00F3603F" w:rsidP="002633D9">
      <w:pPr>
        <w:autoSpaceDE w:val="0"/>
        <w:autoSpaceDN w:val="0"/>
        <w:adjustRightInd w:val="0"/>
        <w:ind w:left="284"/>
        <w:jc w:val="both"/>
        <w:rPr>
          <w:b/>
          <w:bCs/>
          <w:color w:val="000000"/>
          <w:szCs w:val="20"/>
        </w:rPr>
      </w:pPr>
    </w:p>
    <w:p w:rsidR="00F3603F" w:rsidRPr="002633D9" w:rsidRDefault="00F3603F" w:rsidP="002633D9">
      <w:pPr>
        <w:autoSpaceDE w:val="0"/>
        <w:autoSpaceDN w:val="0"/>
        <w:adjustRightInd w:val="0"/>
        <w:ind w:left="284"/>
        <w:jc w:val="both"/>
        <w:rPr>
          <w:color w:val="000000"/>
          <w:szCs w:val="20"/>
        </w:rPr>
      </w:pPr>
      <w:r w:rsidRPr="002633D9">
        <w:rPr>
          <w:bCs/>
          <w:color w:val="000000"/>
          <w:szCs w:val="20"/>
        </w:rPr>
        <w:t xml:space="preserve">Kind en Gezin </w:t>
      </w:r>
      <w:r w:rsidRPr="002633D9">
        <w:rPr>
          <w:color w:val="000000"/>
          <w:szCs w:val="20"/>
        </w:rPr>
        <w:t>realiseert eveneens een communicatiebeleid waarbinnen moeders én vaders een evenwaardige plaats krijgen als opvoedingsverantwoordelijke.</w:t>
      </w:r>
    </w:p>
    <w:p w:rsidR="00F3603F" w:rsidRPr="002633D9" w:rsidRDefault="00F3603F" w:rsidP="002633D9">
      <w:pPr>
        <w:ind w:left="284"/>
        <w:jc w:val="both"/>
        <w:rPr>
          <w:color w:val="000000"/>
          <w:szCs w:val="20"/>
        </w:rPr>
      </w:pPr>
    </w:p>
    <w:p w:rsidR="00F3603F" w:rsidRPr="002633D9" w:rsidRDefault="00F3603F" w:rsidP="002633D9">
      <w:pPr>
        <w:ind w:left="284"/>
        <w:jc w:val="both"/>
        <w:rPr>
          <w:b/>
          <w:color w:val="000000"/>
          <w:szCs w:val="20"/>
        </w:rPr>
      </w:pPr>
      <w:r w:rsidRPr="002633D9">
        <w:rPr>
          <w:b/>
          <w:color w:val="000000"/>
          <w:szCs w:val="20"/>
        </w:rPr>
        <w:t>Generieke doelstelling voor alle beleidsdomeinen:</w:t>
      </w:r>
    </w:p>
    <w:p w:rsidR="00F3603F" w:rsidRPr="002633D9" w:rsidRDefault="00F3603F" w:rsidP="002633D9">
      <w:pPr>
        <w:autoSpaceDE w:val="0"/>
        <w:autoSpaceDN w:val="0"/>
        <w:adjustRightInd w:val="0"/>
        <w:spacing w:line="261" w:lineRule="atLeast"/>
        <w:ind w:left="284"/>
        <w:jc w:val="both"/>
        <w:rPr>
          <w:color w:val="000000"/>
          <w:szCs w:val="20"/>
        </w:rPr>
      </w:pPr>
      <w:r w:rsidRPr="002633D9">
        <w:rPr>
          <w:color w:val="000000"/>
          <w:szCs w:val="20"/>
        </w:rPr>
        <w:t>Het ‘gelijkekansengevoelig’ maken waar mogelijk en zinvol van de subsidiereglementering in het eigen beleidsdomein via de opname van een toegankelijkheids-, een diversiteits- en een anti-discri</w:t>
      </w:r>
      <w:r>
        <w:rPr>
          <w:color w:val="000000"/>
          <w:szCs w:val="20"/>
        </w:rPr>
        <w:softHyphen/>
      </w:r>
      <w:r w:rsidRPr="002633D9">
        <w:rPr>
          <w:color w:val="000000"/>
          <w:szCs w:val="20"/>
        </w:rPr>
        <w:t>minatieclausule.</w:t>
      </w:r>
    </w:p>
    <w:p w:rsidR="00F3603F" w:rsidRPr="002633D9" w:rsidRDefault="00F3603F" w:rsidP="002633D9">
      <w:pPr>
        <w:autoSpaceDE w:val="0"/>
        <w:autoSpaceDN w:val="0"/>
        <w:adjustRightInd w:val="0"/>
        <w:spacing w:line="201" w:lineRule="atLeast"/>
        <w:ind w:left="284"/>
        <w:jc w:val="both"/>
        <w:rPr>
          <w:color w:val="000000"/>
          <w:szCs w:val="20"/>
        </w:rPr>
      </w:pPr>
    </w:p>
    <w:p w:rsidR="00F3603F" w:rsidRPr="002633D9" w:rsidRDefault="00F3603F" w:rsidP="002633D9">
      <w:pPr>
        <w:autoSpaceDE w:val="0"/>
        <w:autoSpaceDN w:val="0"/>
        <w:adjustRightInd w:val="0"/>
        <w:spacing w:line="201" w:lineRule="atLeast"/>
        <w:ind w:left="284"/>
        <w:jc w:val="both"/>
        <w:rPr>
          <w:color w:val="000000"/>
          <w:szCs w:val="20"/>
        </w:rPr>
      </w:pPr>
      <w:r w:rsidRPr="002633D9">
        <w:rPr>
          <w:color w:val="000000"/>
          <w:szCs w:val="20"/>
        </w:rPr>
        <w:t xml:space="preserve">Hierbij zal gewerkt worden in drie stappen: </w:t>
      </w:r>
    </w:p>
    <w:p w:rsidR="00F3603F" w:rsidRPr="002633D9" w:rsidRDefault="00F3603F" w:rsidP="002633D9">
      <w:pPr>
        <w:autoSpaceDE w:val="0"/>
        <w:autoSpaceDN w:val="0"/>
        <w:adjustRightInd w:val="0"/>
        <w:spacing w:line="201" w:lineRule="atLeast"/>
        <w:ind w:left="284"/>
        <w:jc w:val="both"/>
        <w:rPr>
          <w:color w:val="000000"/>
          <w:szCs w:val="20"/>
        </w:rPr>
      </w:pPr>
    </w:p>
    <w:p w:rsidR="00F3603F" w:rsidRPr="002633D9" w:rsidRDefault="00F3603F" w:rsidP="002633D9">
      <w:pPr>
        <w:numPr>
          <w:ilvl w:val="0"/>
          <w:numId w:val="18"/>
        </w:numPr>
        <w:tabs>
          <w:tab w:val="clear" w:pos="360"/>
        </w:tabs>
        <w:autoSpaceDE w:val="0"/>
        <w:autoSpaceDN w:val="0"/>
        <w:adjustRightInd w:val="0"/>
        <w:spacing w:line="201" w:lineRule="atLeast"/>
        <w:ind w:left="567" w:hanging="283"/>
        <w:jc w:val="both"/>
        <w:rPr>
          <w:color w:val="000000"/>
          <w:szCs w:val="20"/>
        </w:rPr>
      </w:pPr>
      <w:r w:rsidRPr="002633D9">
        <w:rPr>
          <w:color w:val="000000"/>
          <w:szCs w:val="20"/>
        </w:rPr>
        <w:t xml:space="preserve">Binnen elk beleidsdomein wordt een inventaris gemaakt van alle subsidiestromen; </w:t>
      </w:r>
    </w:p>
    <w:p w:rsidR="00F3603F" w:rsidRPr="002633D9" w:rsidRDefault="00F3603F" w:rsidP="002633D9">
      <w:pPr>
        <w:numPr>
          <w:ilvl w:val="0"/>
          <w:numId w:val="18"/>
        </w:numPr>
        <w:tabs>
          <w:tab w:val="clear" w:pos="360"/>
        </w:tabs>
        <w:autoSpaceDE w:val="0"/>
        <w:autoSpaceDN w:val="0"/>
        <w:adjustRightInd w:val="0"/>
        <w:spacing w:line="201" w:lineRule="atLeast"/>
        <w:ind w:left="567" w:hanging="283"/>
        <w:jc w:val="both"/>
        <w:rPr>
          <w:color w:val="000000"/>
          <w:szCs w:val="20"/>
        </w:rPr>
      </w:pPr>
      <w:r w:rsidRPr="002633D9">
        <w:rPr>
          <w:color w:val="000000"/>
          <w:szCs w:val="20"/>
        </w:rPr>
        <w:t>Binnen elk beleidsdomein wordt vervolgens onderzocht in welke subsidiereglementen het mogelijk en zinvol is om een toegankelijkheids-, en/of diversiteits- en/of anti-discriminatie</w:t>
      </w:r>
      <w:r>
        <w:rPr>
          <w:color w:val="000000"/>
          <w:szCs w:val="20"/>
        </w:rPr>
        <w:softHyphen/>
      </w:r>
      <w:r w:rsidRPr="002633D9">
        <w:rPr>
          <w:color w:val="000000"/>
          <w:szCs w:val="20"/>
        </w:rPr>
        <w:t xml:space="preserve">clausule op te nemen; </w:t>
      </w:r>
    </w:p>
    <w:p w:rsidR="00F3603F" w:rsidRPr="002633D9" w:rsidRDefault="00F3603F" w:rsidP="002633D9">
      <w:pPr>
        <w:numPr>
          <w:ilvl w:val="0"/>
          <w:numId w:val="18"/>
        </w:numPr>
        <w:tabs>
          <w:tab w:val="clear" w:pos="360"/>
        </w:tabs>
        <w:ind w:left="567" w:hanging="283"/>
        <w:jc w:val="both"/>
        <w:rPr>
          <w:szCs w:val="22"/>
        </w:rPr>
      </w:pPr>
      <w:r w:rsidRPr="002633D9">
        <w:t>Er wordt een clausule bepaald en geïntegreerd in de relevante subsidiereglementen. Bij het bepalen van een formulering wordt gestreefd naar een zo groot mogelijke mate van eenvormig</w:t>
      </w:r>
      <w:r>
        <w:softHyphen/>
      </w:r>
      <w:r w:rsidRPr="002633D9">
        <w:t>heid en afstemming over de grenzen van de beleidsdomeinen heen.</w:t>
      </w:r>
    </w:p>
    <w:p w:rsidR="00F3603F" w:rsidRPr="002633D9" w:rsidRDefault="00F3603F" w:rsidP="002633D9">
      <w:pPr>
        <w:ind w:left="284" w:hanging="284"/>
        <w:jc w:val="both"/>
        <w:rPr>
          <w:szCs w:val="22"/>
        </w:rPr>
      </w:pPr>
    </w:p>
    <w:p w:rsidR="00F3603F" w:rsidRPr="002633D9" w:rsidRDefault="00F3603F" w:rsidP="002633D9">
      <w:pPr>
        <w:autoSpaceDE w:val="0"/>
        <w:autoSpaceDN w:val="0"/>
        <w:adjustRightInd w:val="0"/>
        <w:ind w:left="284"/>
        <w:jc w:val="both"/>
        <w:rPr>
          <w:color w:val="000000"/>
          <w:szCs w:val="22"/>
        </w:rPr>
      </w:pPr>
      <w:r w:rsidRPr="002633D9">
        <w:rPr>
          <w:color w:val="000000"/>
          <w:szCs w:val="22"/>
          <w:lang w:val="nl-BE"/>
        </w:rPr>
        <w:t xml:space="preserve">Het </w:t>
      </w:r>
      <w:r w:rsidRPr="002633D9">
        <w:rPr>
          <w:b/>
          <w:color w:val="000000"/>
          <w:szCs w:val="22"/>
          <w:lang w:val="nl-BE"/>
        </w:rPr>
        <w:t>Vlaams Agentschap voor Personen met een Handicap</w:t>
      </w:r>
      <w:r w:rsidRPr="002633D9">
        <w:rPr>
          <w:color w:val="000000"/>
          <w:szCs w:val="22"/>
          <w:lang w:val="nl-BE"/>
        </w:rPr>
        <w:t xml:space="preserve"> (VAPH) erkent </w:t>
      </w:r>
      <w:r w:rsidRPr="002633D9">
        <w:rPr>
          <w:color w:val="000000"/>
          <w:szCs w:val="22"/>
        </w:rPr>
        <w:t>geen voorzieningen die zich specifiek tot allochtonen richten. Sommige voorzieningen hebben er door hun (grootstedelijke) inplanting wel meer mee te maken dan anderen, doch voor zover bekend is er geen actieve profilering op dit vlak.</w:t>
      </w:r>
    </w:p>
    <w:p w:rsidR="00F3603F" w:rsidRPr="002633D9" w:rsidRDefault="00F3603F" w:rsidP="002633D9">
      <w:pPr>
        <w:autoSpaceDE w:val="0"/>
        <w:autoSpaceDN w:val="0"/>
        <w:adjustRightInd w:val="0"/>
        <w:ind w:left="284"/>
        <w:jc w:val="both"/>
        <w:rPr>
          <w:color w:val="000000"/>
          <w:szCs w:val="22"/>
        </w:rPr>
      </w:pPr>
    </w:p>
    <w:p w:rsidR="00F3603F" w:rsidRPr="002633D9" w:rsidRDefault="00F3603F" w:rsidP="002633D9">
      <w:pPr>
        <w:autoSpaceDE w:val="0"/>
        <w:autoSpaceDN w:val="0"/>
        <w:adjustRightInd w:val="0"/>
        <w:ind w:left="284"/>
        <w:jc w:val="both"/>
        <w:rPr>
          <w:color w:val="000000"/>
          <w:szCs w:val="22"/>
        </w:rPr>
      </w:pPr>
      <w:r w:rsidRPr="002633D9">
        <w:rPr>
          <w:color w:val="000000"/>
          <w:szCs w:val="22"/>
        </w:rPr>
        <w:t>De generieke minimale kwaliteitseisen die gelden voor door het VAPH erkende diensten en voorzieningen, stellen evenwel dat een voorziening niet mag discrimineren, en dat er respect moet zijn voor de cultuur en geloofsovertuiging van éénieder. Sommige voorzieningen nemen dit zeer ernstig en passen bijvoorbeeld hun voeding aan indien gewenst.</w:t>
      </w:r>
      <w:r w:rsidRPr="002633D9">
        <w:rPr>
          <w:color w:val="FF0000"/>
          <w:szCs w:val="22"/>
        </w:rPr>
        <w:t xml:space="preserve"> </w:t>
      </w:r>
      <w:r w:rsidRPr="002633D9">
        <w:rPr>
          <w:color w:val="000000"/>
          <w:szCs w:val="22"/>
        </w:rPr>
        <w:t xml:space="preserve">Binnen het VAPH-beleid worden momenteel geen specifieke acties vooropgesteld naar allochtonen met een beperking. </w:t>
      </w:r>
    </w:p>
    <w:p w:rsidR="00F3603F" w:rsidRPr="002633D9" w:rsidRDefault="00F3603F" w:rsidP="002633D9">
      <w:pPr>
        <w:autoSpaceDE w:val="0"/>
        <w:autoSpaceDN w:val="0"/>
        <w:adjustRightInd w:val="0"/>
        <w:ind w:left="284"/>
        <w:jc w:val="both"/>
        <w:rPr>
          <w:color w:val="000000"/>
          <w:szCs w:val="22"/>
        </w:rPr>
      </w:pPr>
    </w:p>
    <w:p w:rsidR="00F3603F" w:rsidRPr="002633D9" w:rsidRDefault="00F3603F" w:rsidP="002633D9">
      <w:pPr>
        <w:ind w:left="284"/>
        <w:jc w:val="both"/>
      </w:pPr>
      <w:r w:rsidRPr="002633D9">
        <w:t xml:space="preserve">Het </w:t>
      </w:r>
      <w:r w:rsidRPr="002633D9">
        <w:rPr>
          <w:b/>
        </w:rPr>
        <w:t>OPZC Rekem</w:t>
      </w:r>
      <w:r w:rsidRPr="002633D9">
        <w:t xml:space="preserve"> neemt volgende initiatieven m.b.t. integratie:</w:t>
      </w:r>
    </w:p>
    <w:p w:rsidR="00F3603F" w:rsidRPr="002633D9" w:rsidRDefault="00F3603F" w:rsidP="002633D9">
      <w:pPr>
        <w:ind w:left="284"/>
        <w:jc w:val="both"/>
      </w:pPr>
    </w:p>
    <w:p w:rsidR="00F3603F" w:rsidRPr="002633D9" w:rsidRDefault="00F3603F" w:rsidP="002633D9">
      <w:pPr>
        <w:ind w:left="284"/>
        <w:jc w:val="both"/>
      </w:pPr>
      <w:r w:rsidRPr="002633D9">
        <w:t>In de beheersovereenkomst van het Openbaar Psychiatrisch Zorgcentrum Rekem (OPZC Rekem) is het volgende streefcijfer opgenomen met betrekking tot het gelijke kansen beleid en diversiteit:</w:t>
      </w:r>
    </w:p>
    <w:p w:rsidR="00F3603F" w:rsidRPr="002633D9" w:rsidRDefault="00F3603F" w:rsidP="00E839C5">
      <w:pPr>
        <w:numPr>
          <w:ilvl w:val="0"/>
          <w:numId w:val="25"/>
        </w:numPr>
        <w:jc w:val="both"/>
      </w:pPr>
      <w:r w:rsidRPr="002633D9">
        <w:t>4,0% personen van allochtone afkomst in het personeelsbestand tegen 2015</w:t>
      </w:r>
    </w:p>
    <w:p w:rsidR="00F3603F" w:rsidRPr="002633D9" w:rsidRDefault="00F3603F" w:rsidP="002633D9">
      <w:pPr>
        <w:ind w:left="284"/>
        <w:jc w:val="both"/>
      </w:pPr>
    </w:p>
    <w:p w:rsidR="00F3603F" w:rsidRPr="002633D9" w:rsidRDefault="00F3603F" w:rsidP="002633D9">
      <w:pPr>
        <w:ind w:left="284"/>
        <w:jc w:val="both"/>
      </w:pPr>
      <w:r w:rsidRPr="002633D9">
        <w:t>Het OPZC Rekem volgt het percentage allochtone werknemers regelmatig op. Hieruit blijkt dat het percentage allochtone werknemers in het OPZC Rekem overstemt met het percentage allochtonen dat afstudeert in de richtingen waaruit het OPZC Rekem rekruteert.</w:t>
      </w:r>
    </w:p>
    <w:p w:rsidR="00F3603F" w:rsidRPr="002633D9" w:rsidRDefault="00F3603F" w:rsidP="002633D9">
      <w:pPr>
        <w:ind w:left="284"/>
        <w:jc w:val="both"/>
      </w:pPr>
    </w:p>
    <w:p w:rsidR="00F3603F" w:rsidRPr="002633D9" w:rsidRDefault="00F3603F" w:rsidP="002633D9">
      <w:pPr>
        <w:adjustRightInd w:val="0"/>
        <w:ind w:left="284"/>
        <w:jc w:val="both"/>
        <w:rPr>
          <w:color w:val="000000"/>
          <w:szCs w:val="22"/>
        </w:rPr>
      </w:pPr>
      <w:r w:rsidRPr="002633D9">
        <w:rPr>
          <w:color w:val="000000"/>
          <w:szCs w:val="22"/>
          <w:lang w:val="nl-BE"/>
        </w:rPr>
        <w:t>Binnen de beleidsvelden samenlevingsopbouw, diensten voor schuldbemiddeling, centra integrale gezinszorg en verenigingen waar armen het woord nemen, zijn er geen voorzieningen erkend</w:t>
      </w:r>
      <w:r w:rsidRPr="002633D9">
        <w:rPr>
          <w:color w:val="000000"/>
          <w:szCs w:val="22"/>
        </w:rPr>
        <w:t xml:space="preserve"> die zich specifiek tot allochtonen, holebi's of andere minderheidsgroepen richten. Sommige voorzieningen echter hebben door hun (grootstedelijke) inplanting meer met deze thematiek te maken dan anderen, maar zij profileren zich niet specifiek naar deze doelgroep. Een aantal centra voor algemeen </w:t>
      </w:r>
      <w:r w:rsidRPr="002633D9">
        <w:rPr>
          <w:b/>
          <w:color w:val="000000"/>
          <w:szCs w:val="22"/>
        </w:rPr>
        <w:t>welzijnswerk</w:t>
      </w:r>
      <w:r w:rsidRPr="002633D9">
        <w:rPr>
          <w:color w:val="000000"/>
          <w:szCs w:val="22"/>
        </w:rPr>
        <w:t xml:space="preserve"> hebben wel een specifieke onthaalwerking voor allochtonen uitgebouwd vanuit de overtuiging deze doelgroep op die manier beter te kunnen bereiken. Dit past ook binnen de sectorspecifieke minimale kwaliteiteisen waaraan de centra moeten voldoen:</w:t>
      </w:r>
    </w:p>
    <w:p w:rsidR="00F3603F" w:rsidRPr="002633D9" w:rsidRDefault="00F3603F" w:rsidP="00E839C5">
      <w:pPr>
        <w:numPr>
          <w:ilvl w:val="0"/>
          <w:numId w:val="25"/>
        </w:numPr>
        <w:adjustRightInd w:val="0"/>
        <w:jc w:val="both"/>
        <w:rPr>
          <w:szCs w:val="22"/>
        </w:rPr>
      </w:pPr>
      <w:r w:rsidRPr="002633D9">
        <w:rPr>
          <w:color w:val="000000"/>
          <w:szCs w:val="22"/>
        </w:rPr>
        <w:t>het centrum besteedt aandacht aan de fysieke, culturele en psychologische aspecten van bereikbaarheid en toegankelijkheid voor zijn doelgroepen;</w:t>
      </w:r>
    </w:p>
    <w:p w:rsidR="00F3603F" w:rsidRPr="002633D9" w:rsidRDefault="00F3603F" w:rsidP="00E839C5">
      <w:pPr>
        <w:numPr>
          <w:ilvl w:val="0"/>
          <w:numId w:val="25"/>
        </w:numPr>
        <w:adjustRightInd w:val="0"/>
        <w:jc w:val="both"/>
        <w:rPr>
          <w:szCs w:val="22"/>
        </w:rPr>
      </w:pPr>
      <w:r w:rsidRPr="002633D9">
        <w:rPr>
          <w:color w:val="000000"/>
          <w:szCs w:val="22"/>
        </w:rPr>
        <w:t>het centrum treft maatregelen om specifieke doelgroepen actief te bereiken.</w:t>
      </w:r>
    </w:p>
    <w:p w:rsidR="00F3603F" w:rsidRPr="002633D9" w:rsidRDefault="00F3603F" w:rsidP="00681B88">
      <w:pPr>
        <w:jc w:val="both"/>
      </w:pPr>
    </w:p>
    <w:p w:rsidR="00F3603F" w:rsidRPr="002633D9" w:rsidRDefault="00F3603F" w:rsidP="002633D9">
      <w:pPr>
        <w:ind w:left="284" w:hanging="284"/>
        <w:jc w:val="both"/>
      </w:pPr>
      <w:r w:rsidRPr="002633D9">
        <w:t xml:space="preserve">2. </w:t>
      </w:r>
      <w:r w:rsidRPr="002633D9">
        <w:tab/>
        <w:t>Als Vlaams minister van Welzijn, Volksgezondheid en Gezin heb de voorbije jaren het Steunpunt Gezondheid en Vreemdelingenrecht gesubsidieerd. Er zijn op dit ogenblik nog geen concrete projecten voorzien om goede voorbeelden meer bekendheid te geven. Het Vlaams Agentschap Zorg en Gezondheid bekijkt de mogelijkheden daartoe bij het beoordelen van de subsidieaanvraag.</w:t>
      </w:r>
    </w:p>
    <w:p w:rsidR="00F3603F" w:rsidRPr="002633D9" w:rsidRDefault="00F3603F" w:rsidP="002633D9">
      <w:pPr>
        <w:ind w:left="284" w:hanging="284"/>
        <w:jc w:val="both"/>
      </w:pPr>
    </w:p>
    <w:p w:rsidR="00F3603F" w:rsidRPr="002633D9" w:rsidRDefault="00F3603F" w:rsidP="002633D9">
      <w:pPr>
        <w:ind w:left="284" w:hanging="284"/>
        <w:jc w:val="both"/>
      </w:pPr>
      <w:r w:rsidRPr="002633D9">
        <w:t xml:space="preserve">3. </w:t>
      </w:r>
      <w:r w:rsidRPr="002633D9">
        <w:tab/>
        <w:t>In de beleidsnota is de realisatie van een toegankelijke en beschikbare dienstverlening, met aandacht voor de facetten eigen aan de leefsituatie en zorgnoden van de specifieke doelgroepen, opgenomen. Bij de uitbouw van de hulp- en dienstverlening is zorg op maat aanbieden voor alle zorgvragers een aandachtspunt. Ik laat mij daarbij adviseren door de adviesorganen binnen mijn beleidsdomein. Ik bekijk of de allochtone populatie hierin vertegenwoordigd is en of het Steunpunt Gezondheid en Vreemdelingenrecht een (bijkomende) rol kan opnemen.</w:t>
      </w:r>
    </w:p>
    <w:p w:rsidR="00F3603F" w:rsidRPr="002633D9" w:rsidRDefault="00F3603F" w:rsidP="002633D9">
      <w:pPr>
        <w:ind w:left="284" w:hanging="284"/>
        <w:jc w:val="both"/>
      </w:pPr>
    </w:p>
    <w:p w:rsidR="00F3603F" w:rsidRDefault="00F3603F" w:rsidP="00F1482C">
      <w:pPr>
        <w:pStyle w:val="ListParagraph"/>
        <w:numPr>
          <w:ilvl w:val="0"/>
          <w:numId w:val="18"/>
        </w:numPr>
        <w:jc w:val="both"/>
      </w:pPr>
      <w:r w:rsidRPr="002633D9">
        <w:t>Op 21 mei ll. heb ik de nota “Werk maken van werk in de zorgsector – actieplan ter bevordering van de werkgelegenheid in de zorgsector” voorgelegd aan de Vlaamse Regering. Dit plan voorziet in een pakket van acties op vlak van instroom, doorstroom en behoud van personeel. Omdat nog te weinig allochtone jongeren de weg naar de zorgsector vinden om diverse redenen zal in overleg met de allochtone gemeenschap, de koepels van de zorgsector en de ministers van Onderwijs en Inburgering worden nagegaan op welke manier allochtone jongeren kunnen gemotiveerd worden om de stap naar één van de zorgberoepen te zetten. Om de veelheid aan campagnes te coördineren en af te stemmen zal ik dit jaar nog een commissaris voor de promot</w:t>
      </w:r>
      <w:r>
        <w:t>ie van de zorgberoepen aanstellen</w:t>
      </w:r>
      <w:r w:rsidRPr="002633D9">
        <w:t>.</w:t>
      </w:r>
    </w:p>
    <w:p w:rsidR="00F3603F" w:rsidRDefault="00F3603F" w:rsidP="00F1482C">
      <w:pPr>
        <w:jc w:val="both"/>
        <w:rPr>
          <w:b/>
          <w:u w:val="single"/>
        </w:rPr>
      </w:pPr>
      <w:r>
        <w:rPr>
          <w:b/>
          <w:u w:val="single"/>
        </w:rPr>
        <w:t>Deelantwoord van de heer Pascal Smet</w:t>
      </w:r>
    </w:p>
    <w:p w:rsidR="00F3603F" w:rsidRDefault="00F3603F" w:rsidP="00F1482C">
      <w:pPr>
        <w:jc w:val="both"/>
        <w:rPr>
          <w:b/>
          <w:u w:val="single"/>
        </w:rPr>
      </w:pPr>
    </w:p>
    <w:p w:rsidR="00F3603F" w:rsidRDefault="00F3603F" w:rsidP="002A7D22">
      <w:pPr>
        <w:numPr>
          <w:ilvl w:val="0"/>
          <w:numId w:val="21"/>
        </w:numPr>
        <w:tabs>
          <w:tab w:val="clear" w:pos="720"/>
          <w:tab w:val="num" w:pos="-1843"/>
        </w:tabs>
        <w:ind w:left="360"/>
        <w:jc w:val="both"/>
      </w:pPr>
      <w:r>
        <w:t>Er zijn wel degelijk doelstellingen geformuleerd die linken hebben met het integratiedecreet of -beleid of sterker zelfs die er mee vorm aan geven. Zo werd in de beleidsbrief de strategische doelstelling “Kansen geven aan elk talent“ geformuleerd. De operationele doelstellingen die van daaruit verder uitgewerkt zijn en te maken kunnen hebben met het integratiedecreet zijn enerzijds “De armoede bestrijden en sociale inclusie bevorderen” en anderzijds “De participatie aan het kleuteronderwijs maximaliseren”.</w:t>
      </w:r>
    </w:p>
    <w:p w:rsidR="00F3603F" w:rsidRDefault="00F3603F" w:rsidP="002A7D22">
      <w:pPr>
        <w:ind w:left="357"/>
        <w:jc w:val="both"/>
        <w:rPr>
          <w:szCs w:val="22"/>
          <w:lang w:val="nl-BE"/>
        </w:rPr>
      </w:pPr>
      <w:r>
        <w:t xml:space="preserve">Binnen operationele doelstelling 1, armoede bestrijden en sociale inclusie bevorderen, heb ik werk gemaakt van het verhogen van de schooltoelage. </w:t>
      </w:r>
      <w:r>
        <w:rPr>
          <w:szCs w:val="22"/>
          <w:lang w:val="nl-BE"/>
        </w:rPr>
        <w:t>Kinderen van ouders met een beperkt inkomen ontvangen van in de kleuterklas tot en met het hoger onderwijs een school- of studietoelage. De inkomensgrenzen zijn zo bepaald dat momenteel ongeveer één kwart van alle gezinnen in aanmerking komt voor zo’n toelage. Het is echter mijn bedoeling om daar nog verder in te gaan en ervoor te zorgen dat de school- of studietoelage automatisch zal worden toegekend aan iedereen die er recht op heeft, want ik veronderstel dat er nog heel wat ouders zijn die een studiefinanciering echt nodig hebben en geen aanvraag indienen.</w:t>
      </w:r>
    </w:p>
    <w:p w:rsidR="00F3603F" w:rsidRDefault="00F3603F" w:rsidP="002A7D22">
      <w:pPr>
        <w:ind w:left="357"/>
        <w:jc w:val="both"/>
        <w:rPr>
          <w:szCs w:val="22"/>
          <w:lang w:val="nl-BE"/>
        </w:rPr>
      </w:pPr>
      <w:r>
        <w:rPr>
          <w:szCs w:val="22"/>
          <w:lang w:val="nl-BE"/>
        </w:rPr>
        <w:t>Ook operationele doelstelling 2, nl. het maximaliseren van de kleuterparticipatie heeft als bedoeling om kleuters in het algemeen en kleuters van bepaalde doelgroepen in het bijzonder meer te laten participeren aan het kleuteronderwijs zowel op het gebied van effectief ingeschreven zijn in een kleuterschool als effectieve aanwezigheid en regelmatige participatie aan het kleuteronderwijs. De acties die daarbij worden ondernomen, liggen nog steeds op het vlak van sensibilisering van de ouders. Het zijn in de eerste plaats de ouders van bepaalde doelgroepen die het belang van kleuteronderwijs moeten inzien. Een geregelde aanwezigheid in de kleuterklas is de eerste stap naar een succesvolle schoolloopbaan van het kind.</w:t>
      </w:r>
    </w:p>
    <w:p w:rsidR="00F3603F" w:rsidRDefault="00F3603F" w:rsidP="002A7D22">
      <w:pPr>
        <w:ind w:left="357"/>
        <w:jc w:val="both"/>
        <w:rPr>
          <w:szCs w:val="22"/>
          <w:lang w:val="nl-BE"/>
        </w:rPr>
      </w:pPr>
      <w:r>
        <w:rPr>
          <w:szCs w:val="22"/>
          <w:lang w:val="nl-BE"/>
        </w:rPr>
        <w:t>Vanaf dit schooljaar wordt er ook voor de eerste keer een koppeling gemaakt tussen de toekenning van de schooltoelage en een regelmatige aanwezigheid in de kleuterklas en daarenboven is vanaf het schooljaar 2010-2011 een regelmatige aanwezigheid in de derde kleuterklas een toelatings</w:t>
      </w:r>
      <w:r>
        <w:rPr>
          <w:szCs w:val="22"/>
          <w:lang w:val="nl-BE"/>
        </w:rPr>
        <w:softHyphen/>
        <w:t>voorwaarde geworden om op 6-jarige leeftijd te mogen overgaan naar het eerste leerjaar.</w:t>
      </w:r>
    </w:p>
    <w:p w:rsidR="00F3603F" w:rsidRDefault="00F3603F" w:rsidP="002A7D22">
      <w:pPr>
        <w:ind w:left="357"/>
        <w:jc w:val="both"/>
        <w:rPr>
          <w:szCs w:val="22"/>
          <w:lang w:val="nl-BE"/>
        </w:rPr>
      </w:pPr>
    </w:p>
    <w:p w:rsidR="00F3603F" w:rsidRDefault="00F3603F" w:rsidP="002A7D22">
      <w:pPr>
        <w:numPr>
          <w:ilvl w:val="0"/>
          <w:numId w:val="21"/>
        </w:numPr>
        <w:tabs>
          <w:tab w:val="num" w:pos="360"/>
        </w:tabs>
        <w:ind w:left="360"/>
        <w:jc w:val="both"/>
        <w:rPr>
          <w:szCs w:val="22"/>
          <w:lang w:val="nl-BE"/>
        </w:rPr>
      </w:pPr>
      <w:r>
        <w:rPr>
          <w:szCs w:val="22"/>
        </w:rPr>
        <w:t xml:space="preserve">Binnen het kleuter- en het lager onderwijs </w:t>
      </w:r>
      <w:r>
        <w:rPr>
          <w:szCs w:val="22"/>
          <w:lang w:val="nl-BE"/>
        </w:rPr>
        <w:t>zijn er verschillende maatregelen die zich richten naar de groep Roma als onderdeel van een bredere categorie. Deze</w:t>
      </w:r>
      <w:r>
        <w:rPr>
          <w:szCs w:val="22"/>
        </w:rPr>
        <w:t xml:space="preserve"> maatregelen kunnen zowel slaan op bijkomende omkadering als op bijkomende werkingsmiddelen voor de scholen. Dit zijn maatregelen die niet nieuw zijn; sommige bestaan al een tiental jaren, andere zijn meer recent ingevoerd (oa. het nieuw financieringssysteem). Deze maatregelen zijn de volgende:</w:t>
      </w:r>
    </w:p>
    <w:p w:rsidR="00F3603F" w:rsidRDefault="00F3603F" w:rsidP="002A7D22">
      <w:pPr>
        <w:numPr>
          <w:ilvl w:val="0"/>
          <w:numId w:val="22"/>
        </w:numPr>
        <w:jc w:val="both"/>
        <w:rPr>
          <w:szCs w:val="22"/>
        </w:rPr>
      </w:pPr>
      <w:r>
        <w:rPr>
          <w:szCs w:val="22"/>
        </w:rPr>
        <w:t xml:space="preserve">De gewone omkadering voor de scholen is een afgeleide van het aantal leerlingen. In deze omkadering tellen leerlingen wiens ouders tot de “trekkende bevolking” behoren (en waar Roma deel van uitmaken) niet aan één, zoals de meeste andere leerlingen, maar aan anderhalf. </w:t>
      </w:r>
    </w:p>
    <w:p w:rsidR="00F3603F" w:rsidRDefault="00F3603F" w:rsidP="002A7D22">
      <w:pPr>
        <w:numPr>
          <w:ilvl w:val="0"/>
          <w:numId w:val="22"/>
        </w:numPr>
        <w:jc w:val="both"/>
        <w:rPr>
          <w:szCs w:val="22"/>
        </w:rPr>
      </w:pPr>
      <w:r>
        <w:rPr>
          <w:szCs w:val="22"/>
        </w:rPr>
        <w:t xml:space="preserve">Naast het gewone omkaderingssysteem wordt ook voorzien in additionele omkadering voor scholen met “kansarme” leerlingen. Hiertoe werden een aantal kansarmoede-indicatoren weerhouden. Kinderen van Roma voldoen meestal aan meerdere van deze indicatoren (vb. opleidingsniveau van de moeder, behoren tot de trekkende bevolking, het ontvangen van een school- of studietoelage en de thuistaal). Dat betekent dat de school voor die leerlingen aanvullende GOK-omkadering geniet. Deze maatregel is ingevoerd sinds 1 september 2002. </w:t>
      </w:r>
    </w:p>
    <w:p w:rsidR="00F3603F" w:rsidRDefault="00F3603F" w:rsidP="002A7D22">
      <w:pPr>
        <w:numPr>
          <w:ilvl w:val="0"/>
          <w:numId w:val="22"/>
        </w:numPr>
        <w:jc w:val="both"/>
        <w:rPr>
          <w:szCs w:val="22"/>
        </w:rPr>
      </w:pPr>
      <w:r>
        <w:rPr>
          <w:szCs w:val="22"/>
        </w:rPr>
        <w:t>Voor anderstalige leerlingen die nieuw in ons land binnen komen, is er ook nog het onthaalonderwijs voor anderstalige nieuwkomers. Scholen die een minimum aan anderstalige nieuwkomers tellen, krijgen ook hiervoor aanvullende omkadering. Onthaalonderwijs bestaat al sinds de jaren ’90 binnen het beleidsdomein Onderwijs en Vorming, maar wordt voortdurend geactualiseerd om zoveel mogelijk te kunnen voldoen aan de noden van de doelgroep anderstalige nieuwkomers. Scholen met kinderen van Roma die dus recent in ons land verblijven, komen meestal in aanmerking voor deze “OKAN-lestijden”.</w:t>
      </w:r>
    </w:p>
    <w:p w:rsidR="00F3603F" w:rsidRDefault="00F3603F" w:rsidP="002A7D22">
      <w:pPr>
        <w:numPr>
          <w:ilvl w:val="0"/>
          <w:numId w:val="22"/>
        </w:numPr>
        <w:jc w:val="both"/>
        <w:rPr>
          <w:szCs w:val="22"/>
        </w:rPr>
      </w:pPr>
      <w:r>
        <w:rPr>
          <w:szCs w:val="22"/>
        </w:rPr>
        <w:t xml:space="preserve">Naast omkadering (personeel) hebben scholen ook recht op werkingsmiddelen. Ook deze werkingsmiddelen worden voor een stuk bepaald door het kansarmoedeprofiel van de school. Bij de berekening van de werkingsmiddelen wordt immers ook rekening gehouden met de leerlingenkenmerken van de leerlingen in de school. Deze maatregel is van kracht sinds 1 januari 2009. Ook hier kunnen we stellen dat kinderen van Roma aan de meeste van deze leerlingenkenmerken voldoen (opleidingsniveau van de moeder, de thuistaal, het ontvangen van een school- of studietoelage en de buurt). Kinderen die tot de groep trekkende bevolking behoren, zoals de Roma, tikken sowieso aan op het leerlingenkenmerk “buurt”. </w:t>
      </w:r>
    </w:p>
    <w:p w:rsidR="00F3603F" w:rsidRDefault="00F3603F" w:rsidP="002A7D22">
      <w:pPr>
        <w:jc w:val="both"/>
      </w:pPr>
    </w:p>
    <w:p w:rsidR="00F3603F" w:rsidRDefault="00F3603F" w:rsidP="002A7D22">
      <w:pPr>
        <w:ind w:left="360"/>
        <w:jc w:val="both"/>
      </w:pPr>
      <w:r>
        <w:t>Uiteindelijk wil ik nog aanhalen dat er binnen onderwijs al jaren voor àlle kinderen een recht op onderwijs bestaat dus ook voor kinderen van bepaalde doelgroepen, zelfs deze met een precair verblijfsstatuut en Roma.</w:t>
      </w:r>
    </w:p>
    <w:p w:rsidR="00F3603F" w:rsidRDefault="00F3603F" w:rsidP="002A7D22">
      <w:pPr>
        <w:ind w:left="357"/>
        <w:jc w:val="both"/>
      </w:pPr>
    </w:p>
    <w:p w:rsidR="00F3603F" w:rsidRDefault="00F3603F" w:rsidP="002A7D22">
      <w:pPr>
        <w:numPr>
          <w:ilvl w:val="0"/>
          <w:numId w:val="21"/>
        </w:numPr>
        <w:tabs>
          <w:tab w:val="num" w:pos="360"/>
        </w:tabs>
        <w:ind w:left="360"/>
        <w:jc w:val="both"/>
        <w:rPr>
          <w:iCs/>
          <w:szCs w:val="22"/>
        </w:rPr>
      </w:pPr>
      <w:r>
        <w:t xml:space="preserve">Wat het onthaalonderwijs betreft, gelden vanaf dit schooljaar ontwikkelingsdoelen. </w:t>
      </w:r>
      <w:r>
        <w:rPr>
          <w:iCs/>
          <w:szCs w:val="22"/>
        </w:rPr>
        <w:t xml:space="preserve">Deze ontwikkelingsdoelen moeten het voor anderstalige nieuwkomers mogelijk maken hun studie in het regulier secundair onderwijs met succes voort te zetten. Gekoppeld aan de invoering van de ontwikkelingsdoelen wordt een onthaalklas verplicht om voor elke anderstalige nieuwkomer een individueel leertraject uit te werken. </w:t>
      </w:r>
    </w:p>
    <w:p w:rsidR="00F3603F" w:rsidRDefault="00F3603F" w:rsidP="002A7D22">
      <w:pPr>
        <w:ind w:left="360"/>
        <w:jc w:val="both"/>
        <w:rPr>
          <w:iCs/>
          <w:szCs w:val="22"/>
        </w:rPr>
      </w:pPr>
    </w:p>
    <w:p w:rsidR="00F3603F" w:rsidRDefault="00F3603F" w:rsidP="002A7D22">
      <w:pPr>
        <w:ind w:left="360"/>
        <w:jc w:val="both"/>
        <w:rPr>
          <w:iCs/>
          <w:szCs w:val="22"/>
        </w:rPr>
      </w:pPr>
      <w:r>
        <w:rPr>
          <w:iCs/>
          <w:szCs w:val="22"/>
        </w:rPr>
        <w:t>Daarnaast geef ik secundaire scholen met een eerste onthaaljaar en een eerste graad de mogelijkheid om tijdens het schooljaar 2010-2011 een tweede onthaaljaar te organiseren. Door het wegnemen van de strikte begrenzing dat onthaalonderwijs een éénjarige opleiding moet zijn, kan het rendement van het onthaalonderwijs misschien worden verhoogd. In het tweede onthaaljaar kan een leerling nog steeds intensief Nederlands leren om zijn slaagkansen in het regulier secundair onderwijs te verhogen en kan hij bovendien een studiebewijs van een bepaald leerjaar van de eerste graad behalen. De organisatie van een tweede onthaaljaar blijft beperkt tot het schooljaar 2010-2011 en heeft een vrijwillig karakter. Ik wil het tweede onthaaljaar in 2011 grondig evalueren in functie van de meerwaarde ervan en de effecten op het vlak van de leervorderingen van de leerlingen.</w:t>
      </w:r>
    </w:p>
    <w:p w:rsidR="00F3603F" w:rsidRDefault="00F3603F" w:rsidP="002A7D22">
      <w:pPr>
        <w:ind w:left="360"/>
        <w:jc w:val="both"/>
        <w:rPr>
          <w:iCs/>
          <w:szCs w:val="22"/>
        </w:rPr>
      </w:pPr>
    </w:p>
    <w:p w:rsidR="00F3603F" w:rsidRDefault="00F3603F" w:rsidP="002A7D22">
      <w:pPr>
        <w:ind w:left="360"/>
        <w:jc w:val="both"/>
        <w:rPr>
          <w:iCs/>
          <w:szCs w:val="22"/>
        </w:rPr>
      </w:pPr>
      <w:r>
        <w:rPr>
          <w:iCs/>
          <w:szCs w:val="22"/>
        </w:rPr>
        <w:t>In het kader van het realiseren van een behoeftedekkend aanbod van intensieve en kortlopende opleidingen Nederlands tweede taal voor specifieke doelgroepen heb ik het voorbije werkjaar ingezet op een specifiek aanbod voor anderstalige ouders van schoolgaande kinderen. Ik heb hiervoor een project toegekend aan het Centrum voor Taal en Onderwijs van de KU Leuven, waarbij een behoeftegericht aanbod Nederlands tweede taal werd opgezet als middel om de betrokkenheid van de ouder bij de school van het kind te verhogen. Dit project leverde heel wat materiaal op waarmee centra verder aan de slag kunnen alsook beleidsaanbevelingen om een dergelijk specifiek aanbod op te nemen in het reguliere opleidingsaanbod van het volwassenen</w:t>
      </w:r>
      <w:r>
        <w:rPr>
          <w:iCs/>
          <w:szCs w:val="22"/>
        </w:rPr>
        <w:softHyphen/>
        <w:t xml:space="preserve">onderwijs. </w:t>
      </w:r>
    </w:p>
    <w:p w:rsidR="00F3603F" w:rsidRDefault="00F3603F" w:rsidP="002A7D22">
      <w:pPr>
        <w:ind w:left="360"/>
        <w:jc w:val="both"/>
        <w:rPr>
          <w:iCs/>
          <w:szCs w:val="22"/>
        </w:rPr>
      </w:pPr>
    </w:p>
    <w:p w:rsidR="00F3603F" w:rsidRDefault="00F3603F" w:rsidP="002A7D22">
      <w:pPr>
        <w:ind w:left="360"/>
        <w:jc w:val="both"/>
        <w:rPr>
          <w:iCs/>
          <w:szCs w:val="22"/>
        </w:rPr>
      </w:pPr>
      <w:r>
        <w:rPr>
          <w:iCs/>
          <w:szCs w:val="22"/>
        </w:rPr>
        <w:t xml:space="preserve">Het realiseren van een behoeftedekkend aanbod Nederlands tweede taal is echter ook een opdracht van de consortia volwassenenonderwijs, de regionale samenwerkingsverbanden tussen Centra voor Volwassenenonderwijs en de Centra voor Basiseducatie. Hierover moet elk consortium volwassenenonderwijs een samenwerkingsprotocol afsluiten met een Huis van het Nederlands. Ook het Vlaams afsprakenkader Nederlands tweede taal dat op 15 mei 2009 door de Vlaamse Regering is goedgekeurd, bepaalt dat over de lokale afstemming tussen behoefte en aanbod de consortia volwassenenonderwijs en de Huizen van het Nederlands concrete afspraken moeten maken. Daarbij moet voor het werkingsgebied van elk consortium volwassenenonderwijs de nood aan specifieke organisatievormen in kaart gebracht worden en indien nodig en haalbaar ook ingevuld worden. Het gaat dan om een aanbod Nederlands tweede taal tijdens de zomermaanden, verkorte leertrajecten, intensief en kortlopend aanbod, enz… . </w:t>
      </w:r>
    </w:p>
    <w:p w:rsidR="00F3603F" w:rsidRDefault="00F3603F" w:rsidP="002A7D22">
      <w:pPr>
        <w:ind w:left="360"/>
        <w:jc w:val="both"/>
        <w:rPr>
          <w:iCs/>
          <w:szCs w:val="22"/>
        </w:rPr>
      </w:pPr>
    </w:p>
    <w:p w:rsidR="00F3603F" w:rsidRPr="002A7D22" w:rsidRDefault="00F3603F" w:rsidP="002A7D22">
      <w:pPr>
        <w:ind w:left="360"/>
        <w:jc w:val="both"/>
        <w:rPr>
          <w:iCs/>
          <w:szCs w:val="22"/>
        </w:rPr>
      </w:pPr>
      <w:r>
        <w:rPr>
          <w:szCs w:val="22"/>
        </w:rPr>
        <w:t xml:space="preserve">Ik zal het Vlaams afsprakenkader Nederlands tweede taal – zoals voorzien – in 2011 evalueren in overleg met de betrokken instellingen op wie het afsprakenkader van toepassing is. Ik zal hierover ook aan de Vlaamse Onderwijsraad een advies vragen. Het afsprakenkader kan op basis van deze evaluatie gewijzigd worden. </w:t>
      </w:r>
    </w:p>
    <w:sectPr w:rsidR="00F3603F" w:rsidRPr="002A7D22" w:rsidSect="00A26CD2">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03F" w:rsidRDefault="00F3603F">
      <w:r>
        <w:separator/>
      </w:r>
    </w:p>
  </w:endnote>
  <w:endnote w:type="continuationSeparator" w:id="1">
    <w:p w:rsidR="00F3603F" w:rsidRDefault="00F36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03F" w:rsidRDefault="00F3603F">
      <w:r>
        <w:separator/>
      </w:r>
    </w:p>
  </w:footnote>
  <w:footnote w:type="continuationSeparator" w:id="1">
    <w:p w:rsidR="00F3603F" w:rsidRDefault="00F36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8CF1524"/>
    <w:multiLevelType w:val="hybridMultilevel"/>
    <w:tmpl w:val="94481990"/>
    <w:lvl w:ilvl="0" w:tplc="CD1E821A">
      <w:numFmt w:val="bullet"/>
      <w:lvlText w:val="-"/>
      <w:lvlJc w:val="left"/>
      <w:pPr>
        <w:tabs>
          <w:tab w:val="num" w:pos="720"/>
        </w:tabs>
        <w:ind w:left="720" w:hanging="360"/>
      </w:pPr>
      <w:rPr>
        <w:rFonts w:ascii="Times New Roman" w:eastAsia="Times New Roman" w:hAnsi="Times New Roman"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5E112E2"/>
    <w:multiLevelType w:val="hybridMultilevel"/>
    <w:tmpl w:val="5212002E"/>
    <w:lvl w:ilvl="0" w:tplc="26A02B5E">
      <w:numFmt w:val="bullet"/>
      <w:lvlText w:val="-"/>
      <w:lvlJc w:val="left"/>
      <w:pPr>
        <w:tabs>
          <w:tab w:val="num" w:pos="644"/>
        </w:tabs>
        <w:ind w:left="644" w:hanging="360"/>
      </w:pPr>
      <w:rPr>
        <w:rFonts w:ascii="Times New Roman" w:eastAsia="Times New Roman" w:hAnsi="Times New Roman" w:hint="default"/>
      </w:rPr>
    </w:lvl>
    <w:lvl w:ilvl="1" w:tplc="04130003" w:tentative="1">
      <w:start w:val="1"/>
      <w:numFmt w:val="bullet"/>
      <w:lvlText w:val="o"/>
      <w:lvlJc w:val="left"/>
      <w:pPr>
        <w:tabs>
          <w:tab w:val="num" w:pos="1364"/>
        </w:tabs>
        <w:ind w:left="1364" w:hanging="360"/>
      </w:pPr>
      <w:rPr>
        <w:rFonts w:ascii="Courier New" w:hAnsi="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5">
    <w:nsid w:val="16446CE0"/>
    <w:multiLevelType w:val="hybridMultilevel"/>
    <w:tmpl w:val="1916E8B6"/>
    <w:lvl w:ilvl="0" w:tplc="7E6C7530">
      <w:start w:val="1"/>
      <w:numFmt w:val="bullet"/>
      <w:lvlText w:val=""/>
      <w:lvlJc w:val="left"/>
      <w:pPr>
        <w:tabs>
          <w:tab w:val="num" w:pos="681"/>
        </w:tabs>
        <w:ind w:left="681" w:firstLine="323"/>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6">
    <w:nsid w:val="1EC05C22"/>
    <w:multiLevelType w:val="hybridMultilevel"/>
    <w:tmpl w:val="A5B23E3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DE314FE"/>
    <w:multiLevelType w:val="hybridMultilevel"/>
    <w:tmpl w:val="665EB654"/>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8">
    <w:nsid w:val="304205E3"/>
    <w:multiLevelType w:val="hybridMultilevel"/>
    <w:tmpl w:val="994EA990"/>
    <w:lvl w:ilvl="0" w:tplc="0413000F">
      <w:start w:val="2"/>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53843ED"/>
    <w:multiLevelType w:val="hybridMultilevel"/>
    <w:tmpl w:val="2F48286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46A97442"/>
    <w:multiLevelType w:val="hybridMultilevel"/>
    <w:tmpl w:val="AE1AB1F6"/>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49D11206"/>
    <w:multiLevelType w:val="hybridMultilevel"/>
    <w:tmpl w:val="45D4311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0">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17"/>
  </w:num>
  <w:num w:numId="4">
    <w:abstractNumId w:val="3"/>
  </w:num>
  <w:num w:numId="5">
    <w:abstractNumId w:val="22"/>
  </w:num>
  <w:num w:numId="6">
    <w:abstractNumId w:val="21"/>
  </w:num>
  <w:num w:numId="7">
    <w:abstractNumId w:val="0"/>
  </w:num>
  <w:num w:numId="8">
    <w:abstractNumId w:val="1"/>
  </w:num>
  <w:num w:numId="9">
    <w:abstractNumId w:val="20"/>
  </w:num>
  <w:num w:numId="10">
    <w:abstractNumId w:val="15"/>
  </w:num>
  <w:num w:numId="11">
    <w:abstractNumId w:val="18"/>
  </w:num>
  <w:num w:numId="12">
    <w:abstractNumId w:val="14"/>
  </w:num>
  <w:num w:numId="13">
    <w:abstractNumId w:val="9"/>
  </w:num>
  <w:num w:numId="14">
    <w:abstractNumId w:val="16"/>
  </w:num>
  <w:num w:numId="15">
    <w:abstractNumId w:val="12"/>
  </w:num>
  <w:num w:numId="16">
    <w:abstractNumId w:val="13"/>
  </w:num>
  <w:num w:numId="17">
    <w:abstractNumId w:val="10"/>
  </w:num>
  <w:num w:numId="18">
    <w:abstractNumId w:val="6"/>
  </w:num>
  <w:num w:numId="19">
    <w:abstractNumId w:val="11"/>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252"/>
    <w:rsid w:val="000F3352"/>
    <w:rsid w:val="00100F7B"/>
    <w:rsid w:val="002633D9"/>
    <w:rsid w:val="002A7D22"/>
    <w:rsid w:val="004B706C"/>
    <w:rsid w:val="004E792C"/>
    <w:rsid w:val="00681B88"/>
    <w:rsid w:val="00734B2A"/>
    <w:rsid w:val="007E2D02"/>
    <w:rsid w:val="008606BD"/>
    <w:rsid w:val="00A26CD2"/>
    <w:rsid w:val="00B26EB5"/>
    <w:rsid w:val="00C5548C"/>
    <w:rsid w:val="00E839C5"/>
    <w:rsid w:val="00EB1DC7"/>
    <w:rsid w:val="00EC5252"/>
    <w:rsid w:val="00F1482C"/>
    <w:rsid w:val="00F3603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D2"/>
    <w:rPr>
      <w:szCs w:val="24"/>
      <w:lang w:val="nl-NL" w:eastAsia="nl-NL"/>
    </w:rPr>
  </w:style>
  <w:style w:type="paragraph" w:styleId="Heading1">
    <w:name w:val="heading 1"/>
    <w:basedOn w:val="Normal"/>
    <w:next w:val="Normal"/>
    <w:link w:val="Heading1Char"/>
    <w:uiPriority w:val="99"/>
    <w:qFormat/>
    <w:rsid w:val="00A26C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26C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26CD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0A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950A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950AA"/>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A26CD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950AA"/>
    <w:rPr>
      <w:sz w:val="0"/>
      <w:szCs w:val="0"/>
      <w:lang w:val="nl-NL" w:eastAsia="nl-NL"/>
    </w:rPr>
  </w:style>
  <w:style w:type="paragraph" w:customStyle="1" w:styleId="NotaKenmerk">
    <w:name w:val="NotaKenmerk"/>
    <w:basedOn w:val="Normal"/>
    <w:next w:val="Normal"/>
    <w:uiPriority w:val="99"/>
    <w:rsid w:val="00A26CD2"/>
    <w:pPr>
      <w:tabs>
        <w:tab w:val="right" w:pos="2700"/>
        <w:tab w:val="left" w:pos="2880"/>
      </w:tabs>
    </w:pPr>
    <w:rPr>
      <w:i/>
      <w:lang w:val="nl-BE"/>
    </w:rPr>
  </w:style>
  <w:style w:type="paragraph" w:customStyle="1" w:styleId="NotaDirectie">
    <w:name w:val="NotaDirectie"/>
    <w:basedOn w:val="Normal"/>
    <w:next w:val="Normal"/>
    <w:uiPriority w:val="99"/>
    <w:rsid w:val="00A26CD2"/>
    <w:rPr>
      <w:i/>
      <w:lang w:val="nl-BE"/>
    </w:rPr>
  </w:style>
  <w:style w:type="paragraph" w:customStyle="1" w:styleId="NotaAan">
    <w:name w:val="NotaAan"/>
    <w:basedOn w:val="Normal"/>
    <w:next w:val="Normal"/>
    <w:uiPriority w:val="99"/>
    <w:rsid w:val="00A26CD2"/>
    <w:rPr>
      <w:b/>
      <w:lang w:val="nl-BE"/>
    </w:rPr>
  </w:style>
  <w:style w:type="paragraph" w:styleId="Footer">
    <w:name w:val="footer"/>
    <w:basedOn w:val="Normal"/>
    <w:next w:val="Normal"/>
    <w:link w:val="FooterChar"/>
    <w:uiPriority w:val="99"/>
    <w:rsid w:val="00A26CD2"/>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7950AA"/>
    <w:rPr>
      <w:szCs w:val="24"/>
      <w:lang w:val="nl-NL" w:eastAsia="nl-NL"/>
    </w:rPr>
  </w:style>
  <w:style w:type="paragraph" w:customStyle="1" w:styleId="AntwoordNaamMinister">
    <w:name w:val="AntwoordNaamMinister"/>
    <w:basedOn w:val="Normal"/>
    <w:uiPriority w:val="99"/>
    <w:rsid w:val="00A26CD2"/>
    <w:rPr>
      <w:b/>
      <w:smallCaps/>
      <w:lang w:val="nl-BE"/>
    </w:rPr>
  </w:style>
  <w:style w:type="paragraph" w:customStyle="1" w:styleId="A-TitelMinister">
    <w:name w:val="A-TitelMinister"/>
    <w:basedOn w:val="Normal"/>
    <w:uiPriority w:val="99"/>
    <w:rsid w:val="00A26CD2"/>
    <w:rPr>
      <w:smallCaps/>
      <w:szCs w:val="22"/>
      <w:lang w:val="nl-BE"/>
    </w:rPr>
  </w:style>
  <w:style w:type="character" w:customStyle="1" w:styleId="A-Indiener">
    <w:name w:val="A-Indiener"/>
    <w:basedOn w:val="DefaultParagraphFont"/>
    <w:uiPriority w:val="99"/>
    <w:rsid w:val="00A26CD2"/>
    <w:rPr>
      <w:rFonts w:cs="Times New Roman"/>
      <w:b/>
      <w:smallCaps/>
    </w:rPr>
  </w:style>
  <w:style w:type="paragraph" w:customStyle="1" w:styleId="Opmaakprofiel1">
    <w:name w:val="Opmaakprofiel1"/>
    <w:basedOn w:val="Normal"/>
    <w:uiPriority w:val="99"/>
    <w:rsid w:val="00A26CD2"/>
    <w:pPr>
      <w:widowControl w:val="0"/>
      <w:jc w:val="both"/>
    </w:pPr>
    <w:rPr>
      <w:szCs w:val="20"/>
    </w:rPr>
  </w:style>
  <w:style w:type="paragraph" w:customStyle="1" w:styleId="LijstItemLetter">
    <w:name w:val="LijstItemLetter"/>
    <w:basedOn w:val="Normal"/>
    <w:uiPriority w:val="99"/>
    <w:rsid w:val="00A26CD2"/>
    <w:pPr>
      <w:widowControl w:val="0"/>
      <w:jc w:val="both"/>
    </w:pPr>
    <w:rPr>
      <w:szCs w:val="20"/>
    </w:rPr>
  </w:style>
  <w:style w:type="paragraph" w:customStyle="1" w:styleId="AgendaSamenstelling">
    <w:name w:val="AgendaSamenstelling"/>
    <w:basedOn w:val="Normal"/>
    <w:uiPriority w:val="99"/>
    <w:rsid w:val="00A26CD2"/>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A26CD2"/>
    <w:rPr>
      <w:i w:val="0"/>
    </w:rPr>
  </w:style>
  <w:style w:type="paragraph" w:customStyle="1" w:styleId="A-NaamMinister">
    <w:name w:val="A-NaamMinister"/>
    <w:basedOn w:val="Normal"/>
    <w:uiPriority w:val="99"/>
    <w:rsid w:val="00A26CD2"/>
    <w:rPr>
      <w:b/>
      <w:smallCaps/>
      <w:lang w:val="nl-BE"/>
    </w:rPr>
  </w:style>
  <w:style w:type="paragraph" w:customStyle="1" w:styleId="A-Lijn">
    <w:name w:val="A-Lijn"/>
    <w:basedOn w:val="Normal"/>
    <w:uiPriority w:val="99"/>
    <w:rsid w:val="00A26CD2"/>
    <w:pPr>
      <w:pBdr>
        <w:top w:val="single" w:sz="4" w:space="1" w:color="auto"/>
      </w:pBdr>
    </w:pPr>
    <w:rPr>
      <w:smallCaps/>
      <w:szCs w:val="22"/>
      <w:lang w:val="nl-BE"/>
    </w:rPr>
  </w:style>
  <w:style w:type="paragraph" w:customStyle="1" w:styleId="A-Type">
    <w:name w:val="A-Type"/>
    <w:uiPriority w:val="99"/>
    <w:rsid w:val="00A26CD2"/>
    <w:rPr>
      <w:b/>
      <w:smallCaps/>
      <w:lang w:eastAsia="nl-NL"/>
    </w:rPr>
  </w:style>
  <w:style w:type="character" w:customStyle="1" w:styleId="A-NaamMinisterChar">
    <w:name w:val="A-NaamMinister Char"/>
    <w:basedOn w:val="DefaultParagraphFont"/>
    <w:uiPriority w:val="99"/>
    <w:rsid w:val="00A26CD2"/>
    <w:rPr>
      <w:rFonts w:cs="Times New Roman"/>
      <w:b/>
      <w:smallCaps/>
      <w:sz w:val="24"/>
      <w:szCs w:val="24"/>
      <w:lang w:val="nl-BE" w:eastAsia="nl-NL" w:bidi="ar-SA"/>
    </w:rPr>
  </w:style>
  <w:style w:type="paragraph" w:customStyle="1" w:styleId="A-Gewonetekst">
    <w:name w:val="A-Gewone tekst"/>
    <w:uiPriority w:val="99"/>
    <w:rsid w:val="00A26CD2"/>
    <w:rPr>
      <w:szCs w:val="24"/>
      <w:lang w:eastAsia="nl-NL"/>
    </w:rPr>
  </w:style>
  <w:style w:type="character" w:customStyle="1" w:styleId="A-GewonetekstChar">
    <w:name w:val="A-Gewone tekst Char"/>
    <w:basedOn w:val="DefaultParagraphFont"/>
    <w:uiPriority w:val="99"/>
    <w:rsid w:val="00A26CD2"/>
    <w:rPr>
      <w:rFonts w:cs="Times New Roman"/>
      <w:sz w:val="24"/>
      <w:szCs w:val="24"/>
      <w:lang w:val="nl-BE" w:eastAsia="nl-NL" w:bidi="ar-SA"/>
    </w:rPr>
  </w:style>
  <w:style w:type="character" w:customStyle="1" w:styleId="A-TypeChar">
    <w:name w:val="A-Type Char"/>
    <w:basedOn w:val="DefaultParagraphFont"/>
    <w:uiPriority w:val="99"/>
    <w:rsid w:val="00A26CD2"/>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A26CD2"/>
    <w:rPr>
      <w:rFonts w:cs="Times New Roman"/>
      <w:b/>
      <w:smallCaps/>
      <w:sz w:val="24"/>
      <w:szCs w:val="24"/>
      <w:lang w:val="nl-BE" w:eastAsia="nl-NL" w:bidi="ar-SA"/>
    </w:rPr>
  </w:style>
  <w:style w:type="paragraph" w:styleId="BalloonText">
    <w:name w:val="Balloon Text"/>
    <w:basedOn w:val="Normal"/>
    <w:link w:val="BalloonTextChar"/>
    <w:uiPriority w:val="99"/>
    <w:semiHidden/>
    <w:rsid w:val="00A26CD2"/>
    <w:rPr>
      <w:rFonts w:ascii="Tahoma" w:hAnsi="Tahoma" w:cs="Tahoma"/>
      <w:sz w:val="16"/>
      <w:szCs w:val="16"/>
    </w:rPr>
  </w:style>
  <w:style w:type="character" w:customStyle="1" w:styleId="BalloonTextChar">
    <w:name w:val="Balloon Text Char"/>
    <w:basedOn w:val="DefaultParagraphFont"/>
    <w:link w:val="BalloonText"/>
    <w:uiPriority w:val="99"/>
    <w:semiHidden/>
    <w:rsid w:val="007950AA"/>
    <w:rPr>
      <w:sz w:val="0"/>
      <w:szCs w:val="0"/>
      <w:lang w:val="nl-NL" w:eastAsia="nl-NL"/>
    </w:rPr>
  </w:style>
  <w:style w:type="paragraph" w:styleId="BodyText">
    <w:name w:val="Body Text"/>
    <w:basedOn w:val="Normal"/>
    <w:link w:val="BodyTextChar"/>
    <w:uiPriority w:val="99"/>
    <w:rsid w:val="00A26CD2"/>
    <w:pPr>
      <w:spacing w:after="120"/>
    </w:pPr>
    <w:rPr>
      <w:rFonts w:ascii="Garamond" w:hAnsi="Garamond"/>
      <w:szCs w:val="20"/>
    </w:rPr>
  </w:style>
  <w:style w:type="character" w:customStyle="1" w:styleId="BodyTextChar">
    <w:name w:val="Body Text Char"/>
    <w:basedOn w:val="DefaultParagraphFont"/>
    <w:link w:val="BodyText"/>
    <w:uiPriority w:val="99"/>
    <w:semiHidden/>
    <w:rsid w:val="007950AA"/>
    <w:rPr>
      <w:szCs w:val="24"/>
      <w:lang w:val="nl-NL" w:eastAsia="nl-NL"/>
    </w:rPr>
  </w:style>
  <w:style w:type="paragraph" w:styleId="FootnoteText">
    <w:name w:val="footnote text"/>
    <w:basedOn w:val="Normal"/>
    <w:link w:val="FootnoteTextChar"/>
    <w:uiPriority w:val="99"/>
    <w:semiHidden/>
    <w:rsid w:val="00A26CD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7950AA"/>
    <w:rPr>
      <w:sz w:val="20"/>
      <w:szCs w:val="20"/>
      <w:lang w:val="nl-NL" w:eastAsia="nl-NL"/>
    </w:rPr>
  </w:style>
  <w:style w:type="character" w:styleId="FootnoteReference">
    <w:name w:val="footnote reference"/>
    <w:basedOn w:val="DefaultParagraphFont"/>
    <w:uiPriority w:val="99"/>
    <w:semiHidden/>
    <w:rsid w:val="00A26CD2"/>
    <w:rPr>
      <w:rFonts w:cs="Times New Roman"/>
      <w:vertAlign w:val="superscript"/>
    </w:rPr>
  </w:style>
  <w:style w:type="character" w:styleId="Hyperlink">
    <w:name w:val="Hyperlink"/>
    <w:basedOn w:val="DefaultParagraphFont"/>
    <w:uiPriority w:val="99"/>
    <w:rsid w:val="00A26CD2"/>
    <w:rPr>
      <w:rFonts w:cs="Times New Roman"/>
      <w:color w:val="0000FF"/>
      <w:u w:val="single"/>
    </w:rPr>
  </w:style>
  <w:style w:type="paragraph" w:styleId="NormalWeb">
    <w:name w:val="Normal (Web)"/>
    <w:basedOn w:val="Normal"/>
    <w:uiPriority w:val="99"/>
    <w:rsid w:val="00A26CD2"/>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99"/>
    <w:qFormat/>
    <w:rsid w:val="00F1482C"/>
    <w:pPr>
      <w:ind w:left="720"/>
      <w:contextualSpacing/>
    </w:pPr>
  </w:style>
</w:styles>
</file>

<file path=word/webSettings.xml><?xml version="1.0" encoding="utf-8"?>
<w:webSettings xmlns:r="http://schemas.openxmlformats.org/officeDocument/2006/relationships" xmlns:w="http://schemas.openxmlformats.org/wordprocessingml/2006/main">
  <w:divs>
    <w:div w:id="1284993338">
      <w:marLeft w:val="0"/>
      <w:marRight w:val="0"/>
      <w:marTop w:val="0"/>
      <w:marBottom w:val="0"/>
      <w:divBdr>
        <w:top w:val="none" w:sz="0" w:space="0" w:color="auto"/>
        <w:left w:val="none" w:sz="0" w:space="0" w:color="auto"/>
        <w:bottom w:val="none" w:sz="0" w:space="0" w:color="auto"/>
        <w:right w:val="none" w:sz="0" w:space="0" w:color="auto"/>
      </w:divBdr>
    </w:div>
    <w:div w:id="1284993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2</TotalTime>
  <Pages>4</Pages>
  <Words>2328</Words>
  <Characters>12806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Linda Paps</dc:creator>
  <cp:keywords/>
  <dc:description/>
  <cp:lastModifiedBy>Nathalie De Keyzer</cp:lastModifiedBy>
  <cp:revision>3</cp:revision>
  <cp:lastPrinted>2010-10-11T13:38:00Z</cp:lastPrinted>
  <dcterms:created xsi:type="dcterms:W3CDTF">2010-10-11T13:38:00Z</dcterms:created>
  <dcterms:modified xsi:type="dcterms:W3CDTF">2010-10-13T14:22:00Z</dcterms:modified>
</cp:coreProperties>
</file>