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6" w:rsidRDefault="006B47F6" w:rsidP="00246481">
      <w:pPr>
        <w:pStyle w:val="Title"/>
        <w:jc w:val="both"/>
        <w:outlineLvl w:val="0"/>
        <w:rPr>
          <w:smallCaps/>
          <w:spacing w:val="-3"/>
          <w:sz w:val="22"/>
        </w:rPr>
      </w:pPr>
      <w:bookmarkStart w:id="0" w:name="OLE_LINK1"/>
      <w:bookmarkStart w:id="1" w:name="OLE_LINK2"/>
      <w:r>
        <w:rPr>
          <w:smallCaps/>
          <w:spacing w:val="-3"/>
          <w:sz w:val="22"/>
        </w:rPr>
        <w:t>joke schauvliege</w:t>
      </w:r>
    </w:p>
    <w:p w:rsidR="006B47F6" w:rsidRDefault="006B47F6" w:rsidP="00246481">
      <w:pPr>
        <w:pStyle w:val="Title"/>
        <w:jc w:val="both"/>
        <w:outlineLvl w:val="0"/>
        <w:rPr>
          <w:b w:val="0"/>
          <w:smallCaps/>
          <w:spacing w:val="-3"/>
          <w:sz w:val="22"/>
        </w:rPr>
      </w:pPr>
      <w:r>
        <w:rPr>
          <w:b w:val="0"/>
          <w:smallCaps/>
          <w:spacing w:val="-3"/>
          <w:sz w:val="22"/>
        </w:rPr>
        <w:t>vlaams minister van leefmilieu, natuur en cultuur</w:t>
      </w:r>
    </w:p>
    <w:p w:rsidR="006B47F6" w:rsidRDefault="006B47F6" w:rsidP="00246481">
      <w:pPr>
        <w:pStyle w:val="StandaardSV"/>
        <w:pBdr>
          <w:bottom w:val="single" w:sz="2" w:space="1" w:color="000000"/>
        </w:pBdr>
        <w:rPr>
          <w:smallCaps/>
        </w:rPr>
      </w:pPr>
    </w:p>
    <w:p w:rsidR="006B47F6" w:rsidRDefault="006B47F6" w:rsidP="00246481">
      <w:pPr>
        <w:pStyle w:val="Title"/>
        <w:jc w:val="both"/>
        <w:outlineLvl w:val="0"/>
        <w:rPr>
          <w:smallCaps/>
          <w:spacing w:val="-3"/>
          <w:sz w:val="22"/>
        </w:rPr>
      </w:pPr>
    </w:p>
    <w:p w:rsidR="006B47F6" w:rsidRDefault="006B47F6" w:rsidP="00246481">
      <w:pPr>
        <w:pStyle w:val="Title"/>
        <w:jc w:val="both"/>
        <w:outlineLvl w:val="0"/>
        <w:rPr>
          <w:smallCaps/>
          <w:spacing w:val="-3"/>
          <w:sz w:val="22"/>
        </w:rPr>
      </w:pPr>
      <w:r>
        <w:rPr>
          <w:smallCaps/>
          <w:spacing w:val="-3"/>
          <w:sz w:val="22"/>
        </w:rPr>
        <w:t xml:space="preserve">antwoord </w:t>
      </w:r>
    </w:p>
    <w:p w:rsidR="006B47F6" w:rsidRDefault="006B47F6" w:rsidP="00246481">
      <w:pPr>
        <w:pStyle w:val="Title"/>
        <w:jc w:val="both"/>
        <w:rPr>
          <w:b w:val="0"/>
          <w:spacing w:val="-3"/>
          <w:sz w:val="22"/>
        </w:rPr>
      </w:pPr>
      <w:r>
        <w:rPr>
          <w:b w:val="0"/>
          <w:spacing w:val="-3"/>
          <w:sz w:val="22"/>
        </w:rPr>
        <w:t>op vraag nr. 541 van 10 september 2010</w:t>
      </w:r>
    </w:p>
    <w:p w:rsidR="006B47F6" w:rsidRDefault="006B47F6" w:rsidP="00246481">
      <w:pPr>
        <w:pStyle w:val="Title"/>
        <w:jc w:val="both"/>
        <w:rPr>
          <w:smallCaps/>
          <w:spacing w:val="-3"/>
          <w:sz w:val="22"/>
        </w:rPr>
      </w:pPr>
      <w:r>
        <w:rPr>
          <w:b w:val="0"/>
          <w:spacing w:val="-3"/>
          <w:sz w:val="22"/>
        </w:rPr>
        <w:t xml:space="preserve">van </w:t>
      </w:r>
      <w:r>
        <w:rPr>
          <w:rFonts w:ascii="Times New Roman Vet" w:hAnsi="Times New Roman Vet"/>
          <w:smallCaps/>
          <w:spacing w:val="-3"/>
          <w:sz w:val="22"/>
        </w:rPr>
        <w:t>w</w:t>
      </w:r>
      <w:r w:rsidRPr="00D61F16">
        <w:rPr>
          <w:rFonts w:ascii="Times New Roman Vet" w:hAnsi="Times New Roman Vet"/>
          <w:smallCaps/>
          <w:spacing w:val="-3"/>
          <w:sz w:val="22"/>
        </w:rPr>
        <w:t xml:space="preserve">ilfried </w:t>
      </w:r>
      <w:r>
        <w:rPr>
          <w:rFonts w:ascii="Times New Roman Vet" w:hAnsi="Times New Roman Vet"/>
          <w:smallCaps/>
          <w:spacing w:val="-3"/>
          <w:sz w:val="22"/>
        </w:rPr>
        <w:t>v</w:t>
      </w:r>
      <w:r w:rsidRPr="00D61F16">
        <w:rPr>
          <w:rFonts w:ascii="Times New Roman Vet" w:hAnsi="Times New Roman Vet"/>
          <w:smallCaps/>
          <w:spacing w:val="-3"/>
          <w:sz w:val="22"/>
        </w:rPr>
        <w:t>andaele</w:t>
      </w:r>
    </w:p>
    <w:p w:rsidR="006B47F6" w:rsidRDefault="006B47F6" w:rsidP="00246481">
      <w:pPr>
        <w:pStyle w:val="Title"/>
        <w:pBdr>
          <w:bottom w:val="single" w:sz="2" w:space="1" w:color="000000"/>
        </w:pBdr>
        <w:jc w:val="both"/>
        <w:rPr>
          <w:b w:val="0"/>
          <w:spacing w:val="-3"/>
          <w:sz w:val="22"/>
        </w:rPr>
      </w:pPr>
    </w:p>
    <w:p w:rsidR="006B47F6" w:rsidRDefault="006B47F6" w:rsidP="00246481">
      <w:pPr>
        <w:jc w:val="both"/>
        <w:rPr>
          <w:rFonts w:ascii="Times New Roman" w:hAnsi="Times New Roman"/>
          <w:sz w:val="22"/>
        </w:rPr>
      </w:pPr>
    </w:p>
    <w:bookmarkEnd w:id="0"/>
    <w:bookmarkEnd w:id="1"/>
    <w:p w:rsidR="006B47F6" w:rsidRPr="00D61F16" w:rsidRDefault="006B47F6" w:rsidP="00246481">
      <w:pPr>
        <w:pStyle w:val="StandaardSV"/>
        <w:rPr>
          <w:i/>
          <w:szCs w:val="22"/>
        </w:rPr>
      </w:pPr>
    </w:p>
    <w:p w:rsidR="006B47F6" w:rsidRPr="00D61F16" w:rsidRDefault="006B47F6" w:rsidP="00246481">
      <w:pPr>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Pr="00D61F16">
        <w:rPr>
          <w:rFonts w:ascii="Times New Roman" w:hAnsi="Times New Roman"/>
          <w:sz w:val="22"/>
          <w:szCs w:val="22"/>
        </w:rPr>
        <w:t>Volgende lokale grondenbanken zijn operationeel:</w:t>
      </w:r>
    </w:p>
    <w:p w:rsidR="006B47F6" w:rsidRPr="00D61F16" w:rsidRDefault="006B47F6" w:rsidP="00246481">
      <w:pPr>
        <w:rPr>
          <w:rFonts w:ascii="Times New Roman" w:hAnsi="Times New Roman"/>
          <w:sz w:val="22"/>
          <w:szCs w:val="22"/>
        </w:rPr>
      </w:pPr>
    </w:p>
    <w:p w:rsidR="006B47F6" w:rsidRPr="00D61F16" w:rsidRDefault="006B47F6" w:rsidP="00BD3382">
      <w:pPr>
        <w:ind w:left="540"/>
        <w:rPr>
          <w:rFonts w:ascii="Times New Roman" w:hAnsi="Times New Roman"/>
          <w:sz w:val="22"/>
          <w:szCs w:val="22"/>
          <w:u w:val="single"/>
        </w:rPr>
      </w:pPr>
      <w:r w:rsidRPr="00D61F16">
        <w:rPr>
          <w:rFonts w:ascii="Times New Roman" w:hAnsi="Times New Roman"/>
          <w:sz w:val="22"/>
          <w:szCs w:val="22"/>
          <w:u w:val="single"/>
        </w:rPr>
        <w:t>14 bestaande lokale grondenbanken (voor maart 2008):</w:t>
      </w:r>
    </w:p>
    <w:p w:rsidR="006B47F6" w:rsidRPr="00D61F16" w:rsidRDefault="006B47F6" w:rsidP="00246481">
      <w:pPr>
        <w:rPr>
          <w:rFonts w:ascii="Times New Roman" w:hAnsi="Times New Roman"/>
          <w:sz w:val="22"/>
          <w:szCs w:val="22"/>
        </w:rPr>
      </w:pP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Sigma W&amp;Z</w:t>
      </w:r>
      <w:r w:rsidRPr="00D61F16">
        <w:rPr>
          <w:rFonts w:ascii="Times New Roman" w:hAnsi="Times New Roman"/>
          <w:sz w:val="22"/>
          <w:szCs w:val="22"/>
        </w:rPr>
        <w:br/>
        <w:t>3 ruildossiers, via ruil in totaal 13ha 75a 65ca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Sigma ANB </w:t>
      </w:r>
      <w:r w:rsidRPr="00D61F16">
        <w:rPr>
          <w:rFonts w:ascii="Times New Roman" w:hAnsi="Times New Roman"/>
          <w:sz w:val="22"/>
          <w:szCs w:val="22"/>
        </w:rPr>
        <w:br/>
        <w:t>nog geen ruildossiers</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Overdam</w:t>
      </w:r>
      <w:r w:rsidRPr="00D61F16">
        <w:rPr>
          <w:rFonts w:ascii="Times New Roman" w:hAnsi="Times New Roman"/>
          <w:sz w:val="22"/>
          <w:szCs w:val="22"/>
        </w:rPr>
        <w:br/>
        <w:t>nog geen ruildossiers</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Linkerscheldeoever</w:t>
      </w:r>
      <w:r w:rsidRPr="00D61F16">
        <w:rPr>
          <w:rFonts w:ascii="Times New Roman" w:hAnsi="Times New Roman"/>
          <w:sz w:val="22"/>
          <w:szCs w:val="22"/>
        </w:rPr>
        <w:br/>
        <w:t>11 ruildossiers, via ruil in totaal 21ha 76a 75ca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Zeebrugge</w:t>
      </w:r>
      <w:r w:rsidRPr="00D61F16">
        <w:rPr>
          <w:rFonts w:ascii="Times New Roman" w:hAnsi="Times New Roman"/>
          <w:sz w:val="22"/>
          <w:szCs w:val="22"/>
        </w:rPr>
        <w:br/>
        <w:t>4 ruildossiers, via ruil in totaal 8ha 42a 43ca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Dijlevallei</w:t>
      </w:r>
      <w:r w:rsidRPr="00D61F16">
        <w:rPr>
          <w:rFonts w:ascii="Times New Roman" w:hAnsi="Times New Roman"/>
          <w:sz w:val="22"/>
          <w:szCs w:val="22"/>
        </w:rPr>
        <w:br/>
        <w:t>nog geen ruildossiers</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Ijze</w:t>
      </w:r>
      <w:r>
        <w:rPr>
          <w:rFonts w:ascii="Times New Roman" w:hAnsi="Times New Roman"/>
          <w:sz w:val="22"/>
          <w:szCs w:val="22"/>
        </w:rPr>
        <w:t>r</w:t>
      </w:r>
      <w:r w:rsidRPr="00D61F16">
        <w:rPr>
          <w:rFonts w:ascii="Times New Roman" w:hAnsi="Times New Roman"/>
          <w:sz w:val="22"/>
          <w:szCs w:val="22"/>
        </w:rPr>
        <w:t>vallei-Handzamevallei (De Blankaart/Yzervallei)</w:t>
      </w:r>
      <w:r w:rsidRPr="00D61F16">
        <w:rPr>
          <w:rFonts w:ascii="Times New Roman" w:hAnsi="Times New Roman"/>
          <w:sz w:val="22"/>
          <w:szCs w:val="22"/>
        </w:rPr>
        <w:br/>
        <w:t>34 ruildossiers, via ruil in totaal 60ha 61a 29ca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Poperingevaart</w:t>
      </w:r>
      <w:r w:rsidRPr="00D61F16">
        <w:rPr>
          <w:rFonts w:ascii="Times New Roman" w:hAnsi="Times New Roman"/>
          <w:sz w:val="22"/>
          <w:szCs w:val="22"/>
        </w:rPr>
        <w:br/>
        <w:t>2 ruildossiers, via ruil in totaal 34a 83ca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Zwarte Beek</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Voeren</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De Kluis (werd verlengd)</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Gentse Kanaalzone</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Parkbos Gent </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Rechterscheldeoever (Opstalvalleigebied)</w:t>
      </w:r>
      <w:r w:rsidRPr="00D61F16">
        <w:rPr>
          <w:rFonts w:ascii="Times New Roman" w:hAnsi="Times New Roman"/>
          <w:sz w:val="22"/>
          <w:szCs w:val="22"/>
        </w:rPr>
        <w:br/>
        <w:t xml:space="preserve">nog geen ruildossiers </w:t>
      </w:r>
    </w:p>
    <w:p w:rsidR="006B47F6" w:rsidRDefault="006B47F6" w:rsidP="00246481">
      <w:pPr>
        <w:rPr>
          <w:rFonts w:ascii="Times New Roman" w:hAnsi="Times New Roman"/>
          <w:sz w:val="22"/>
          <w:szCs w:val="22"/>
        </w:rPr>
      </w:pPr>
    </w:p>
    <w:p w:rsidR="006B47F6" w:rsidRDefault="006B47F6" w:rsidP="00BD3382">
      <w:pPr>
        <w:ind w:left="540"/>
        <w:jc w:val="both"/>
        <w:rPr>
          <w:rFonts w:ascii="Times New Roman" w:hAnsi="Times New Roman"/>
          <w:sz w:val="22"/>
          <w:szCs w:val="22"/>
        </w:rPr>
      </w:pPr>
      <w:r>
        <w:rPr>
          <w:rFonts w:ascii="Times New Roman" w:hAnsi="Times New Roman"/>
          <w:sz w:val="22"/>
          <w:szCs w:val="22"/>
        </w:rPr>
        <w:t>Voor een aantal projecten zijn er nog geen ruildossiers, gezien in het veld een reeks projecten nog niet zijn opgestart (bv. Parkbos Gent) of nog in een planfase zitten (bv. Gentse kanaalzone).</w:t>
      </w:r>
    </w:p>
    <w:p w:rsidR="006B47F6" w:rsidRPr="00D61F16" w:rsidRDefault="006B47F6" w:rsidP="00246481">
      <w:pPr>
        <w:rPr>
          <w:rFonts w:ascii="Times New Roman" w:hAnsi="Times New Roman"/>
          <w:sz w:val="22"/>
          <w:szCs w:val="22"/>
        </w:rPr>
      </w:pPr>
    </w:p>
    <w:p w:rsidR="006B47F6" w:rsidRPr="00D61F16" w:rsidRDefault="006B47F6" w:rsidP="00BD3382">
      <w:pPr>
        <w:ind w:left="540"/>
        <w:rPr>
          <w:rFonts w:ascii="Times New Roman" w:hAnsi="Times New Roman"/>
          <w:sz w:val="22"/>
          <w:szCs w:val="22"/>
          <w:u w:val="single"/>
        </w:rPr>
      </w:pPr>
      <w:r w:rsidRPr="00D61F16">
        <w:rPr>
          <w:rFonts w:ascii="Times New Roman" w:hAnsi="Times New Roman"/>
          <w:sz w:val="22"/>
          <w:szCs w:val="22"/>
          <w:u w:val="single"/>
        </w:rPr>
        <w:t>7 nieuwe lokale grondenbanken (na maart 2008) :</w:t>
      </w:r>
    </w:p>
    <w:p w:rsidR="006B47F6" w:rsidRPr="00D61F16" w:rsidRDefault="006B47F6" w:rsidP="00246481">
      <w:pPr>
        <w:rPr>
          <w:rFonts w:ascii="Times New Roman" w:hAnsi="Times New Roman"/>
          <w:sz w:val="22"/>
          <w:szCs w:val="22"/>
        </w:rPr>
      </w:pP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Grove Groenten </w:t>
      </w:r>
      <w:r w:rsidRPr="00D61F16">
        <w:rPr>
          <w:rFonts w:ascii="Times New Roman" w:hAnsi="Times New Roman"/>
          <w:sz w:val="22"/>
          <w:szCs w:val="22"/>
        </w:rPr>
        <w:br/>
        <w:t>1 ruildossier, via ruil 1ha 97a 63ca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ENA </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Zwin</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Molenbeek-Maalbeek</w:t>
      </w:r>
      <w:r w:rsidRPr="00D61F16">
        <w:rPr>
          <w:rFonts w:ascii="Times New Roman" w:hAnsi="Times New Roman"/>
          <w:sz w:val="22"/>
          <w:szCs w:val="22"/>
        </w:rPr>
        <w:br/>
        <w:t xml:space="preserve">nog geen ruildossiers </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de Merode </w:t>
      </w:r>
      <w:r w:rsidRPr="00D61F16">
        <w:rPr>
          <w:rFonts w:ascii="Times New Roman" w:hAnsi="Times New Roman"/>
          <w:sz w:val="22"/>
          <w:szCs w:val="22"/>
        </w:rPr>
        <w:br/>
        <w:t>2 ruildossiers, via ruil in totaal 5ha 45a 72ca verworven</w:t>
      </w:r>
    </w:p>
    <w:p w:rsidR="006B47F6" w:rsidRPr="00D61F1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 xml:space="preserve">lokale grondenbank Natuurcompensatie AX </w:t>
      </w:r>
      <w:r w:rsidRPr="00D61F16">
        <w:rPr>
          <w:rFonts w:ascii="Times New Roman" w:hAnsi="Times New Roman"/>
          <w:sz w:val="22"/>
          <w:szCs w:val="22"/>
        </w:rPr>
        <w:br/>
        <w:t xml:space="preserve">nog geen ruildossiers </w:t>
      </w:r>
    </w:p>
    <w:p w:rsidR="006B47F6" w:rsidRDefault="006B47F6" w:rsidP="00BD3382">
      <w:pPr>
        <w:numPr>
          <w:ilvl w:val="0"/>
          <w:numId w:val="1"/>
        </w:numPr>
        <w:tabs>
          <w:tab w:val="clear" w:pos="284"/>
          <w:tab w:val="clear" w:pos="567"/>
          <w:tab w:val="clear" w:pos="720"/>
          <w:tab w:val="clear" w:pos="851"/>
          <w:tab w:val="clear" w:pos="1134"/>
          <w:tab w:val="clear" w:pos="4253"/>
          <w:tab w:val="clear" w:pos="8278"/>
          <w:tab w:val="num" w:pos="900"/>
        </w:tabs>
        <w:ind w:left="900"/>
        <w:rPr>
          <w:rFonts w:ascii="Times New Roman" w:hAnsi="Times New Roman"/>
          <w:sz w:val="22"/>
          <w:szCs w:val="22"/>
        </w:rPr>
      </w:pPr>
      <w:r w:rsidRPr="00D61F16">
        <w:rPr>
          <w:rFonts w:ascii="Times New Roman" w:hAnsi="Times New Roman"/>
          <w:sz w:val="22"/>
          <w:szCs w:val="22"/>
        </w:rPr>
        <w:t>lokale grondenbank Meigemheide</w:t>
      </w:r>
      <w:r w:rsidRPr="00D61F16">
        <w:rPr>
          <w:rFonts w:ascii="Times New Roman" w:hAnsi="Times New Roman"/>
          <w:sz w:val="22"/>
          <w:szCs w:val="22"/>
        </w:rPr>
        <w:br/>
        <w:t xml:space="preserve">nog geen ruildossiers </w:t>
      </w:r>
    </w:p>
    <w:p w:rsidR="006B47F6" w:rsidRDefault="006B47F6" w:rsidP="00246481">
      <w:pPr>
        <w:tabs>
          <w:tab w:val="clear" w:pos="284"/>
          <w:tab w:val="clear" w:pos="567"/>
          <w:tab w:val="clear" w:pos="851"/>
          <w:tab w:val="clear" w:pos="1134"/>
          <w:tab w:val="clear" w:pos="4253"/>
          <w:tab w:val="clear" w:pos="8278"/>
        </w:tabs>
        <w:ind w:left="720"/>
        <w:rPr>
          <w:rFonts w:ascii="Times New Roman" w:hAnsi="Times New Roman"/>
          <w:sz w:val="22"/>
          <w:szCs w:val="22"/>
        </w:rPr>
      </w:pPr>
    </w:p>
    <w:p w:rsidR="006B47F6" w:rsidRPr="00D61F16" w:rsidRDefault="006B47F6" w:rsidP="00BD3382">
      <w:pPr>
        <w:tabs>
          <w:tab w:val="clear" w:pos="284"/>
          <w:tab w:val="clear" w:pos="567"/>
          <w:tab w:val="clear" w:pos="851"/>
          <w:tab w:val="clear" w:pos="1134"/>
          <w:tab w:val="clear" w:pos="4253"/>
          <w:tab w:val="clear" w:pos="8278"/>
        </w:tabs>
        <w:ind w:left="540"/>
        <w:jc w:val="both"/>
        <w:rPr>
          <w:rFonts w:ascii="Times New Roman" w:hAnsi="Times New Roman"/>
          <w:sz w:val="22"/>
          <w:szCs w:val="22"/>
        </w:rPr>
      </w:pPr>
      <w:r>
        <w:rPr>
          <w:rFonts w:ascii="Times New Roman" w:hAnsi="Times New Roman"/>
          <w:sz w:val="22"/>
          <w:szCs w:val="22"/>
        </w:rPr>
        <w:t>Het feit dat er voor de meeste projecten nog geen ruildossiers zijn opgestart heeft te maken met het feit dat de meeste projecten, op uitzondering van de Merode, nog in de planfaze zitten.</w:t>
      </w:r>
    </w:p>
    <w:p w:rsidR="006B47F6" w:rsidRPr="00D61F16" w:rsidRDefault="006B47F6" w:rsidP="00246481">
      <w:pPr>
        <w:rPr>
          <w:rFonts w:ascii="Times New Roman" w:hAnsi="Times New Roman"/>
          <w:sz w:val="22"/>
          <w:szCs w:val="22"/>
        </w:rPr>
      </w:pPr>
    </w:p>
    <w:p w:rsidR="006B47F6" w:rsidRPr="00D61F16" w:rsidRDefault="006B47F6" w:rsidP="00BD3382">
      <w:pPr>
        <w:ind w:left="540"/>
        <w:rPr>
          <w:rFonts w:ascii="Times New Roman" w:hAnsi="Times New Roman"/>
          <w:sz w:val="22"/>
          <w:szCs w:val="22"/>
          <w:u w:val="single"/>
        </w:rPr>
      </w:pPr>
      <w:r w:rsidRPr="00D61F16">
        <w:rPr>
          <w:rFonts w:ascii="Times New Roman" w:hAnsi="Times New Roman"/>
          <w:sz w:val="22"/>
          <w:szCs w:val="22"/>
          <w:u w:val="single"/>
        </w:rPr>
        <w:t>Volgende grondenbank werd opgenomen onder een andere :</w:t>
      </w:r>
    </w:p>
    <w:p w:rsidR="006B47F6" w:rsidRPr="00D61F16" w:rsidRDefault="006B47F6" w:rsidP="00246481">
      <w:pPr>
        <w:rPr>
          <w:rFonts w:ascii="Times New Roman" w:hAnsi="Times New Roman"/>
          <w:sz w:val="22"/>
          <w:szCs w:val="22"/>
        </w:rPr>
      </w:pPr>
    </w:p>
    <w:p w:rsidR="006B47F6" w:rsidRPr="00D61F16" w:rsidRDefault="006B47F6" w:rsidP="00BD3382">
      <w:pPr>
        <w:numPr>
          <w:ilvl w:val="0"/>
          <w:numId w:val="4"/>
        </w:numPr>
        <w:tabs>
          <w:tab w:val="clear" w:pos="37"/>
          <w:tab w:val="clear" w:pos="284"/>
          <w:tab w:val="clear" w:pos="567"/>
          <w:tab w:val="clear" w:pos="851"/>
          <w:tab w:val="clear" w:pos="1134"/>
          <w:tab w:val="clear" w:pos="4253"/>
          <w:tab w:val="clear" w:pos="8278"/>
          <w:tab w:val="num" w:pos="540"/>
          <w:tab w:val="left" w:pos="900"/>
        </w:tabs>
        <w:ind w:left="540" w:firstLine="0"/>
        <w:rPr>
          <w:rFonts w:ascii="Times New Roman" w:hAnsi="Times New Roman"/>
          <w:sz w:val="22"/>
          <w:szCs w:val="22"/>
        </w:rPr>
      </w:pPr>
      <w:r w:rsidRPr="00D61F16">
        <w:rPr>
          <w:rFonts w:ascii="Times New Roman" w:hAnsi="Times New Roman"/>
          <w:sz w:val="22"/>
          <w:szCs w:val="22"/>
        </w:rPr>
        <w:t xml:space="preserve">lokale grondenbank LSO Doel werd opgenomen onder Pregrondenbank Linkerscheldeoever </w:t>
      </w:r>
    </w:p>
    <w:p w:rsidR="006B47F6" w:rsidRPr="00D61F16" w:rsidRDefault="006B47F6" w:rsidP="00246481">
      <w:pPr>
        <w:rPr>
          <w:rFonts w:ascii="Times New Roman" w:hAnsi="Times New Roman"/>
          <w:b/>
          <w:bCs/>
          <w:sz w:val="22"/>
          <w:szCs w:val="22"/>
        </w:rPr>
      </w:pPr>
    </w:p>
    <w:p w:rsidR="006B47F6" w:rsidRPr="00D61F16" w:rsidRDefault="006B47F6" w:rsidP="00BD3382">
      <w:pPr>
        <w:tabs>
          <w:tab w:val="clear" w:pos="284"/>
          <w:tab w:val="left" w:pos="540"/>
        </w:tabs>
        <w:ind w:left="540" w:hanging="540"/>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D61F16">
        <w:rPr>
          <w:rFonts w:ascii="Times New Roman" w:hAnsi="Times New Roman"/>
          <w:sz w:val="22"/>
          <w:szCs w:val="22"/>
        </w:rPr>
        <w:t>In de lokale grondenbank Zeebrugge werd in het projectgebied reeds 45ha 04a 84ca verworven waarvan 8ha 42a 43ca via ruil en 36ha 62a 41ca via rechtstreekse aankopen. Er is momenteel ongeveer 99ha ruilgrond beschikbaar in het zoekgebied.</w:t>
      </w:r>
    </w:p>
    <w:p w:rsidR="006B47F6" w:rsidRDefault="006B47F6"/>
    <w:sectPr w:rsidR="006B47F6" w:rsidSect="00640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2F57588B"/>
    <w:multiLevelType w:val="hybridMultilevel"/>
    <w:tmpl w:val="9B1ADBEE"/>
    <w:lvl w:ilvl="0" w:tplc="E250CF92">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19F3EDD"/>
    <w:multiLevelType w:val="hybridMultilevel"/>
    <w:tmpl w:val="D72EA61E"/>
    <w:lvl w:ilvl="0" w:tplc="7E6C7530">
      <w:start w:val="1"/>
      <w:numFmt w:val="bullet"/>
      <w:lvlText w:val=""/>
      <w:lvlJc w:val="left"/>
      <w:pPr>
        <w:tabs>
          <w:tab w:val="num" w:pos="37"/>
        </w:tabs>
        <w:ind w:left="37" w:firstLine="323"/>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AD8129D"/>
    <w:multiLevelType w:val="multilevel"/>
    <w:tmpl w:val="9B1ADBE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481"/>
    <w:rsid w:val="00116BFD"/>
    <w:rsid w:val="001B1372"/>
    <w:rsid w:val="00246481"/>
    <w:rsid w:val="00472BA8"/>
    <w:rsid w:val="00640598"/>
    <w:rsid w:val="006B47F6"/>
    <w:rsid w:val="00A45549"/>
    <w:rsid w:val="00BD3382"/>
    <w:rsid w:val="00D61F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81"/>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46481"/>
    <w:pPr>
      <w:jc w:val="center"/>
    </w:pPr>
    <w:rPr>
      <w:rFonts w:ascii="Times New Roman" w:hAnsi="Times New Roman"/>
      <w:b/>
    </w:rPr>
  </w:style>
  <w:style w:type="character" w:customStyle="1" w:styleId="TitleChar">
    <w:name w:val="Title Char"/>
    <w:basedOn w:val="DefaultParagraphFont"/>
    <w:link w:val="Title"/>
    <w:uiPriority w:val="99"/>
    <w:locked/>
    <w:rsid w:val="00246481"/>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246481"/>
    <w:pPr>
      <w:jc w:val="both"/>
    </w:pPr>
    <w:rPr>
      <w:rFonts w:ascii="Times New Roman" w:hAnsi="Times New Roman"/>
      <w:sz w:val="22"/>
    </w:rPr>
  </w:style>
  <w:style w:type="paragraph" w:styleId="Subtitle">
    <w:name w:val="Subtitle"/>
    <w:basedOn w:val="Normal"/>
    <w:next w:val="Normal"/>
    <w:link w:val="SubtitleChar"/>
    <w:uiPriority w:val="99"/>
    <w:qFormat/>
    <w:rsid w:val="002464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46481"/>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389</Words>
  <Characters>2140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dcterms:created xsi:type="dcterms:W3CDTF">2010-10-06T09:39:00Z</dcterms:created>
  <dcterms:modified xsi:type="dcterms:W3CDTF">2010-10-11T09:42:00Z</dcterms:modified>
</cp:coreProperties>
</file>